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SINHA DHARMENDRA KUMAR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RACKSPACE TECHNOLOGY,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1718 DRY CREEK WAY, SUITE 115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Rackspace Technology,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RXT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11/29/2024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65"/>
        <w:spacing w:after="0"/>
        <w:rPr>
          <w:sz w:val="20"/>
          <w:szCs w:val="20"/>
          <w:color w:val="auto"/>
        </w:rPr>
      </w:pPr>
      <w:r>
        <w:rPr>
          <w:rFonts w:ascii="Times New Roman" w:cs="Times New Roman" w:eastAsia="Times New Roman" w:hAnsi="Times New Roman"/>
          <w:sz w:val="17"/>
          <w:szCs w:val="17"/>
          <w:color w:val="0000FF"/>
        </w:rPr>
        <w:t>EVP, President, Public Cloud</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28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3"/>
                <w:szCs w:val="3"/>
                <w:color w:val="auto"/>
              </w:rPr>
            </w:pPr>
          </w:p>
        </w:tc>
        <w:tc>
          <w:tcPr>
            <w:tcW w:w="356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200" w:type="dxa"/>
            <w:vAlign w:val="bottom"/>
          </w:tcPr>
          <w:p>
            <w:pPr>
              <w:spacing w:after="0"/>
              <w:rPr>
                <w:sz w:val="9"/>
                <w:szCs w:val="9"/>
                <w:color w:val="auto"/>
              </w:rPr>
            </w:pPr>
          </w:p>
        </w:tc>
        <w:tc>
          <w:tcPr>
            <w:tcW w:w="35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8"/>
                <w:szCs w:val="18"/>
                <w:color w:val="auto"/>
              </w:rPr>
            </w:pP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78259-1837</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ANTONIO</w:t>
            </w: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8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11/29/2024</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(2)(3)</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88,548</w:t>
            </w:r>
            <w:r>
              <w:rPr>
                <w:rFonts w:ascii="Times New Roman" w:cs="Times New Roman" w:eastAsia="Times New Roman" w:hAnsi="Times New Roman"/>
                <w:sz w:val="22"/>
                <w:szCs w:val="22"/>
                <w:color w:val="008000"/>
                <w:w w:val="97"/>
                <w:vertAlign w:val="superscript"/>
              </w:rPr>
              <w:t>(2)</w:t>
            </w:r>
          </w:p>
        </w:tc>
        <w:tc>
          <w:tcPr>
            <w:tcW w:w="4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2.67</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2,334,166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58"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$2.61 to $2.78 on 11/29/2024 and 12/2/2024. The price reported above reflects the weighted average sale price. The reporting person hereby undertakes to provide full information regarding the number of shares and prices at which the transactions were effected upon request to the SEC, the Issuer or a security holder of the Issuer.</w:t>
      </w:r>
    </w:p>
    <w:p>
      <w:pPr>
        <w:spacing w:after="0" w:line="171"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number of shares of common stock that were sold in a "sell to cover" transaction for the sole purpose of satisfying tax withholding obligations in connection with the vesting of restricted stock units previously granted to the reporting person.</w:t>
      </w:r>
    </w:p>
    <w:p>
      <w:pPr>
        <w:spacing w:after="0" w:line="7"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made pursuant to a Rule 10b5-1 trading plan in the form of a durable sell-to-cover instruction adopted by the reporting person on September 14, 2023. The trading plan provides for the automatic sale of shares of common stock necessary to satisfy the reporting person's tax withholding obligations incurred in connection with the vesting or settlement of restricted stock units.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Sarah Alexander, by power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303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03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of attorney from Dharmendra</w:t>
        <w:tab/>
        <w:t>12/03/2024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Kumar Sinha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835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8356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93839" TargetMode="External"/><Relationship Id="rId14" Type="http://schemas.openxmlformats.org/officeDocument/2006/relationships/hyperlink" Target="http://www.sec.gov/cgi-bin/browse-edgar?action=getcompany&amp;CIK=00018100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2024-12-03T20:31:24Z</dcterms:created>
  <dcterms:modified xsi:type="dcterms:W3CDTF">2024-12-03T20:31:24Z</dcterms:modified>
</cp:coreProperties>
</file>