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2020.</w:t>
      </w:r>
    </w:p>
    <w:p>
      <w:pPr>
        <w:spacing w:after="0" w:line="11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No.)</w:t>
      </w:r>
    </w:p>
    <w:p>
      <w:pPr>
        <w:spacing w:after="0" w:line="139" w:lineRule="exact"/>
        <w:rPr>
          <w:sz w:val="24"/>
          <w:szCs w:val="24"/>
          <w:color w:val="auto"/>
        </w:rPr>
      </w:pPr>
    </w:p>
    <w:p>
      <w:pPr>
        <w:sectPr>
          <w:pgSz w:w="11900" w:h="16838" w:orient="portrait"/>
          <w:cols w:equalWidth="0" w:num="2">
            <w:col w:w="6740" w:space="720"/>
            <w:col w:w="3780"/>
          </w:cols>
          <w:pgMar w:left="320" w:top="103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7" w:lineRule="exact"/>
        <w:rPr>
          <w:sz w:val="20"/>
          <w:szCs w:val="20"/>
          <w:color w:val="auto"/>
        </w:rPr>
      </w:pPr>
    </w:p>
    <w:p>
      <w:pPr>
        <w:ind w:right="2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of June 30, 2020, the last business day of our most recently completed second fiscal quarter, our common stock was not listed on any exchange or over-the counter market and, therefore, we cannot calculate the aggregate market value of the voting and non-voting common equity held by non-affiliates as of such date.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19, 2021, 205,522,917 shares of the registrant’s common stock, par value $0.01 per share, were outstanding.</w:t>
      </w:r>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Portions of the registrant's definitive Proxy Statement relating to the 2021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9"/>
              </w:rPr>
              <w:t>RACKSPACE TECHNOLOGY, INC.</w:t>
            </w:r>
          </w:p>
        </w:tc>
        <w:tc>
          <w:tcPr>
            <w:tcW w:w="12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5"/>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0"/>
                <w:szCs w:val="20"/>
                <w:color w:val="auto"/>
              </w:rPr>
            </w:pPr>
          </w:p>
        </w:tc>
      </w:tr>
      <w:tr>
        <w:trPr>
          <w:trHeight w:val="526"/>
        </w:trPr>
        <w:tc>
          <w:tcPr>
            <w:tcW w:w="2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4"/>
              </w:rPr>
              <w:t>Item 1.</w:t>
            </w:r>
          </w:p>
        </w:tc>
        <w:tc>
          <w:tcPr>
            <w:tcW w:w="580" w:type="dxa"/>
            <w:vAlign w:val="bottom"/>
            <w:gridSpan w:val="3"/>
          </w:tcPr>
          <w:p>
            <w:pPr>
              <w:spacing w:after="0"/>
              <w:rPr>
                <w:sz w:val="21"/>
                <w:szCs w:val="21"/>
                <w:color w:val="auto"/>
              </w:rPr>
            </w:pPr>
          </w:p>
        </w:tc>
        <w:tc>
          <w:tcPr>
            <w:tcW w:w="8820" w:type="dxa"/>
            <w:vAlign w:val="bottom"/>
            <w:gridSpan w:val="17"/>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280" w:type="dxa"/>
            <w:vAlign w:val="bottom"/>
          </w:tcPr>
          <w:p>
            <w:pPr>
              <w:jc w:val="center"/>
              <w:ind w:left="45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190"/>
        </w:trPr>
        <w:tc>
          <w:tcPr>
            <w:tcW w:w="20" w:type="dxa"/>
            <w:vAlign w:val="bottom"/>
          </w:tcPr>
          <w:p>
            <w:pPr>
              <w:spacing w:after="0"/>
              <w:rPr>
                <w:sz w:val="16"/>
                <w:szCs w:val="16"/>
                <w:color w:val="auto"/>
              </w:rPr>
            </w:pPr>
          </w:p>
        </w:tc>
        <w:tc>
          <w:tcPr>
            <w:tcW w:w="1120" w:type="dxa"/>
            <w:vAlign w:val="bottom"/>
            <w:gridSpan w:val="4"/>
          </w:tcPr>
          <w:p>
            <w:pPr>
              <w:spacing w:after="0" w:line="190"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line="190" w:lineRule="exact"/>
              <w:rPr>
                <w:rFonts w:ascii="Arial" w:cs="Arial" w:eastAsia="Arial" w:hAnsi="Arial"/>
                <w:sz w:val="18"/>
                <w:szCs w:val="18"/>
                <w:color w:val="0000FF"/>
                <w:w w:val="87"/>
              </w:rPr>
            </w:pPr>
            <w:hyperlink w:anchor="page16">
              <w:r>
                <w:rPr>
                  <w:rFonts w:ascii="Arial" w:cs="Arial" w:eastAsia="Arial" w:hAnsi="Arial"/>
                  <w:sz w:val="18"/>
                  <w:szCs w:val="18"/>
                  <w:color w:val="0000FF"/>
                  <w:w w:val="87"/>
                </w:rPr>
                <w:t>Risk Factors</w:t>
              </w:r>
            </w:hyperlink>
          </w:p>
        </w:tc>
        <w:tc>
          <w:tcPr>
            <w:tcW w:w="7920" w:type="dxa"/>
            <w:vAlign w:val="bottom"/>
            <w:gridSpan w:val="13"/>
          </w:tcPr>
          <w:p>
            <w:pPr>
              <w:spacing w:after="0"/>
              <w:rPr>
                <w:sz w:val="16"/>
                <w:szCs w:val="16"/>
                <w:color w:val="auto"/>
              </w:rPr>
            </w:pPr>
          </w:p>
        </w:tc>
        <w:tc>
          <w:tcPr>
            <w:tcW w:w="1280" w:type="dxa"/>
            <w:vAlign w:val="bottom"/>
          </w:tcPr>
          <w:p>
            <w:pPr>
              <w:jc w:val="center"/>
              <w:ind w:left="450"/>
              <w:spacing w:after="0" w:line="190" w:lineRule="exact"/>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17</w:t>
              </w:r>
            </w:hyperlink>
          </w:p>
        </w:tc>
      </w:tr>
      <w:tr>
        <w:trPr>
          <w:trHeight w:val="210"/>
        </w:trPr>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Unresolved Staff Comments</w:t>
              </w:r>
            </w:hyperlink>
          </w:p>
        </w:tc>
        <w:tc>
          <w:tcPr>
            <w:tcW w:w="6760" w:type="dxa"/>
            <w:vAlign w:val="bottom"/>
            <w:gridSpan w:val="6"/>
          </w:tcPr>
          <w:p>
            <w:pPr>
              <w:spacing w:after="0"/>
              <w:rPr>
                <w:sz w:val="18"/>
                <w:szCs w:val="18"/>
                <w:color w:val="auto"/>
              </w:rPr>
            </w:pPr>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r>
      <w:tr>
        <w:trPr>
          <w:trHeight w:val="249"/>
        </w:trPr>
        <w:tc>
          <w:tcPr>
            <w:tcW w:w="20" w:type="dxa"/>
            <w:vAlign w:val="bottom"/>
          </w:tcPr>
          <w:p>
            <w:pPr>
              <w:spacing w:after="0"/>
              <w:rPr>
                <w:sz w:val="21"/>
                <w:szCs w:val="21"/>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17"/>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Properties</w:t>
              </w:r>
            </w:hyperlink>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r>
      <w:tr>
        <w:trPr>
          <w:trHeight w:val="229"/>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17"/>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46</w:t>
              </w:r>
            </w:hyperlink>
          </w:p>
        </w:tc>
      </w:tr>
      <w:tr>
        <w:trPr>
          <w:trHeight w:val="190"/>
        </w:trPr>
        <w:tc>
          <w:tcPr>
            <w:tcW w:w="20" w:type="dxa"/>
            <w:vAlign w:val="bottom"/>
          </w:tcPr>
          <w:p>
            <w:pPr>
              <w:spacing w:after="0"/>
              <w:rPr>
                <w:sz w:val="16"/>
                <w:szCs w:val="16"/>
                <w:color w:val="auto"/>
              </w:rPr>
            </w:pPr>
          </w:p>
        </w:tc>
        <w:tc>
          <w:tcPr>
            <w:tcW w:w="1120" w:type="dxa"/>
            <w:vAlign w:val="bottom"/>
            <w:gridSpan w:val="4"/>
          </w:tcPr>
          <w:p>
            <w:pPr>
              <w:spacing w:after="0" w:line="190" w:lineRule="exact"/>
              <w:rPr>
                <w:sz w:val="20"/>
                <w:szCs w:val="20"/>
                <w:color w:val="auto"/>
              </w:rPr>
            </w:pPr>
            <w:r>
              <w:rPr>
                <w:rFonts w:ascii="Arial" w:cs="Arial" w:eastAsia="Arial" w:hAnsi="Arial"/>
                <w:sz w:val="18"/>
                <w:szCs w:val="18"/>
                <w:color w:val="auto"/>
              </w:rPr>
              <w:t>Item 4.</w:t>
            </w:r>
          </w:p>
        </w:tc>
        <w:tc>
          <w:tcPr>
            <w:tcW w:w="8820" w:type="dxa"/>
            <w:vAlign w:val="bottom"/>
            <w:gridSpan w:val="17"/>
          </w:tcPr>
          <w:p>
            <w:pPr>
              <w:spacing w:after="0" w:line="190" w:lineRule="exact"/>
              <w:rPr>
                <w:rFonts w:ascii="Arial" w:cs="Arial" w:eastAsia="Arial" w:hAnsi="Arial"/>
                <w:sz w:val="18"/>
                <w:szCs w:val="18"/>
                <w:color w:val="0000FF"/>
              </w:rPr>
            </w:pPr>
            <w:hyperlink w:anchor="page46">
              <w:r>
                <w:rPr>
                  <w:rFonts w:ascii="Arial" w:cs="Arial" w:eastAsia="Arial" w:hAnsi="Arial"/>
                  <w:sz w:val="18"/>
                  <w:szCs w:val="18"/>
                  <w:color w:val="0000FF"/>
                </w:rPr>
                <w:t xml:space="preserve">Mine </w:t>
              </w:r>
              <w:r>
                <w:rPr>
                  <w:rFonts w:ascii="Arial" w:cs="Arial" w:eastAsia="Arial" w:hAnsi="Arial"/>
                  <w:sz w:val="18"/>
                  <w:szCs w:val="18"/>
                  <w:u w:val="single" w:color="auto"/>
                  <w:color w:val="0000FF"/>
                </w:rPr>
                <w:t>Safety</w:t>
              </w:r>
              <w:r>
                <w:rPr>
                  <w:rFonts w:ascii="Arial" w:cs="Arial" w:eastAsia="Arial" w:hAnsi="Arial"/>
                  <w:sz w:val="18"/>
                  <w:szCs w:val="18"/>
                  <w:color w:val="0000FF"/>
                </w:rPr>
                <w:t xml:space="preserve"> Disclosures</w:t>
              </w:r>
            </w:hyperlink>
          </w:p>
        </w:tc>
        <w:tc>
          <w:tcPr>
            <w:tcW w:w="1280" w:type="dxa"/>
            <w:vAlign w:val="bottom"/>
          </w:tcPr>
          <w:p>
            <w:pPr>
              <w:jc w:val="center"/>
              <w:ind w:left="450"/>
              <w:spacing w:after="0" w:line="190" w:lineRule="exact"/>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46</w:t>
              </w:r>
            </w:hyperlink>
          </w:p>
        </w:tc>
      </w:tr>
      <w:tr>
        <w:trPr>
          <w:trHeight w:val="479"/>
        </w:trPr>
        <w:tc>
          <w:tcPr>
            <w:tcW w:w="2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PART II</w:t>
              </w:r>
            </w:hyperlink>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520" w:type="dxa"/>
            <w:vAlign w:val="bottom"/>
            <w:gridSpan w:val="2"/>
          </w:tcPr>
          <w:p>
            <w:pPr>
              <w:spacing w:after="0"/>
              <w:rPr>
                <w:sz w:val="21"/>
                <w:szCs w:val="21"/>
                <w:color w:val="auto"/>
              </w:rPr>
            </w:pPr>
          </w:p>
        </w:tc>
        <w:tc>
          <w:tcPr>
            <w:tcW w:w="8820" w:type="dxa"/>
            <w:vAlign w:val="bottom"/>
            <w:gridSpan w:val="17"/>
          </w:tcPr>
          <w:p>
            <w:pPr>
              <w:spacing w:after="0"/>
              <w:rPr>
                <w:rFonts w:ascii="Arial" w:cs="Arial" w:eastAsia="Arial" w:hAnsi="Arial"/>
                <w:sz w:val="18"/>
                <w:szCs w:val="18"/>
                <w:u w:val="single" w:color="auto"/>
                <w:color w:val="0000FF"/>
                <w:w w:val="99"/>
              </w:rPr>
            </w:pPr>
            <w:hyperlink w:anchor="page47">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47</w:t>
              </w:r>
            </w:hyperlink>
          </w:p>
        </w:tc>
      </w:tr>
      <w:tr>
        <w:trPr>
          <w:trHeight w:val="230"/>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820" w:type="dxa"/>
            <w:vAlign w:val="bottom"/>
            <w:gridSpan w:val="1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Selected Financial Data</w:t>
              </w:r>
            </w:hyperlink>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48</w:t>
              </w:r>
            </w:hyperlink>
          </w:p>
        </w:tc>
      </w:tr>
      <w:tr>
        <w:trPr>
          <w:trHeight w:val="229"/>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7.</w:t>
            </w:r>
          </w:p>
        </w:tc>
        <w:tc>
          <w:tcPr>
            <w:tcW w:w="8820" w:type="dxa"/>
            <w:vAlign w:val="bottom"/>
            <w:gridSpan w:val="17"/>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Management's Discussion and Analysis of Financial Condition and Results of Operations</w:t>
              </w:r>
            </w:hyperlink>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49</w:t>
              </w:r>
            </w:hyperlink>
          </w:p>
        </w:tc>
      </w:tr>
      <w:tr>
        <w:trPr>
          <w:trHeight w:val="190"/>
        </w:trPr>
        <w:tc>
          <w:tcPr>
            <w:tcW w:w="20" w:type="dxa"/>
            <w:vAlign w:val="bottom"/>
          </w:tcPr>
          <w:p>
            <w:pPr>
              <w:spacing w:after="0"/>
              <w:rPr>
                <w:sz w:val="16"/>
                <w:szCs w:val="16"/>
                <w:color w:val="auto"/>
              </w:rPr>
            </w:pPr>
          </w:p>
        </w:tc>
        <w:tc>
          <w:tcPr>
            <w:tcW w:w="1120" w:type="dxa"/>
            <w:vAlign w:val="bottom"/>
            <w:gridSpan w:val="4"/>
          </w:tcPr>
          <w:p>
            <w:pPr>
              <w:spacing w:after="0" w:line="190" w:lineRule="exact"/>
              <w:rPr>
                <w:sz w:val="20"/>
                <w:szCs w:val="20"/>
                <w:color w:val="auto"/>
              </w:rPr>
            </w:pPr>
            <w:r>
              <w:rPr>
                <w:rFonts w:ascii="Arial" w:cs="Arial" w:eastAsia="Arial" w:hAnsi="Arial"/>
                <w:sz w:val="18"/>
                <w:szCs w:val="18"/>
                <w:color w:val="auto"/>
              </w:rPr>
              <w:t>Item 7A.</w:t>
            </w:r>
          </w:p>
        </w:tc>
        <w:tc>
          <w:tcPr>
            <w:tcW w:w="8820" w:type="dxa"/>
            <w:vAlign w:val="bottom"/>
            <w:gridSpan w:val="17"/>
          </w:tcPr>
          <w:p>
            <w:pPr>
              <w:spacing w:after="0" w:line="190" w:lineRule="exact"/>
              <w:rPr>
                <w:rFonts w:ascii="Arial" w:cs="Arial" w:eastAsia="Arial" w:hAnsi="Arial"/>
                <w:sz w:val="18"/>
                <w:szCs w:val="18"/>
                <w:color w:val="0000FF"/>
              </w:rPr>
            </w:pPr>
            <w:hyperlink w:anchor="page82">
              <w:r>
                <w:rPr>
                  <w:rFonts w:ascii="Arial" w:cs="Arial" w:eastAsia="Arial" w:hAnsi="Arial"/>
                  <w:sz w:val="18"/>
                  <w:szCs w:val="18"/>
                  <w:u w:val="single" w:color="auto"/>
                  <w:color w:val="0000FF"/>
                </w:rPr>
                <w:t>Quantitative and Qualitative</w:t>
              </w:r>
              <w:r>
                <w:rPr>
                  <w:rFonts w:ascii="Arial" w:cs="Arial" w:eastAsia="Arial" w:hAnsi="Arial"/>
                  <w:sz w:val="18"/>
                  <w:szCs w:val="18"/>
                  <w:color w:val="0000FF"/>
                </w:rPr>
                <w:t xml:space="preserve"> Disclosures About Market Risk</w:t>
              </w:r>
            </w:hyperlink>
          </w:p>
        </w:tc>
        <w:tc>
          <w:tcPr>
            <w:tcW w:w="1280" w:type="dxa"/>
            <w:vAlign w:val="bottom"/>
          </w:tcPr>
          <w:p>
            <w:pPr>
              <w:jc w:val="center"/>
              <w:ind w:left="450"/>
              <w:spacing w:after="0" w:line="190" w:lineRule="exact"/>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83</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8.</w:t>
            </w:r>
          </w:p>
        </w:tc>
        <w:tc>
          <w:tcPr>
            <w:tcW w:w="8820" w:type="dxa"/>
            <w:vAlign w:val="bottom"/>
            <w:gridSpan w:val="1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 xml:space="preserve">Financial Statements </w:t>
              </w:r>
              <w:r>
                <w:rPr>
                  <w:rFonts w:ascii="Arial" w:cs="Arial" w:eastAsia="Arial" w:hAnsi="Arial"/>
                  <w:sz w:val="18"/>
                  <w:szCs w:val="18"/>
                  <w:u w:val="single" w:color="auto"/>
                  <w:color w:val="0000FF"/>
                </w:rPr>
                <w:t>and Supplementary Data</w:t>
              </w:r>
            </w:hyperlink>
          </w:p>
        </w:tc>
        <w:tc>
          <w:tcPr>
            <w:tcW w:w="1280" w:type="dxa"/>
            <w:vAlign w:val="bottom"/>
          </w:tcPr>
          <w:p>
            <w:pPr>
              <w:jc w:val="center"/>
              <w:ind w:left="450"/>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85</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9.</w:t>
            </w:r>
          </w:p>
        </w:tc>
        <w:tc>
          <w:tcPr>
            <w:tcW w:w="8820" w:type="dxa"/>
            <w:vAlign w:val="bottom"/>
            <w:gridSpan w:val="17"/>
          </w:tcPr>
          <w:p>
            <w:pPr>
              <w:spacing w:after="0"/>
              <w:rPr>
                <w:rFonts w:ascii="Arial" w:cs="Arial" w:eastAsia="Arial" w:hAnsi="Arial"/>
                <w:sz w:val="18"/>
                <w:szCs w:val="18"/>
                <w:color w:val="0000FF"/>
              </w:rPr>
            </w:pPr>
            <w:hyperlink w:anchor="page135">
              <w:r>
                <w:rPr>
                  <w:rFonts w:ascii="Arial" w:cs="Arial" w:eastAsia="Arial" w:hAnsi="Arial"/>
                  <w:sz w:val="18"/>
                  <w:szCs w:val="18"/>
                  <w:u w:val="single" w:color="auto"/>
                  <w:color w:val="0000FF"/>
                </w:rPr>
                <w:t>Changes</w:t>
              </w:r>
              <w:r>
                <w:rPr>
                  <w:rFonts w:ascii="Arial" w:cs="Arial" w:eastAsia="Arial" w:hAnsi="Arial"/>
                  <w:sz w:val="18"/>
                  <w:szCs w:val="18"/>
                  <w:color w:val="0000FF"/>
                </w:rPr>
                <w:t xml:space="preserve"> in and </w:t>
              </w:r>
              <w:r>
                <w:rPr>
                  <w:rFonts w:ascii="Arial" w:cs="Arial" w:eastAsia="Arial" w:hAnsi="Arial"/>
                  <w:sz w:val="18"/>
                  <w:szCs w:val="18"/>
                  <w:u w:val="single" w:color="auto"/>
                  <w:color w:val="0000FF"/>
                </w:rPr>
                <w:t>Disagreements</w:t>
              </w:r>
              <w:r>
                <w:rPr>
                  <w:rFonts w:ascii="Arial" w:cs="Arial" w:eastAsia="Arial" w:hAnsi="Arial"/>
                  <w:sz w:val="18"/>
                  <w:szCs w:val="18"/>
                  <w:color w:val="0000FF"/>
                </w:rPr>
                <w:t xml:space="preserve"> with Accountants </w:t>
              </w:r>
              <w:r>
                <w:rPr>
                  <w:rFonts w:ascii="Arial" w:cs="Arial" w:eastAsia="Arial" w:hAnsi="Arial"/>
                  <w:sz w:val="18"/>
                  <w:szCs w:val="18"/>
                  <w:u w:val="single" w:color="auto"/>
                  <w:color w:val="0000FF"/>
                </w:rPr>
                <w:t>on Accounting and</w:t>
              </w:r>
              <w:r>
                <w:rPr>
                  <w:rFonts w:ascii="Arial" w:cs="Arial" w:eastAsia="Arial" w:hAnsi="Arial"/>
                  <w:sz w:val="18"/>
                  <w:szCs w:val="18"/>
                  <w:color w:val="0000FF"/>
                </w:rPr>
                <w:t xml:space="preserve"> Financial Disclosure</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5">
              <w:r>
                <w:rPr>
                  <w:rFonts w:ascii="Arial" w:cs="Arial" w:eastAsia="Arial" w:hAnsi="Arial"/>
                  <w:sz w:val="18"/>
                  <w:szCs w:val="18"/>
                  <w:u w:val="single" w:color="auto"/>
                  <w:color w:val="0000FF"/>
                  <w:w w:val="86"/>
                </w:rPr>
                <w:t>136</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8820" w:type="dxa"/>
            <w:vAlign w:val="bottom"/>
            <w:gridSpan w:val="17"/>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Controls and Procedures</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6">
              <w:r>
                <w:rPr>
                  <w:rFonts w:ascii="Arial" w:cs="Arial" w:eastAsia="Arial" w:hAnsi="Arial"/>
                  <w:sz w:val="18"/>
                  <w:szCs w:val="18"/>
                  <w:u w:val="single" w:color="auto"/>
                  <w:color w:val="0000FF"/>
                  <w:w w:val="86"/>
                </w:rPr>
                <w:t>136</w:t>
              </w:r>
            </w:hyperlink>
          </w:p>
        </w:tc>
      </w:tr>
      <w:tr>
        <w:trPr>
          <w:trHeight w:val="209"/>
        </w:trPr>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8"/>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Other Information</w:t>
              </w:r>
            </w:hyperlink>
          </w:p>
        </w:tc>
        <w:tc>
          <w:tcPr>
            <w:tcW w:w="7060" w:type="dxa"/>
            <w:vAlign w:val="bottom"/>
            <w:gridSpan w:val="9"/>
          </w:tcPr>
          <w:p>
            <w:pPr>
              <w:spacing w:after="0"/>
              <w:rPr>
                <w:sz w:val="18"/>
                <w:szCs w:val="18"/>
                <w:color w:val="auto"/>
              </w:rPr>
            </w:pPr>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6">
              <w:r>
                <w:rPr>
                  <w:rFonts w:ascii="Arial" w:cs="Arial" w:eastAsia="Arial" w:hAnsi="Arial"/>
                  <w:sz w:val="18"/>
                  <w:szCs w:val="18"/>
                  <w:u w:val="single" w:color="auto"/>
                  <w:color w:val="0000FF"/>
                  <w:w w:val="86"/>
                </w:rPr>
                <w:t>136</w:t>
              </w:r>
            </w:hyperlink>
          </w:p>
        </w:tc>
      </w:tr>
      <w:tr>
        <w:trPr>
          <w:trHeight w:val="479"/>
        </w:trPr>
        <w:tc>
          <w:tcPr>
            <w:tcW w:w="2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PART III</w:t>
              </w:r>
            </w:hyperlink>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8"/>
              </w:rPr>
              <w:t>Item 10.</w:t>
            </w:r>
          </w:p>
        </w:tc>
        <w:tc>
          <w:tcPr>
            <w:tcW w:w="460" w:type="dxa"/>
            <w:vAlign w:val="bottom"/>
          </w:tcPr>
          <w:p>
            <w:pPr>
              <w:spacing w:after="0"/>
              <w:rPr>
                <w:sz w:val="21"/>
                <w:szCs w:val="21"/>
                <w:color w:val="auto"/>
              </w:rPr>
            </w:pPr>
          </w:p>
        </w:tc>
        <w:tc>
          <w:tcPr>
            <w:tcW w:w="8820" w:type="dxa"/>
            <w:vAlign w:val="bottom"/>
            <w:gridSpan w:val="17"/>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Directors, Executive Officers and Corporate Governance</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7">
              <w:r>
                <w:rPr>
                  <w:rFonts w:ascii="Arial" w:cs="Arial" w:eastAsia="Arial" w:hAnsi="Arial"/>
                  <w:sz w:val="18"/>
                  <w:szCs w:val="18"/>
                  <w:u w:val="single" w:color="auto"/>
                  <w:color w:val="0000FF"/>
                  <w:w w:val="86"/>
                </w:rPr>
                <w:t>137</w:t>
              </w:r>
            </w:hyperlink>
          </w:p>
        </w:tc>
      </w:tr>
      <w:tr>
        <w:trPr>
          <w:trHeight w:val="229"/>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8820" w:type="dxa"/>
            <w:vAlign w:val="bottom"/>
            <w:gridSpan w:val="17"/>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Executive Compensation</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7">
              <w:r>
                <w:rPr>
                  <w:rFonts w:ascii="Arial" w:cs="Arial" w:eastAsia="Arial" w:hAnsi="Arial"/>
                  <w:sz w:val="18"/>
                  <w:szCs w:val="18"/>
                  <w:u w:val="single" w:color="auto"/>
                  <w:color w:val="0000FF"/>
                  <w:w w:val="86"/>
                </w:rPr>
                <w:t>137</w:t>
              </w:r>
            </w:hyperlink>
          </w:p>
        </w:tc>
      </w:tr>
      <w:tr>
        <w:trPr>
          <w:trHeight w:val="230"/>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8820" w:type="dxa"/>
            <w:vAlign w:val="bottom"/>
            <w:gridSpan w:val="17"/>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Security Ownership of Certain Beneficial Owners and Management and Related Stockholder Matters</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7">
              <w:r>
                <w:rPr>
                  <w:rFonts w:ascii="Arial" w:cs="Arial" w:eastAsia="Arial" w:hAnsi="Arial"/>
                  <w:sz w:val="18"/>
                  <w:szCs w:val="18"/>
                  <w:u w:val="single" w:color="auto"/>
                  <w:color w:val="0000FF"/>
                  <w:w w:val="86"/>
                </w:rPr>
                <w:t>137</w:t>
              </w:r>
            </w:hyperlink>
          </w:p>
        </w:tc>
      </w:tr>
      <w:tr>
        <w:trPr>
          <w:trHeight w:val="229"/>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8820" w:type="dxa"/>
            <w:vAlign w:val="bottom"/>
            <w:gridSpan w:val="17"/>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Certain Relationships and Related Transactions, and Director Independence</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7">
              <w:r>
                <w:rPr>
                  <w:rFonts w:ascii="Arial" w:cs="Arial" w:eastAsia="Arial" w:hAnsi="Arial"/>
                  <w:sz w:val="18"/>
                  <w:szCs w:val="18"/>
                  <w:u w:val="single" w:color="auto"/>
                  <w:color w:val="0000FF"/>
                  <w:w w:val="86"/>
                </w:rPr>
                <w:t>137</w:t>
              </w:r>
            </w:hyperlink>
          </w:p>
        </w:tc>
      </w:tr>
      <w:tr>
        <w:trPr>
          <w:trHeight w:val="230"/>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8820" w:type="dxa"/>
            <w:vAlign w:val="bottom"/>
            <w:gridSpan w:val="17"/>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Principal Accountant Fees and Services</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7">
              <w:r>
                <w:rPr>
                  <w:rFonts w:ascii="Arial" w:cs="Arial" w:eastAsia="Arial" w:hAnsi="Arial"/>
                  <w:sz w:val="18"/>
                  <w:szCs w:val="18"/>
                  <w:u w:val="single" w:color="auto"/>
                  <w:color w:val="0000FF"/>
                  <w:w w:val="86"/>
                </w:rPr>
                <w:t>137</w:t>
              </w:r>
            </w:hyperlink>
          </w:p>
        </w:tc>
      </w:tr>
      <w:tr>
        <w:trPr>
          <w:trHeight w:val="499"/>
        </w:trPr>
        <w:tc>
          <w:tcPr>
            <w:tcW w:w="2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PART IV</w:t>
              </w:r>
            </w:hyperlink>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8820" w:type="dxa"/>
            <w:vAlign w:val="bottom"/>
            <w:gridSpan w:val="17"/>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Exhibits and Financial Statement Schedules</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8">
              <w:r>
                <w:rPr>
                  <w:rFonts w:ascii="Arial" w:cs="Arial" w:eastAsia="Arial" w:hAnsi="Arial"/>
                  <w:sz w:val="18"/>
                  <w:szCs w:val="18"/>
                  <w:u w:val="single" w:color="auto"/>
                  <w:color w:val="0000FF"/>
                  <w:w w:val="86"/>
                </w:rPr>
                <w:t>138</w:t>
              </w:r>
            </w:hyperlink>
          </w:p>
        </w:tc>
      </w:tr>
      <w:tr>
        <w:trPr>
          <w:trHeight w:val="230"/>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8820" w:type="dxa"/>
            <w:vAlign w:val="bottom"/>
            <w:gridSpan w:val="17"/>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10-K Summary</w:t>
              </w:r>
            </w:hyperlink>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38">
              <w:r>
                <w:rPr>
                  <w:rFonts w:ascii="Arial" w:cs="Arial" w:eastAsia="Arial" w:hAnsi="Arial"/>
                  <w:sz w:val="18"/>
                  <w:szCs w:val="18"/>
                  <w:u w:val="single" w:color="auto"/>
                  <w:color w:val="0000FF"/>
                  <w:w w:val="86"/>
                </w:rPr>
                <w:t>138</w:t>
              </w:r>
            </w:hyperlink>
          </w:p>
        </w:tc>
      </w:tr>
      <w:tr>
        <w:trPr>
          <w:trHeight w:val="499"/>
        </w:trPr>
        <w:tc>
          <w:tcPr>
            <w:tcW w:w="2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Signatures</w:t>
              </w:r>
            </w:hyperlink>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80" w:type="dxa"/>
            <w:vAlign w:val="bottom"/>
          </w:tcPr>
          <w:p>
            <w:pPr>
              <w:jc w:val="center"/>
              <w:ind w:left="450"/>
              <w:spacing w:after="0"/>
              <w:rPr>
                <w:rFonts w:ascii="Arial" w:cs="Arial" w:eastAsia="Arial" w:hAnsi="Arial"/>
                <w:sz w:val="18"/>
                <w:szCs w:val="18"/>
                <w:u w:val="single" w:color="auto"/>
                <w:color w:val="0000FF"/>
                <w:w w:val="86"/>
              </w:rPr>
            </w:pPr>
            <w:hyperlink w:anchor="page141">
              <w:r>
                <w:rPr>
                  <w:rFonts w:ascii="Arial" w:cs="Arial" w:eastAsia="Arial" w:hAnsi="Arial"/>
                  <w:sz w:val="18"/>
                  <w:szCs w:val="18"/>
                  <w:u w:val="single" w:color="auto"/>
                  <w:color w:val="0000FF"/>
                  <w:w w:val="86"/>
                </w:rPr>
                <w:t>142</w:t>
              </w:r>
            </w:hyperlink>
          </w:p>
        </w:tc>
      </w:tr>
      <w:tr>
        <w:trPr>
          <w:trHeight w:val="1006"/>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Annual Report on Form 10-K for the year ended December 31, 2020 (this "Annual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Annual Report.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“Rackspace,” “Rackspace Technology,” “Fanatical Experience,” “RackConnect,” “Rackspace Service Blocks,” “Rackspace Fabric” and</w:t>
      </w:r>
    </w:p>
    <w:p>
      <w:pPr>
        <w:spacing w:after="0" w:line="1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“MyRackspace” are registered or unregistered trademarks of Rackspace US, Inc. in the United States and/or other countries. OpenStack</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OpenStack, LLC and Openstack Foundation in the United States. Solely for convenience, trademarks, trade names and service marks referred to in this Annual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Annual Report are the property of their respective holders.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Embrace technology. Empower customers. Deliver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5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a Fanatical Experience.</w:t>
      </w:r>
    </w:p>
    <w:p>
      <w:pPr>
        <w:spacing w:after="0" w:line="21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Cloud technology—the on-demand availability of compute, storage and networking—has revolutionized how companies manage their infrastructure and applications, providing businesses with greater flexibility and lower costs compared to legacy technologies. Over the past several years, businesses have adopted cloud solutions not only to drive cost, scale and reliability benefits, but also to create new revenue opportunities, increase their speed of innovation and compete with digital natives. At the same time, businesses are increasingly turning to the use of more than one cloud solution at a time (which we refer to as multicloud) to enhance performance, ensure redundancy and resilience and provide for increased security, compliance and governance. These trends have accelerated in recent periods as businesses create and adapt to new economic and labor models and are increasingly looking for technologies that enable digital transformation and enhance productivity.</w:t>
      </w:r>
    </w:p>
    <w:p>
      <w:pPr>
        <w:spacing w:after="0" w:line="204"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The cloud has become the driver of innovation in the enterprise. At the same time, the number of cloud platforms, the diversity of services offered by each platform and the need to adapt to new paradigms create complexity that requires specialized expertise. Many companies lack the in-house resources to navigate this complexity, thereby limiting their ability to realize the full potential of the cloud. We believe this creates an opportunity for a services partner that enables businesses to fully embrace the power of multicloud technologies and, together, deliver incredible customer experiences.</w:t>
      </w:r>
    </w:p>
    <w:p>
      <w:pPr>
        <w:spacing w:after="0" w:line="18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and workloads, irrespective of the underlying technology stack or deployment option. In this way, we empower our customers to harness the strength of the cloud.</w:t>
      </w:r>
    </w:p>
    <w:p>
      <w:pPr>
        <w:spacing w:after="0" w:line="214"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Over the past nine years, we have invested over $1 billion and 12 million hours to develop a robust and proprietary suite of over 200 technology tools, branded solutions and accelerators for our customers. Our proprietary technology includes automation that ranges from service delivery to self-healing infrastructure, giving us the ability to anticipate and proactively respond to opportunities and threats. This toolset ensures consistency in our customers’ experience and allows our Rackers to automate key service and application management processes, freeing up resources to focus on strategic, high-value business opportunities. This drives an efficient business model that has generated revenue per employee of over $375,000 for the years ended December 31, 2019 and 2020, which we believe is ahead of our competitors and in line with leading software-as-a-service companies.</w:t>
      </w:r>
    </w:p>
    <w:p>
      <w:pPr>
        <w:spacing w:after="0" w:line="19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Our customers are served by a family of approximately 7,200 Rackers, including some of the most qualified architects and engineers in the world. Our Rackers are at the center of the customer experience—they maintain a hyper-focus on customer experience and satisfaction and are available to our customers 24x7x365 by phone, chat, email or web portal.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a culture of innovation that permeates all that we do. Our Rackers gather insights from customers, cloud partners and each other to design, implement and operate some of the most advanced cloud environments. With our deep technical expertise, we build alongside our customers to solve their most complex business challenges and explore their most promising business opportunities. Rackers are on the front lines of cloud technology and are often among the first to utilize the latest capabilities of the cloud when launching new solutions with our cloud partners. Our partnerships, Rackers and culture combine to ensure that we are at the forefront of major trends in technology, including cloud native application development, Internet of Things and containers. This expertise—and our ability to deliver it effectively—enables our customers to innovate faster and stay ahead of their competition.</w:t>
      </w:r>
    </w:p>
    <w:p>
      <w:pPr>
        <w:spacing w:after="0" w:line="19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business benefits from a highly efficient go-to-market strategy given our large installed base of recurring revenue. Our sales efforts are led primarily by a team of over 950 quota-bearing representatives and customer success managers. Our ecosystem of over 3,000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w:t>
      </w:r>
    </w:p>
    <w:p>
      <w:pPr>
        <w:spacing w:after="0" w:line="21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large global enterprises, mid-market businesses and small and medium businesses ("SMBs"), which we define to be made up of customers with total revenue in excess of $1 billion, between $300 million and $1 billion and less than $300 million, respectively. As of December 31, 2020, our customer base included over 1,000 enterprises, over 1,000 mid-market businesses and over 114,000 SMBs.</w:t>
      </w:r>
    </w:p>
    <w:p>
      <w:pPr>
        <w:spacing w:after="0" w:line="21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Our success has been recognized by third parties and customers alike. We served over 117,000 customers across 120 countries as of December 31, 2020, including more than half of the Fortune 100. Gartner has recognized us as a Leader in its 2020 report, </w:t>
      </w:r>
      <w:r>
        <w:rPr>
          <w:rFonts w:ascii="Arial" w:cs="Arial" w:eastAsia="Arial" w:hAnsi="Arial"/>
          <w:sz w:val="18"/>
          <w:szCs w:val="18"/>
          <w:i w:val="1"/>
          <w:iCs w:val="1"/>
          <w:color w:val="auto"/>
        </w:rPr>
        <w:t>Magic Quadrant for Public Cloud</w:t>
      </w:r>
      <w:r>
        <w:rPr>
          <w:rFonts w:ascii="Arial" w:cs="Arial" w:eastAsia="Arial" w:hAnsi="Arial"/>
          <w:sz w:val="18"/>
          <w:szCs w:val="18"/>
          <w:color w:val="auto"/>
        </w:rPr>
        <w:t xml:space="preserve"> </w:t>
      </w:r>
      <w:r>
        <w:rPr>
          <w:rFonts w:ascii="Arial" w:cs="Arial" w:eastAsia="Arial" w:hAnsi="Arial"/>
          <w:sz w:val="18"/>
          <w:szCs w:val="18"/>
          <w:i w:val="1"/>
          <w:iCs w:val="1"/>
          <w:color w:val="auto"/>
        </w:rPr>
        <w:t>Infrastructure Professional and Managed Services, Worldwide</w:t>
      </w:r>
      <w:r>
        <w:rPr>
          <w:rFonts w:ascii="Arial" w:cs="Arial" w:eastAsia="Arial" w:hAnsi="Arial"/>
          <w:sz w:val="18"/>
          <w:szCs w:val="18"/>
          <w:color w:val="auto"/>
        </w:rPr>
        <w:t>, for the fourth year in a row. Forrester also recognized us as a Leader in its 2020 report,</w:t>
      </w:r>
      <w:r>
        <w:rPr>
          <w:rFonts w:ascii="Arial" w:cs="Arial" w:eastAsia="Arial" w:hAnsi="Arial"/>
          <w:sz w:val="18"/>
          <w:szCs w:val="18"/>
          <w:i w:val="1"/>
          <w:iCs w:val="1"/>
          <w:color w:val="auto"/>
        </w:rPr>
        <w:t xml:space="preserve"> The Forrester Wave: Multicloud Managed Services Providers, Q4 2020</w:t>
      </w:r>
      <w:r>
        <w:rPr>
          <w:rFonts w:ascii="Arial" w:cs="Arial" w:eastAsia="Arial" w:hAnsi="Arial"/>
          <w:sz w:val="18"/>
          <w:szCs w:val="18"/>
          <w:color w:val="auto"/>
        </w:rPr>
        <w:t>. We have received several industry awards, including VMware’s Global Partner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Award for Social Impact in 2020, Google Cloud’s Specialization Partner of the Year for Infrastructure in 2019 and the Red Hat Innovation Award in 2017. Additionally, we believe we are one of the leading consulting partners for Amazon Web Services ("AWS"), with 15 competencies as of December 31,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On November 3, 2016, Rackspace Hosting, Inc. (now named Rackspace Technology Global, Inc., or “Rackspace Technology Global”) was acquired by Inception Parent, Inc., an indirect wholly-owned subsidiary of the company. We refer to the acquisition of Rackspace Hosting, Inc. as the “Rackspace Acquisition.”</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Our predecessor company was founded in 1998. Historically, we focused on providing outsourced, dedicated IT infrastructure. Since the Rackspace Acquisition, we have transformed our business in several ways:</w:t>
      </w:r>
    </w:p>
    <w:p>
      <w:pPr>
        <w:spacing w:after="0" w:line="193" w:lineRule="exact"/>
        <w:rPr>
          <w:sz w:val="20"/>
          <w:szCs w:val="20"/>
          <w:color w:val="auto"/>
        </w:rPr>
      </w:pPr>
    </w:p>
    <w:p>
      <w:pPr>
        <w:ind w:left="660" w:right="100" w:hanging="166"/>
        <w:spacing w:after="0" w:line="303"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Core offerings and service expertise. </w:t>
      </w:r>
      <w:r>
        <w:rPr>
          <w:rFonts w:ascii="Arial" w:cs="Arial" w:eastAsia="Arial" w:hAnsi="Arial"/>
          <w:sz w:val="16"/>
          <w:szCs w:val="16"/>
          <w:color w:val="auto"/>
        </w:rPr>
        <w:t>We have invested in multiple high growth service offerings, including multicloud services,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managed security and data services. In this process, we established one of the broadest partner ecosystems across the technology industry, including infrastructure partners such as AWS, Google, Microsoft and VMware, and application leaders such as Oracle, SAP and others. Additionally, we have made a series of transformative acquisitions to expand our cloud services capabilities and increase our geographic reach.</w:t>
      </w:r>
    </w:p>
    <w:p>
      <w:pPr>
        <w:spacing w:after="0" w:line="42" w:lineRule="exact"/>
        <w:rPr>
          <w:rFonts w:ascii="Arial" w:cs="Arial" w:eastAsia="Arial" w:hAnsi="Arial"/>
          <w:sz w:val="16"/>
          <w:szCs w:val="16"/>
          <w:color w:val="auto"/>
        </w:rPr>
      </w:pPr>
    </w:p>
    <w:p>
      <w:pPr>
        <w:ind w:left="660" w:right="80" w:hanging="166"/>
        <w:spacing w:after="0" w:line="303"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Go-to-market. </w:t>
      </w:r>
      <w:r>
        <w:rPr>
          <w:rFonts w:ascii="Arial" w:cs="Arial" w:eastAsia="Arial" w:hAnsi="Arial"/>
          <w:sz w:val="16"/>
          <w:szCs w:val="16"/>
          <w:color w:val="auto"/>
        </w:rPr>
        <w:t>In 2016, our sales process was focused on the sale of a narrow group of point products, most notably our OpenStack Public Cloud</w:t>
      </w:r>
      <w:r>
        <w:rPr>
          <w:rFonts w:ascii="Arial" w:cs="Arial" w:eastAsia="Arial" w:hAnsi="Arial"/>
          <w:sz w:val="16"/>
          <w:szCs w:val="16"/>
          <w:b w:val="1"/>
          <w:bCs w:val="1"/>
          <w:color w:val="auto"/>
        </w:rPr>
        <w:t xml:space="preserve"> </w:t>
      </w:r>
      <w:r>
        <w:rPr>
          <w:rFonts w:ascii="Arial" w:cs="Arial" w:eastAsia="Arial" w:hAnsi="Arial"/>
          <w:sz w:val="16"/>
          <w:szCs w:val="16"/>
          <w:color w:val="auto"/>
        </w:rPr>
        <w:t>and Single Tenant (managed hosting) offerings. Today, our sales process uses a professional services-driven approach, providing holistic multicloud solutions to meet our customers’ objectives and evolving those solutions over the full lifecycle of their cloud journey. We also have increased our focus on serving enterprise customers, which we define as companies that generate $1 billion or more in revenue per year.</w:t>
      </w:r>
    </w:p>
    <w:p>
      <w:pPr>
        <w:spacing w:after="0" w:line="42" w:lineRule="exact"/>
        <w:rPr>
          <w:rFonts w:ascii="Arial" w:cs="Arial" w:eastAsia="Arial" w:hAnsi="Arial"/>
          <w:sz w:val="16"/>
          <w:szCs w:val="16"/>
          <w:color w:val="auto"/>
        </w:rPr>
      </w:pPr>
    </w:p>
    <w:p>
      <w:pPr>
        <w:jc w:val="both"/>
        <w:ind w:left="660" w:right="400" w:hanging="166"/>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 proprietary technology and automation capabilities. </w:t>
      </w:r>
      <w:r>
        <w:rPr>
          <w:rFonts w:ascii="Arial" w:cs="Arial" w:eastAsia="Arial" w:hAnsi="Arial"/>
          <w:sz w:val="18"/>
          <w:szCs w:val="18"/>
          <w:color w:val="auto"/>
        </w:rPr>
        <w:t>We have made significant investments to develop proprietary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and tools for our customers. These include automation, artificial intelligence, predictive analytics and proprietary tools that make our services even more reliable and easier to use and extend our advantage over both our competitors and our customers’ ability to replicate these efficiencies on their own.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580" w:hanging="106"/>
        <w:spacing w:after="0"/>
        <w:tabs>
          <w:tab w:leader="none" w:pos="5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20" w:hanging="166"/>
        <w:spacing w:after="0" w:line="298"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Management team. </w:t>
      </w:r>
      <w:r>
        <w:rPr>
          <w:rFonts w:ascii="Arial" w:cs="Arial" w:eastAsia="Arial" w:hAnsi="Arial"/>
          <w:sz w:val="16"/>
          <w:szCs w:val="16"/>
          <w:color w:val="auto"/>
        </w:rPr>
        <w:t>In April 2019, we announced the hiring of our new CEO, Kevin Jones, and, in July 2019, we announced the hiring of our</w:t>
      </w:r>
      <w:r>
        <w:rPr>
          <w:rFonts w:ascii="Arial" w:cs="Arial" w:eastAsia="Arial" w:hAnsi="Arial"/>
          <w:sz w:val="16"/>
          <w:szCs w:val="16"/>
          <w:b w:val="1"/>
          <w:bCs w:val="1"/>
          <w:color w:val="auto"/>
        </w:rPr>
        <w:t xml:space="preserve"> </w:t>
      </w:r>
      <w:r>
        <w:rPr>
          <w:rFonts w:ascii="Arial" w:cs="Arial" w:eastAsia="Arial" w:hAnsi="Arial"/>
          <w:sz w:val="16"/>
          <w:szCs w:val="16"/>
          <w:color w:val="auto"/>
        </w:rPr>
        <w:t>new COO, Subroto Mukerji. In October 2020, we announced the hiring of our new CFO, Amar Maletira. In addition to these executives, we have made additional new hires across the executive leadership team, bringing in new talent with relevant experience across the IT services and technology landscape. Collectively, our executive leadership team benefits from over 150 years of cumulative experience at large technology companies, many with direct experience leading businesses through major transformation initiatives including product introductions and M&amp;A.</w:t>
      </w:r>
    </w:p>
    <w:p>
      <w:pPr>
        <w:spacing w:after="0" w:line="18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Today, we are a trusted partner to the cloud ecosystem. We maintain close relationships with major cloud infrastructure and application vendors, enabling us to provide our customers with complete, unbiased multicloud services, all through our single customer interface. We no longer actively market our OpenStack Public Cloud service, which once was competitive with hyperscale public cloud platforms and was highly capital intensive, in order to focus our resources on growing our multicloud services portfolio.</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transformation has also benefited our financial model in several key ways:</w:t>
      </w:r>
    </w:p>
    <w:p>
      <w:pPr>
        <w:spacing w:after="0" w:line="252" w:lineRule="exact"/>
        <w:rPr>
          <w:sz w:val="20"/>
          <w:szCs w:val="20"/>
          <w:color w:val="auto"/>
        </w:rPr>
      </w:pPr>
    </w:p>
    <w:p>
      <w:pPr>
        <w:ind w:left="660" w:hanging="166"/>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increased the percentage of our revenue from segments which we believe benefit from attractive growth dynamics. In 2020, over 90% of our revenue came from our Multicloud Services and Apps &amp; Cross Platform segments, which we refer to as "Core Segments". In contrast, in the twelve months ended September 30, 2016, less than 10% of our revenue came from our Cloud Office and Managed Cloud Services service offerings.</w:t>
      </w:r>
    </w:p>
    <w:p>
      <w:pPr>
        <w:spacing w:after="0" w:line="78" w:lineRule="exact"/>
        <w:rPr>
          <w:rFonts w:ascii="Arial" w:cs="Arial" w:eastAsia="Arial" w:hAnsi="Arial"/>
          <w:sz w:val="18"/>
          <w:szCs w:val="18"/>
          <w:color w:val="auto"/>
        </w:rPr>
      </w:pPr>
    </w:p>
    <w:p>
      <w:pPr>
        <w:ind w:left="660" w:right="60" w:hanging="166"/>
        <w:spacing w:after="0" w:line="254" w:lineRule="auto"/>
        <w:tabs>
          <w:tab w:leader="none" w:pos="659" w:val="left"/>
        </w:tabs>
        <w:numPr>
          <w:ilvl w:val="0"/>
          <w:numId w:val="5"/>
        </w:numPr>
        <w:rPr>
          <w:rFonts w:ascii="Arial" w:cs="Arial" w:eastAsia="Arial" w:hAnsi="Arial"/>
          <w:sz w:val="15"/>
          <w:szCs w:val="15"/>
          <w:b w:val="1"/>
          <w:bCs w:val="1"/>
          <w:i w:val="1"/>
          <w:iCs w:val="1"/>
          <w:color w:val="auto"/>
        </w:rPr>
      </w:pPr>
      <w:r>
        <w:rPr>
          <w:rFonts w:ascii="Arial" w:cs="Arial" w:eastAsia="Arial" w:hAnsi="Arial"/>
          <w:sz w:val="18"/>
          <w:szCs w:val="18"/>
          <w:color w:val="auto"/>
        </w:rPr>
        <w:t>For the year ended December 31, 2020, revenue from our Core Segments ("Core Revenue") was $2,478.1 million, representing a 15.1% increase on a constant currency basis, and a 15.2% increase on an actual basis, over the year ended December 31, 2019. After giving effect to our acquisition of Onica Holdings LLC ("Onica") in November 2019 as if it had occurred on January 1, 2019, Core Revenue for the year ended December 31, 2020 increased by 9%, on a constant currency basis, over the year ended December 31, 2019. This compares to year-over-year revenue growth of 6%, on a constant currency basis, and 4%, on an actual basis, for the nine months ended September 30, 2016, our last reported fiscal year-to-date period as a public company prior to the closing of the Rackspace Acquisition, based on the public company’s core service offerings at such time, which were Single Tenant (managed hosting) and OpenStack Public Cloud, and excluding Cloud Office and Managed Cloud Services.</w:t>
      </w:r>
    </w:p>
    <w:p>
      <w:pPr>
        <w:spacing w:after="0" w:line="83" w:lineRule="exact"/>
        <w:rPr>
          <w:rFonts w:ascii="Arial" w:cs="Arial" w:eastAsia="Arial" w:hAnsi="Arial"/>
          <w:sz w:val="15"/>
          <w:szCs w:val="15"/>
          <w:b w:val="1"/>
          <w:bCs w:val="1"/>
          <w:i w:val="1"/>
          <w:iCs w:val="1"/>
          <w:color w:val="auto"/>
        </w:rPr>
      </w:pPr>
    </w:p>
    <w:p>
      <w:pPr>
        <w:ind w:left="660" w:right="180" w:hanging="166"/>
        <w:spacing w:after="0" w:line="277" w:lineRule="auto"/>
        <w:tabs>
          <w:tab w:leader="none" w:pos="649" w:val="left"/>
        </w:tabs>
        <w:numPr>
          <w:ilvl w:val="0"/>
          <w:numId w:val="5"/>
        </w:numPr>
        <w:rPr>
          <w:rFonts w:ascii="Arial" w:cs="Arial" w:eastAsia="Arial" w:hAnsi="Arial"/>
          <w:sz w:val="16"/>
          <w:szCs w:val="16"/>
          <w:b w:val="1"/>
          <w:bCs w:val="1"/>
          <w:i w:val="1"/>
          <w:iCs w:val="1"/>
          <w:color w:val="auto"/>
        </w:rPr>
      </w:pPr>
      <w:r>
        <w:rPr>
          <w:rFonts w:ascii="Arial" w:cs="Arial" w:eastAsia="Arial" w:hAnsi="Arial"/>
          <w:sz w:val="18"/>
          <w:szCs w:val="18"/>
          <w:color w:val="auto"/>
        </w:rPr>
        <w:t>We have decreased our capital intensity, which we define as total capital expenditures as a percentage of total revenue, from 16% for the twelve months ended September 30, 2016, to 8% for the year ended December 31, 2020.</w:t>
      </w:r>
    </w:p>
    <w:p>
      <w:pPr>
        <w:spacing w:after="0" w:line="62" w:lineRule="exact"/>
        <w:rPr>
          <w:rFonts w:ascii="Arial" w:cs="Arial" w:eastAsia="Arial" w:hAnsi="Arial"/>
          <w:sz w:val="16"/>
          <w:szCs w:val="16"/>
          <w:b w:val="1"/>
          <w:bCs w:val="1"/>
          <w:i w:val="1"/>
          <w:iCs w:val="1"/>
          <w:color w:val="auto"/>
        </w:rPr>
      </w:pPr>
    </w:p>
    <w:p>
      <w:pPr>
        <w:ind w:left="660" w:right="120" w:hanging="166"/>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year ended December 31, 2020, we increased Bookings to $1,126.1 million, an increase of 61% as compared to Bookings of $700.7 million for the year ended December 31, 2019. After giving effect to the acquisition of Onica as if it had occurred on January 1, 2019, Bookings increased 40% in the year ended December 31, 2020 as compared to the year ended December 31, 2019.</w:t>
      </w:r>
    </w:p>
    <w:p>
      <w:pPr>
        <w:spacing w:after="0" w:line="5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On August 7, 2020, we completed our initial public offering (the "IPO"), in which we issued and sold 33,500,000 shares of our common stock at a public offering price of $21.00 per share. We received net proceeds of $666.6 million from sales of shares in the IPO, after deducting underwriters' discounts and commissions of $36.9 million, but before deducting offering expenses of $8.8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Rise of Multicloud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Adoption of cloud solutions has occurred in waves over the last decade:</w:t>
      </w:r>
    </w:p>
    <w:p>
      <w:pPr>
        <w:spacing w:after="0" w:line="248" w:lineRule="exact"/>
        <w:rPr>
          <w:sz w:val="20"/>
          <w:szCs w:val="20"/>
          <w:color w:val="auto"/>
        </w:rPr>
      </w:pPr>
    </w:p>
    <w:p>
      <w:pPr>
        <w:ind w:left="660" w:right="460" w:hanging="166"/>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Early (early 2010s): </w:t>
      </w:r>
      <w:r>
        <w:rPr>
          <w:rFonts w:ascii="Arial" w:cs="Arial" w:eastAsia="Arial" w:hAnsi="Arial"/>
          <w:sz w:val="18"/>
          <w:szCs w:val="18"/>
          <w:color w:val="auto"/>
        </w:rPr>
        <w:t>Early adopters of cloud solutions included various technology leaders and cloud-native businesses. These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embraced the novelty of cloud architectures, shifting away from their historical use of legacy on-premises infrastructure and building entire operations and revenue streams on cloud services.</w:t>
      </w:r>
    </w:p>
    <w:p>
      <w:pPr>
        <w:spacing w:after="0" w:line="67" w:lineRule="exact"/>
        <w:rPr>
          <w:rFonts w:ascii="Arial" w:cs="Arial" w:eastAsia="Arial" w:hAnsi="Arial"/>
          <w:sz w:val="18"/>
          <w:szCs w:val="18"/>
          <w:color w:val="auto"/>
        </w:rPr>
      </w:pPr>
    </w:p>
    <w:p>
      <w:pPr>
        <w:ind w:left="660" w:hanging="166"/>
        <w:spacing w:after="0" w:line="314"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Mainstream (mid-2010s): </w:t>
      </w:r>
      <w:r>
        <w:rPr>
          <w:rFonts w:ascii="Arial" w:cs="Arial" w:eastAsia="Arial" w:hAnsi="Arial"/>
          <w:sz w:val="16"/>
          <w:szCs w:val="16"/>
          <w:color w:val="auto"/>
        </w:rPr>
        <w:t>Motivated by the value that cloud technologies unlocked for early adopters, more technology-focused mid-market and</w:t>
      </w:r>
      <w:r>
        <w:rPr>
          <w:rFonts w:ascii="Arial" w:cs="Arial" w:eastAsia="Arial" w:hAnsi="Arial"/>
          <w:sz w:val="16"/>
          <w:szCs w:val="16"/>
          <w:b w:val="1"/>
          <w:bCs w:val="1"/>
          <w:color w:val="auto"/>
        </w:rPr>
        <w:t xml:space="preserve"> </w:t>
      </w:r>
      <w:r>
        <w:rPr>
          <w:rFonts w:ascii="Arial" w:cs="Arial" w:eastAsia="Arial" w:hAnsi="Arial"/>
          <w:sz w:val="16"/>
          <w:szCs w:val="16"/>
          <w:color w:val="auto"/>
        </w:rPr>
        <w:t>enterprise businesses turned to the cloud. Many of these businesses focused on reducing costs and enhancing scale and reliability, but did not embrace the people, process and technology changes required to create new revenue streams and enhance customer experiences.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4" w:lineRule="exact"/>
        <w:rPr>
          <w:rFonts w:ascii="Arial" w:cs="Arial" w:eastAsia="Arial" w:hAnsi="Arial"/>
          <w:sz w:val="16"/>
          <w:szCs w:val="16"/>
          <w:color w:val="auto"/>
        </w:rPr>
      </w:pPr>
    </w:p>
    <w:p>
      <w:pPr>
        <w:ind w:left="5580" w:hanging="106"/>
        <w:spacing w:after="0"/>
        <w:tabs>
          <w:tab w:leader="none" w:pos="5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40" w:hanging="166"/>
        <w:spacing w:after="0" w:line="274"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Modern (Present day): </w:t>
      </w:r>
      <w:r>
        <w:rPr>
          <w:rFonts w:ascii="Arial" w:cs="Arial" w:eastAsia="Arial" w:hAnsi="Arial"/>
          <w:sz w:val="17"/>
          <w:szCs w:val="17"/>
          <w:color w:val="auto"/>
        </w:rPr>
        <w:t>Today, businesses are adopting cloud-native principles, embracing agile techniques and adapting their business practices</w:t>
      </w:r>
      <w:r>
        <w:rPr>
          <w:rFonts w:ascii="Arial" w:cs="Arial" w:eastAsia="Arial" w:hAnsi="Arial"/>
          <w:sz w:val="17"/>
          <w:szCs w:val="17"/>
          <w:b w:val="1"/>
          <w:bCs w:val="1"/>
          <w:color w:val="auto"/>
        </w:rPr>
        <w:t xml:space="preserve"> </w:t>
      </w:r>
      <w:r>
        <w:rPr>
          <w:rFonts w:ascii="Arial" w:cs="Arial" w:eastAsia="Arial" w:hAnsi="Arial"/>
          <w:sz w:val="17"/>
          <w:szCs w:val="17"/>
          <w:color w:val="auto"/>
        </w:rPr>
        <w:t>to maximize the benefits of the modern cloud. In addition, more businesses are turning to multicloud solutions to match individual workloads with the best cloud technology stack and the best deployment model; according to Gartner’s survey of public cloud users, "over 80% have adopted a multicloud approach". In response to this need for multicloud solutions, cloud technology vendors that have historically focused on public cloud solutions are offering private cloud solutions to provide maximum flexibility for their customers. Similarly, several technology vendors that have historically focused on private cloud technologies are offering public cloud alternatives.</w:t>
      </w:r>
    </w:p>
    <w:p>
      <w:pPr>
        <w:spacing w:after="0" w:line="20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As more businesses adopt multicloud technologies, they are faced with an increasing number of complexities, including migration to and between clouds, siloed workloads and defending against increasing security threats. Moreover, more businesses are looking into ways to use their cloud technologies to enhance commercial opportunities and customer experiences and create new avenues for growth. We believe this creates a large and growing opportunity for services partners that are able to offer multicloud services in a way which offers customers the best technologies for their workloads, irrespective of technology stack or deployment model, and enables customers to maximize the value of their cloud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Integrated Services Portfolio</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serve our customers through an integrated services portfolio organized in two segments—Multicloud Services and Apps &amp; Cross Platform. The services across these two segments are described in more detail below:</w:t>
      </w:r>
    </w:p>
    <w:p>
      <w:pPr>
        <w:spacing w:after="0" w:line="193" w:lineRule="exact"/>
        <w:rPr>
          <w:sz w:val="20"/>
          <w:szCs w:val="20"/>
          <w:color w:val="auto"/>
        </w:rPr>
      </w:pPr>
    </w:p>
    <w:p>
      <w:pPr>
        <w:ind w:left="660" w:right="20" w:hanging="166"/>
        <w:spacing w:after="0" w:line="274"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Multicloud Services: </w:t>
      </w:r>
      <w:r>
        <w:rPr>
          <w:rFonts w:ascii="Arial" w:cs="Arial" w:eastAsia="Arial" w:hAnsi="Arial"/>
          <w:sz w:val="17"/>
          <w:szCs w:val="17"/>
          <w:color w:val="auto"/>
        </w:rPr>
        <w:t>Our Multicloud Services segment includes our public and private cloud managed services offerings, as well as professional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related to designing and building multicloud solutions and cloud-native applications. We offer an integrated suite of managed services offerings across our private cloud, the leading public clouds and colocation. Our managed cloud services help customers determine, manage and optimize the right infrastructure, platforms and services on which to deploy their applications to achieve the best performance, agility, security and cost efficiency. We also help customers establish governance, operational and architectural frameworks to mitigate risks and reduce inefficiencies, so they can manage costs, achieve industry-specific compliance objectives and improve security.</w:t>
      </w:r>
    </w:p>
    <w:p>
      <w:pPr>
        <w:spacing w:after="0" w:line="6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Within our Multicloud Services segment, we offer the following services:</w:t>
      </w:r>
    </w:p>
    <w:p>
      <w:pPr>
        <w:spacing w:after="0" w:line="117" w:lineRule="exact"/>
        <w:rPr>
          <w:rFonts w:ascii="Arial" w:cs="Arial" w:eastAsia="Arial" w:hAnsi="Arial"/>
          <w:sz w:val="17"/>
          <w:szCs w:val="17"/>
          <w:color w:val="auto"/>
        </w:rPr>
      </w:pPr>
    </w:p>
    <w:p>
      <w:pPr>
        <w:ind w:left="1140" w:right="80" w:hanging="160"/>
        <w:spacing w:after="0" w:line="270" w:lineRule="auto"/>
        <w:tabs>
          <w:tab w:leader="none" w:pos="1135" w:val="left"/>
        </w:tabs>
        <w:numPr>
          <w:ilvl w:val="1"/>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Private cloud: </w:t>
      </w:r>
      <w:r>
        <w:rPr>
          <w:rFonts w:ascii="Arial" w:cs="Arial" w:eastAsia="Arial" w:hAnsi="Arial"/>
          <w:sz w:val="17"/>
          <w:szCs w:val="17"/>
          <w:color w:val="auto"/>
        </w:rPr>
        <w:t>These service offerings provide compute, storage and applications accessed by a specific customer, either with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layer (in managed private cloud) or without one (in managed hosting). We offer managed private clouds powered by leading technologies like VMware, Microsoft and OpenStack in our data centers as well as in those owned by customers or by third parties such as colocation providers. We also offer managed VMware on AWS, delivering an increasingly popular hybrid combination. We offer managed hosting in our own data centers, on Linux or Windows servers. Our private cloud offerings can be used with or without virtualization software. Some applications, including high-intensity databases and video games, typically achieve higher performance and cost-efficiency on bare-metal servers. Other applications run better on virtualized servers. Customers who run legacy applications or larger scale modern enterprise applications, and/or have high requirements for security, compliance and control, typically find that private cloud solutions are preferable to do-it-yourself public or private cloud alternatives.</w:t>
      </w:r>
    </w:p>
    <w:p>
      <w:pPr>
        <w:spacing w:after="0" w:line="72" w:lineRule="exact"/>
        <w:rPr>
          <w:rFonts w:ascii="Arial" w:cs="Arial" w:eastAsia="Arial" w:hAnsi="Arial"/>
          <w:sz w:val="17"/>
          <w:szCs w:val="17"/>
          <w:i w:val="1"/>
          <w:iCs w:val="1"/>
          <w:color w:val="auto"/>
        </w:rPr>
      </w:pPr>
    </w:p>
    <w:p>
      <w:pPr>
        <w:ind w:left="1140" w:hanging="160"/>
        <w:spacing w:after="0" w:line="272" w:lineRule="auto"/>
        <w:tabs>
          <w:tab w:leader="none" w:pos="1135"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Managed public cloud: </w:t>
      </w:r>
      <w:r>
        <w:rPr>
          <w:rFonts w:ascii="Arial" w:cs="Arial" w:eastAsia="Arial" w:hAnsi="Arial"/>
          <w:sz w:val="17"/>
          <w:szCs w:val="17"/>
          <w:color w:val="auto"/>
        </w:rPr>
        <w:t>These offerings address the challenges of managing applications and data on the AWS, Microsoft Azure ("Azure")</w:t>
      </w:r>
      <w:r>
        <w:rPr>
          <w:rFonts w:ascii="Arial" w:cs="Arial" w:eastAsia="Arial" w:hAnsi="Arial"/>
          <w:sz w:val="17"/>
          <w:szCs w:val="17"/>
          <w:i w:val="1"/>
          <w:iCs w:val="1"/>
          <w:color w:val="auto"/>
        </w:rPr>
        <w:t xml:space="preserve"> </w:t>
      </w:r>
      <w:r>
        <w:rPr>
          <w:rFonts w:ascii="Arial" w:cs="Arial" w:eastAsia="Arial" w:hAnsi="Arial"/>
          <w:sz w:val="17"/>
          <w:szCs w:val="17"/>
          <w:color w:val="auto"/>
        </w:rPr>
        <w:t>and Google Cloud public 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spacing w:after="0" w:line="308" w:lineRule="exact"/>
        <w:rPr>
          <w:rFonts w:ascii="Arial" w:cs="Arial" w:eastAsia="Arial" w:hAnsi="Arial"/>
          <w:sz w:val="17"/>
          <w:szCs w:val="17"/>
          <w:color w:val="auto"/>
        </w:rPr>
      </w:pPr>
    </w:p>
    <w:p>
      <w:pPr>
        <w:ind w:left="660" w:right="340" w:hanging="166"/>
        <w:spacing w:after="0" w:line="28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Apps &amp; Cross Platform: </w:t>
      </w:r>
      <w:r>
        <w:rPr>
          <w:rFonts w:ascii="Arial" w:cs="Arial" w:eastAsia="Arial" w:hAnsi="Arial"/>
          <w:sz w:val="18"/>
          <w:szCs w:val="18"/>
          <w:color w:val="auto"/>
        </w:rPr>
        <w:t>Our Apps &amp; Cross Platform segment includes managed applications, managed security and data services,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services related to designing and implementing application, security and data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5580" w:hanging="106"/>
        <w:spacing w:after="0"/>
        <w:tabs>
          <w:tab w:leader="none" w:pos="5580" w:val="left"/>
        </w:tabs>
        <w:numPr>
          <w:ilvl w:val="2"/>
          <w:numId w:val="8"/>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160"/>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Managed applications: </w:t>
      </w:r>
      <w:r>
        <w:rPr>
          <w:rFonts w:ascii="Arial" w:cs="Arial" w:eastAsia="Arial" w:hAnsi="Arial"/>
          <w:sz w:val="17"/>
          <w:szCs w:val="17"/>
          <w:color w:val="auto"/>
        </w:rPr>
        <w:t>Our managed application services include running large-scale software-as-a-services (SaaS) applications for</w:t>
      </w:r>
    </w:p>
    <w:p>
      <w:pPr>
        <w:spacing w:after="0" w:line="34" w:lineRule="exact"/>
        <w:rPr>
          <w:rFonts w:ascii="Arial" w:cs="Arial" w:eastAsia="Arial" w:hAnsi="Arial"/>
          <w:sz w:val="17"/>
          <w:szCs w:val="17"/>
          <w:color w:val="auto"/>
        </w:rPr>
      </w:pPr>
    </w:p>
    <w:p>
      <w:pPr>
        <w:jc w:val="both"/>
        <w:ind w:left="1140" w:right="300"/>
        <w:spacing w:after="0" w:line="302" w:lineRule="auto"/>
        <w:rPr>
          <w:rFonts w:ascii="Arial" w:cs="Arial" w:eastAsia="Arial" w:hAnsi="Arial"/>
          <w:sz w:val="17"/>
          <w:szCs w:val="17"/>
          <w:color w:val="auto"/>
        </w:rPr>
      </w:pPr>
      <w:r>
        <w:rPr>
          <w:rFonts w:ascii="Arial" w:cs="Arial" w:eastAsia="Arial" w:hAnsi="Arial"/>
          <w:sz w:val="16"/>
          <w:szCs w:val="16"/>
          <w:color w:val="auto"/>
        </w:rPr>
        <w:t>customers on our and public cloud infrastructure, such as Oracle, SAP and Office 365. This includes key functions such as: managing a customer’s applications and performing key functions such as account management and scaling up or down of required cloud resources. Additionally, we manage productivity and collaboration applications such as email and hosted Microsoft SharePoint.</w:t>
      </w:r>
    </w:p>
    <w:p>
      <w:pPr>
        <w:spacing w:after="0" w:line="47" w:lineRule="exact"/>
        <w:rPr>
          <w:rFonts w:ascii="Arial" w:cs="Arial" w:eastAsia="Arial" w:hAnsi="Arial"/>
          <w:sz w:val="17"/>
          <w:szCs w:val="17"/>
          <w:color w:val="auto"/>
        </w:rPr>
      </w:pPr>
    </w:p>
    <w:p>
      <w:pPr>
        <w:ind w:left="1140" w:right="520" w:hanging="160"/>
        <w:spacing w:after="0" w:line="311" w:lineRule="auto"/>
        <w:tabs>
          <w:tab w:leader="none" w:pos="113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Managed security: </w:t>
      </w:r>
      <w:r>
        <w:rPr>
          <w:rFonts w:ascii="Arial" w:cs="Arial" w:eastAsia="Arial" w:hAnsi="Arial"/>
          <w:sz w:val="16"/>
          <w:szCs w:val="16"/>
          <w:color w:val="auto"/>
        </w:rPr>
        <w:t>We provide fully-integrated security solutions that combine cutting-edge technology with our in-house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Center to provide customers with threat detection, analysis and remediation capabilities. Additionally, we have integrated security platforms into our management tools to give our customers one view of their organization’s vulnerability and threats.</w:t>
      </w:r>
    </w:p>
    <w:p>
      <w:pPr>
        <w:spacing w:after="0" w:line="40" w:lineRule="exact"/>
        <w:rPr>
          <w:rFonts w:ascii="Arial" w:cs="Arial" w:eastAsia="Arial" w:hAnsi="Arial"/>
          <w:sz w:val="16"/>
          <w:szCs w:val="16"/>
          <w:color w:val="auto"/>
        </w:rPr>
      </w:pPr>
    </w:p>
    <w:p>
      <w:pPr>
        <w:ind w:left="1140" w:right="20"/>
        <w:spacing w:after="0" w:line="279" w:lineRule="auto"/>
        <w:rPr>
          <w:rFonts w:ascii="Arial" w:cs="Arial" w:eastAsia="Arial" w:hAnsi="Arial"/>
          <w:sz w:val="16"/>
          <w:szCs w:val="16"/>
          <w:color w:val="auto"/>
        </w:rPr>
      </w:pPr>
      <w:r>
        <w:rPr>
          <w:rFonts w:ascii="Arial" w:cs="Arial" w:eastAsia="Arial" w:hAnsi="Arial"/>
          <w:sz w:val="17"/>
          <w:szCs w:val="17"/>
          <w:color w:val="auto"/>
        </w:rPr>
        <w:t>We offer additional managed security services to customers in the areas of (i) security threat assessment and prevention, (ii) proactive threat detection and response, (iii) rapid remediation, (iv) governance, risk and compliance assistance across multiple cloud platforms and (v) Privacy and Data Protection services, including detailed access restrictions and reporting. Our 24x7x365 Customer Security Operations Center is staffed by experienced Global Information Assurance Certification (GIAC) security analysts.</w:t>
      </w:r>
    </w:p>
    <w:p>
      <w:pPr>
        <w:spacing w:after="0" w:line="63" w:lineRule="exact"/>
        <w:rPr>
          <w:rFonts w:ascii="Arial" w:cs="Arial" w:eastAsia="Arial" w:hAnsi="Arial"/>
          <w:sz w:val="16"/>
          <w:szCs w:val="16"/>
          <w:color w:val="auto"/>
        </w:rPr>
      </w:pPr>
    </w:p>
    <w:p>
      <w:pPr>
        <w:ind w:left="1140" w:right="100" w:hanging="160"/>
        <w:spacing w:after="0" w:line="273" w:lineRule="auto"/>
        <w:tabs>
          <w:tab w:leader="none" w:pos="11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Data services: </w:t>
      </w:r>
      <w:r>
        <w:rPr>
          <w:rFonts w:ascii="Arial" w:cs="Arial" w:eastAsia="Arial" w:hAnsi="Arial"/>
          <w:sz w:val="17"/>
          <w:szCs w:val="17"/>
          <w:color w:val="auto"/>
        </w:rPr>
        <w:t>We help customers use their data to further innovate by providing services and expertise for data extraction, transformation,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ingestion, storage and analysis. We utilize both traditional analytics platforms and new, machine learning approaches to build repeatable, scalable and automated platforms that extract meaningful insights. Our developers, administrators and cloud and data analytics architects are skilled across a full range of database services, including managed relational databases (Oracle, SAP, SQL Server and MySQL), big data (Hadoop), managed NoSQL (MongoDB) and managed SAP HANA. Our data services are offered both through our managed services subscriptions and through our professional services offerings.</w:t>
      </w:r>
    </w:p>
    <w:p>
      <w:pPr>
        <w:spacing w:after="0" w:line="31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deliver professional services across our entire portfolio, including multicloud solutions,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w:t>
      </w:r>
    </w:p>
    <w:p>
      <w:pPr>
        <w:spacing w:after="0" w:line="21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addition to our integrated services portfolio described above, we also offer customers our OpenStack Public Cloud solution, our third reporting segment. This offering appeals to customers who (i) want to run applications on a public cloud that is built on open-source technology with no risk of vendor lock-in; (ii) value the expertise and exceptional customer service for which we are renowned; and (iii) want their public cloud and managed hosting platforms to work smoothly together, through technologies such as our proprietary RackConnect tool. While we expect to continue to offer our OpenStack Public Cloud solution, we ceased to actively market it to customers in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Platform</w:t>
      </w:r>
    </w:p>
    <w:p>
      <w:pPr>
        <w:spacing w:after="0" w:line="252" w:lineRule="exact"/>
        <w:rPr>
          <w:sz w:val="20"/>
          <w:szCs w:val="20"/>
          <w:color w:val="auto"/>
        </w:rPr>
      </w:pPr>
    </w:p>
    <w:p>
      <w:pPr>
        <w:jc w:val="center"/>
        <w:ind w:right="340"/>
        <w:spacing w:after="0" w:line="342" w:lineRule="auto"/>
        <w:rPr>
          <w:sz w:val="20"/>
          <w:szCs w:val="20"/>
          <w:color w:val="auto"/>
        </w:rPr>
      </w:pPr>
      <w:r>
        <w:rPr>
          <w:rFonts w:ascii="Arial" w:cs="Arial" w:eastAsia="Arial" w:hAnsi="Arial"/>
          <w:sz w:val="16"/>
          <w:szCs w:val="16"/>
          <w:color w:val="auto"/>
        </w:rPr>
        <w:t>Our technology platform is at the center of the Fanatical Experience that we deliver to customers. Our technologies focus on removing the complexities of multicloud deployments, unifying compelling aspects of the experience for our customers and enabling us to deliver scalable solutions.</w:t>
      </w:r>
    </w:p>
    <w:p>
      <w:pPr>
        <w:spacing w:after="0" w:line="147" w:lineRule="exact"/>
        <w:rPr>
          <w:sz w:val="20"/>
          <w:szCs w:val="20"/>
          <w:color w:val="auto"/>
        </w:rPr>
      </w:pPr>
    </w:p>
    <w:p>
      <w:pPr>
        <w:ind w:left="660" w:right="60" w:hanging="166"/>
        <w:spacing w:after="0" w:line="274"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Innovative automation </w:t>
      </w:r>
      <w:r>
        <w:rPr>
          <w:rFonts w:ascii="Arial" w:cs="Arial" w:eastAsia="Arial" w:hAnsi="Arial"/>
          <w:sz w:val="17"/>
          <w:szCs w:val="17"/>
          <w:color w:val="auto"/>
        </w:rPr>
        <w:t>drives efficiency for us and our customers, enabling us to rapidly and consistently deliver our solutions across multiple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clouds at scale. Rackspace Business Automation is a custom platform developed to handle over 11 million events and over 1 billion actions per month across physical devices, virtual devices, systems and tools; data center automation provides services and applications to automate provisioning, configuring and the decommissioning of data center infrastructure; and UIPath Robotic Process Automation is deployed across our business to automate repetitive tasks. We can automate 75% of customer support workloads based upon the automation of thousands of unique processes across our support organization.</w:t>
      </w:r>
    </w:p>
    <w:p>
      <w:pPr>
        <w:spacing w:after="0" w:line="65" w:lineRule="exact"/>
        <w:rPr>
          <w:rFonts w:ascii="Arial" w:cs="Arial" w:eastAsia="Arial" w:hAnsi="Arial"/>
          <w:sz w:val="17"/>
          <w:szCs w:val="17"/>
          <w:color w:val="auto"/>
        </w:rPr>
      </w:pPr>
    </w:p>
    <w:p>
      <w:pPr>
        <w:ind w:left="660" w:hanging="166"/>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AIOps </w:t>
      </w:r>
      <w:r>
        <w:rPr>
          <w:rFonts w:ascii="Arial" w:cs="Arial" w:eastAsia="Arial" w:hAnsi="Arial"/>
          <w:sz w:val="18"/>
          <w:szCs w:val="18"/>
          <w:color w:val="auto"/>
        </w:rPr>
        <w:t>is a new field of software that combines monitoring, machine learning and automation to enhance IT operations. Our AIOps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correlates monitoring events across our customers’ physical and virtual devices into a single incident or problem, significantly reducing the time to resolution for complex incidents. We developed a first of its kind multi-tenant AIOps solution that processes millions of compliance-related events each month.</w:t>
      </w:r>
    </w:p>
    <w:p>
      <w:pPr>
        <w:spacing w:after="0" w:line="71" w:lineRule="exact"/>
        <w:rPr>
          <w:rFonts w:ascii="Arial" w:cs="Arial" w:eastAsia="Arial" w:hAnsi="Arial"/>
          <w:sz w:val="18"/>
          <w:szCs w:val="18"/>
          <w:color w:val="auto"/>
        </w:rPr>
      </w:pPr>
    </w:p>
    <w:p>
      <w:pPr>
        <w:ind w:left="660" w:right="220" w:hanging="166"/>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Predictive operations </w:t>
      </w:r>
      <w:r>
        <w:rPr>
          <w:rFonts w:ascii="Arial" w:cs="Arial" w:eastAsia="Arial" w:hAnsi="Arial"/>
          <w:sz w:val="18"/>
          <w:szCs w:val="18"/>
          <w:color w:val="auto"/>
        </w:rPr>
        <w:t>enables our data scientists to build sophisticated models to provide actionable insights to our business leaders,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our agility and ability to identify opportunities that enhance our customer relationships.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5580" w:hanging="106"/>
        <w:spacing w:after="0"/>
        <w:tabs>
          <w:tab w:leader="none" w:pos="5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60" w:hanging="166"/>
        <w:spacing w:after="0" w:line="28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Self-service APIs </w:t>
      </w:r>
      <w:r>
        <w:rPr>
          <w:rFonts w:ascii="Arial" w:cs="Arial" w:eastAsia="Arial" w:hAnsi="Arial"/>
          <w:sz w:val="17"/>
          <w:szCs w:val="17"/>
          <w:color w:val="auto"/>
        </w:rPr>
        <w:t>enable our customers to access data and resources programmatically, extending our automation and service delivery into their</w:t>
      </w:r>
      <w:r>
        <w:rPr>
          <w:rFonts w:ascii="Arial" w:cs="Arial" w:eastAsia="Arial" w:hAnsi="Arial"/>
          <w:sz w:val="17"/>
          <w:szCs w:val="17"/>
          <w:b w:val="1"/>
          <w:bCs w:val="1"/>
          <w:color w:val="auto"/>
        </w:rPr>
        <w:t xml:space="preserve"> </w:t>
      </w:r>
      <w:r>
        <w:rPr>
          <w:rFonts w:ascii="Arial" w:cs="Arial" w:eastAsia="Arial" w:hAnsi="Arial"/>
          <w:sz w:val="17"/>
          <w:szCs w:val="17"/>
          <w:color w:val="auto"/>
        </w:rPr>
        <w:t>native tools and processes. We support integration with our ticketing systems to enable two-way integrated support workflows, and billing system integration to enable access to consolidated billing data in multicloud environments. Additionally, our pre-built integration with ServiceNow enables enterprise customers to simplify connectivity between our tools and ServiceNow.</w:t>
      </w:r>
    </w:p>
    <w:p>
      <w:pPr>
        <w:spacing w:after="0" w:line="56" w:lineRule="exact"/>
        <w:rPr>
          <w:rFonts w:ascii="Arial" w:cs="Arial" w:eastAsia="Arial" w:hAnsi="Arial"/>
          <w:sz w:val="17"/>
          <w:szCs w:val="17"/>
          <w:color w:val="auto"/>
        </w:rPr>
      </w:pPr>
    </w:p>
    <w:p>
      <w:pPr>
        <w:ind w:left="660" w:hanging="166"/>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MyRackspace </w:t>
      </w:r>
      <w:r>
        <w:rPr>
          <w:rFonts w:ascii="Arial" w:cs="Arial" w:eastAsia="Arial" w:hAnsi="Arial"/>
          <w:sz w:val="18"/>
          <w:szCs w:val="18"/>
          <w:color w:val="auto"/>
        </w:rPr>
        <w:t>and other portals and associated mobile apps service over 600,000 active monthly users and support product specific self-service,</w:t>
      </w:r>
      <w:r>
        <w:rPr>
          <w:rFonts w:ascii="Arial" w:cs="Arial" w:eastAsia="Arial" w:hAnsi="Arial"/>
          <w:sz w:val="18"/>
          <w:szCs w:val="18"/>
          <w:b w:val="1"/>
          <w:bCs w:val="1"/>
          <w:color w:val="auto"/>
        </w:rPr>
        <w:t xml:space="preserve"> </w:t>
      </w:r>
      <w:r>
        <w:rPr>
          <w:rFonts w:ascii="Arial" w:cs="Arial" w:eastAsia="Arial" w:hAnsi="Arial"/>
          <w:sz w:val="18"/>
          <w:szCs w:val="18"/>
          <w:color w:val="auto"/>
        </w:rPr>
        <w:t>insights, account management, security management, ticketing and billing. The portals are unified with our custom framework and design language, Pilot and Helix, providing a consistent experience and integrated navigation between our product lines and features. Our custom identity management system authenticates access to our user interfaces and APIs, handling over 1.8 billion requests per month. This includes federation capabilities to integrate with our customers’ identity providers.</w:t>
      </w:r>
    </w:p>
    <w:p>
      <w:pPr>
        <w:spacing w:after="0" w:line="75" w:lineRule="exact"/>
        <w:rPr>
          <w:rFonts w:ascii="Arial" w:cs="Arial" w:eastAsia="Arial" w:hAnsi="Arial"/>
          <w:sz w:val="18"/>
          <w:szCs w:val="18"/>
          <w:color w:val="auto"/>
        </w:rPr>
      </w:pPr>
    </w:p>
    <w:p>
      <w:pPr>
        <w:ind w:left="660" w:right="100" w:hanging="166"/>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Unified billing </w:t>
      </w:r>
      <w:r>
        <w:rPr>
          <w:rFonts w:ascii="Arial" w:cs="Arial" w:eastAsia="Arial" w:hAnsi="Arial"/>
          <w:sz w:val="18"/>
          <w:szCs w:val="18"/>
          <w:color w:val="auto"/>
        </w:rPr>
        <w:t>enables us to deliver an integrated single invoice for customers across all multicloud deployments. Our systems extract and rerate</w:t>
      </w:r>
      <w:r>
        <w:rPr>
          <w:rFonts w:ascii="Arial" w:cs="Arial" w:eastAsia="Arial" w:hAnsi="Arial"/>
          <w:sz w:val="18"/>
          <w:szCs w:val="18"/>
          <w:b w:val="1"/>
          <w:bCs w:val="1"/>
          <w:color w:val="auto"/>
        </w:rPr>
        <w:t xml:space="preserve"> </w:t>
      </w:r>
      <w:r>
        <w:rPr>
          <w:rFonts w:ascii="Arial" w:cs="Arial" w:eastAsia="Arial" w:hAnsi="Arial"/>
          <w:sz w:val="18"/>
          <w:szCs w:val="18"/>
          <w:color w:val="auto"/>
        </w:rPr>
        <w:t>bills from public cloud hyperscalers and merge data from our products and services to generate a single invoice each month, while applying sophisticated billing and discount models.</w:t>
      </w:r>
    </w:p>
    <w:p>
      <w:pPr>
        <w:spacing w:after="0" w:line="67" w:lineRule="exact"/>
        <w:rPr>
          <w:rFonts w:ascii="Arial" w:cs="Arial" w:eastAsia="Arial" w:hAnsi="Arial"/>
          <w:sz w:val="18"/>
          <w:szCs w:val="18"/>
          <w:color w:val="auto"/>
        </w:rPr>
      </w:pPr>
    </w:p>
    <w:p>
      <w:pPr>
        <w:ind w:left="660" w:right="160" w:hanging="166"/>
        <w:spacing w:after="0" w:line="303"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Service management </w:t>
      </w:r>
      <w:r>
        <w:rPr>
          <w:rFonts w:ascii="Arial" w:cs="Arial" w:eastAsia="Arial" w:hAnsi="Arial"/>
          <w:sz w:val="16"/>
          <w:szCs w:val="16"/>
          <w:color w:val="auto"/>
        </w:rPr>
        <w:t>applications ensure scale, speed, quality and consistency in our service delivery. These applications, including our custom</w:t>
      </w:r>
      <w:r>
        <w:rPr>
          <w:rFonts w:ascii="Arial" w:cs="Arial" w:eastAsia="Arial" w:hAnsi="Arial"/>
          <w:sz w:val="16"/>
          <w:szCs w:val="16"/>
          <w:b w:val="1"/>
          <w:bCs w:val="1"/>
          <w:color w:val="auto"/>
        </w:rPr>
        <w:t xml:space="preserve"> </w:t>
      </w:r>
      <w:r>
        <w:rPr>
          <w:rFonts w:ascii="Arial" w:cs="Arial" w:eastAsia="Arial" w:hAnsi="Arial"/>
          <w:sz w:val="16"/>
          <w:szCs w:val="16"/>
          <w:color w:val="auto"/>
        </w:rPr>
        <w:t>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Differentiation</w:t>
      </w:r>
    </w:p>
    <w:p>
      <w:pPr>
        <w:spacing w:after="0" w:line="25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offer solutions that are differentiated from our peers and drive a continuous cycle of product innovation and product development, while delivering a Fanatical Experience. These solutions both enable and are enabled by several key factors:</w:t>
      </w:r>
    </w:p>
    <w:p>
      <w:pPr>
        <w:spacing w:after="0" w:line="193" w:lineRule="exact"/>
        <w:rPr>
          <w:sz w:val="20"/>
          <w:szCs w:val="20"/>
          <w:color w:val="auto"/>
        </w:rPr>
      </w:pPr>
    </w:p>
    <w:p>
      <w:pPr>
        <w:ind w:right="220" w:firstLine="486"/>
        <w:spacing w:after="0" w:line="298" w:lineRule="auto"/>
        <w:rPr>
          <w:sz w:val="20"/>
          <w:szCs w:val="20"/>
          <w:color w:val="auto"/>
        </w:rPr>
      </w:pPr>
      <w:r>
        <w:rPr>
          <w:rFonts w:ascii="Arial" w:cs="Arial" w:eastAsia="Arial" w:hAnsi="Arial"/>
          <w:sz w:val="16"/>
          <w:szCs w:val="16"/>
          <w:b w:val="1"/>
          <w:bCs w:val="1"/>
          <w:color w:val="auto"/>
        </w:rPr>
        <w:t xml:space="preserve">Focus on delivering strategic outcomes: </w:t>
      </w:r>
      <w:r>
        <w:rPr>
          <w:rFonts w:ascii="Arial" w:cs="Arial" w:eastAsia="Arial" w:hAnsi="Arial"/>
          <w:sz w:val="16"/>
          <w:szCs w:val="16"/>
          <w:color w:val="auto"/>
        </w:rPr>
        <w:t>Our value proposition to customers includes a focus on solving strategic business problems, rather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selling a product or group of products in a point sale. Our customers are able to use our services to drive new revenue streams and enhance the value of their cloud investments, which may include collecting data to create new product offerings and applications, connecting workloads between clouds or automatically scaling cloud usage to match demand. This has resulted in a growth opportunity within our customer base; the number of customers that contributed over $1 million to our revenue in a given fiscal year increased at a compound annual growth rate of 24% between 2017 and 2020.</w:t>
      </w:r>
    </w:p>
    <w:p>
      <w:pPr>
        <w:spacing w:after="0" w:line="181"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b w:val="1"/>
          <w:bCs w:val="1"/>
          <w:color w:val="auto"/>
        </w:rPr>
        <w:t xml:space="preserve">Unified service experience for the multicloud: </w:t>
      </w:r>
      <w:r>
        <w:rPr>
          <w:rFonts w:ascii="Arial" w:cs="Arial" w:eastAsia="Arial" w:hAnsi="Arial"/>
          <w:sz w:val="18"/>
          <w:szCs w:val="18"/>
          <w:color w:val="auto"/>
        </w:rPr>
        <w:t>We have developed Rackspace Fabric, a multi-tenant, end-to-end service management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enabling our customers to access all of our supported clouds and all of our managed services from a single, web-based interface. This technology provides customers with a toolkit to including unified billing, a central security model, unified ticketing and support interactions. This technology provides our customers with a consistent experience across all clouds and enables us to deliver a scalable and efficient means of offering our Fanatical Experience to over 117,000 customers worldwide.</w:t>
      </w:r>
    </w:p>
    <w:p>
      <w:pPr>
        <w:spacing w:after="0" w:line="21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b w:val="1"/>
          <w:bCs w:val="1"/>
          <w:color w:val="auto"/>
        </w:rPr>
        <w:t xml:space="preserve">Unparalleled service expertise: </w:t>
      </w:r>
      <w:r>
        <w:rPr>
          <w:rFonts w:ascii="Arial" w:cs="Arial" w:eastAsia="Arial" w:hAnsi="Arial"/>
          <w:sz w:val="18"/>
          <w:szCs w:val="18"/>
          <w:color w:val="auto"/>
        </w:rPr>
        <w:t>Our business benefits from a family of approximately 7,200 Rackers, with qualifications that span across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technology stacks and cloud solutions used by our customers, including AWS, Google Cloud, Azure and VMware. This expertise provides our clients with services expertise at a level we believe to be unmatched by our peers and allows us to sustain our competitive advantage over competing technology vendors.</w:t>
      </w:r>
    </w:p>
    <w:p>
      <w:pPr>
        <w:spacing w:after="0" w:line="207" w:lineRule="exact"/>
        <w:rPr>
          <w:sz w:val="20"/>
          <w:szCs w:val="20"/>
          <w:color w:val="auto"/>
        </w:rPr>
      </w:pPr>
    </w:p>
    <w:p>
      <w:pPr>
        <w:ind w:firstLine="486"/>
        <w:spacing w:after="0" w:line="292" w:lineRule="auto"/>
        <w:rPr>
          <w:sz w:val="20"/>
          <w:szCs w:val="20"/>
          <w:color w:val="auto"/>
        </w:rPr>
      </w:pPr>
      <w:r>
        <w:rPr>
          <w:rFonts w:ascii="Arial" w:cs="Arial" w:eastAsia="Arial" w:hAnsi="Arial"/>
          <w:sz w:val="16"/>
          <w:szCs w:val="16"/>
          <w:b w:val="1"/>
          <w:bCs w:val="1"/>
          <w:color w:val="auto"/>
        </w:rPr>
        <w:t xml:space="preserve">Efficient go-to-market enabled by close customer relationships: </w:t>
      </w:r>
      <w:r>
        <w:rPr>
          <w:rFonts w:ascii="Arial" w:cs="Arial" w:eastAsia="Arial" w:hAnsi="Arial"/>
          <w:sz w:val="16"/>
          <w:szCs w:val="16"/>
          <w:color w:val="auto"/>
        </w:rPr>
        <w:t>Our go-to-market model includes an integrated direct sales platform led by our</w:t>
      </w:r>
      <w:r>
        <w:rPr>
          <w:rFonts w:ascii="Arial" w:cs="Arial" w:eastAsia="Arial" w:hAnsi="Arial"/>
          <w:sz w:val="16"/>
          <w:szCs w:val="16"/>
          <w:b w:val="1"/>
          <w:bCs w:val="1"/>
          <w:color w:val="auto"/>
        </w:rPr>
        <w:t xml:space="preserve"> </w:t>
      </w:r>
      <w:r>
        <w:rPr>
          <w:rFonts w:ascii="Arial" w:cs="Arial" w:eastAsia="Arial" w:hAnsi="Arial"/>
          <w:sz w:val="16"/>
          <w:szCs w:val="16"/>
          <w:color w:val="auto"/>
        </w:rPr>
        <w:t>team of over 350 sales representatives and over 600 service delivery managers. Following an initial deployment, we are constantly engaged with our customers, proactively looking for opportunities to enhance the value of their cloud investments and evolving our solutions with their needs over time. This approach provides customers with a single trusted advisor across all cloud environments, irrespective of technology stack or deployment option. Our close customer and partner relationships drive an efficient go-to-market strategy, with sales efficiencies we believe are unmatched by competing companies. Recurring revenue comprised 95% of our revenue in 2020. Additionally, as of December 31, 2020, among our customers with Annual Recurring Revenue of over $100,000 (a group which comprised over 75% of our revenue), approximately 50% were using multiple services.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80" w:firstLine="486"/>
        <w:spacing w:after="0" w:line="274" w:lineRule="auto"/>
        <w:rPr>
          <w:sz w:val="20"/>
          <w:szCs w:val="20"/>
          <w:color w:val="auto"/>
        </w:rPr>
      </w:pPr>
      <w:r>
        <w:rPr>
          <w:rFonts w:ascii="Arial" w:cs="Arial" w:eastAsia="Arial" w:hAnsi="Arial"/>
          <w:sz w:val="17"/>
          <w:szCs w:val="17"/>
          <w:b w:val="1"/>
          <w:bCs w:val="1"/>
          <w:color w:val="auto"/>
        </w:rPr>
        <w:t xml:space="preserve">Differentiated relationships with technology partners: </w:t>
      </w:r>
      <w:r>
        <w:rPr>
          <w:rFonts w:ascii="Arial" w:cs="Arial" w:eastAsia="Arial" w:hAnsi="Arial"/>
          <w:sz w:val="17"/>
          <w:szCs w:val="17"/>
          <w:color w:val="auto"/>
        </w:rPr>
        <w:t>We benefit from differentiated partnerships with major public and private cloud vendors,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AWS, Azure, Google Cloud and VMware. We work with our partners’ sales teams to offer bundled solutions through a single go-to-market effort. Additionally, we have insight into our partners’ product roadmaps (and vice versa), providing critical inputs for both sides to develop complementary services and technology. We believe these relationships are beneficial to us, our customers and our partners;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20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color w:val="auto"/>
        </w:rPr>
        <w:t xml:space="preserve">Customizable consumption of services: </w:t>
      </w:r>
      <w:r>
        <w:rPr>
          <w:rFonts w:ascii="Arial" w:cs="Arial" w:eastAsia="Arial" w:hAnsi="Arial"/>
          <w:sz w:val="18"/>
          <w:szCs w:val="18"/>
          <w:color w:val="auto"/>
        </w:rPr>
        <w:t>Our service model enables customers to adapt their consumption of our services with the evolving needs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businesses. Rackspace Service Blocks are packages of services tailored to address specific cloud use cases and enable a customized consumption model whereby customers can match their cloud needs with the associated spend. Rackspace Service Blocks allow our customers to maintain greater agility, performance and cost-efficiency as compared to traditional IT services contracts. Additionally, this structure provides us with a platform for cross-sell and up-sell opportunities with customers over time, resulting in a land-and-expand model in which customers increase their use of our services as their cloud needs evolve.</w:t>
      </w:r>
    </w:p>
    <w:p>
      <w:pPr>
        <w:spacing w:after="0" w:line="21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b w:val="1"/>
          <w:bCs w:val="1"/>
          <w:color w:val="auto"/>
        </w:rPr>
        <w:t xml:space="preserve">Fanatical Experience: </w:t>
      </w:r>
      <w:r>
        <w:rPr>
          <w:rFonts w:ascii="Arial" w:cs="Arial" w:eastAsia="Arial" w:hAnsi="Arial"/>
          <w:sz w:val="17"/>
          <w:szCs w:val="17"/>
          <w:color w:val="auto"/>
        </w:rPr>
        <w:t>The Fanatical Experience that we deliver to our customers is the foundation of the trust our customers place in us when they</w:t>
      </w:r>
      <w:r>
        <w:rPr>
          <w:rFonts w:ascii="Arial" w:cs="Arial" w:eastAsia="Arial" w:hAnsi="Arial"/>
          <w:sz w:val="17"/>
          <w:szCs w:val="17"/>
          <w:b w:val="1"/>
          <w:bCs w:val="1"/>
          <w:color w:val="auto"/>
        </w:rPr>
        <w:t xml:space="preserve"> </w:t>
      </w:r>
      <w:r>
        <w:rPr>
          <w:rFonts w:ascii="Arial" w:cs="Arial" w:eastAsia="Arial" w:hAnsi="Arial"/>
          <w:sz w:val="17"/>
          <w:szCs w:val="17"/>
          <w:color w:val="auto"/>
        </w:rPr>
        <w:t>choose us to build, manage and operate their cloud environments. That process encompasses everything from the way we recruit, interview and test prospective employees; to the way we continuously train new and veteran employees in the latest technologies; to the way we make the specialized expertise of global Rackers available to customers 24x7x365 by phone, chat, email or web portal; to the way we empower Rackers to invest in new research and development projects; to our hyperfocus on customer experience and satisfaction; and to the way we leverage automation and proprietary tools and processes to make our services highly reliable and easy for our customers to use. We use monitoring tools to perform over 4 million checks of our customers’ cloud environments every five minutes to proactively identify issues and take action, and we receive over 600,000 monthly customer knowledge-based visits to our website. This has resulted in compelling metrics for us, including an average NPS of 50 for the three-month period ended December 31, 2020, indicative of the quality of our customer experience.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order to continue to drive growth and capture our large market opportunity, key elements of our growth strategies include:</w:t>
      </w:r>
    </w:p>
    <w:p>
      <w:pPr>
        <w:spacing w:after="0" w:line="248"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b w:val="1"/>
          <w:bCs w:val="1"/>
          <w:color w:val="auto"/>
        </w:rPr>
        <w:t xml:space="preserve">Continue to innovate: </w:t>
      </w:r>
      <w:r>
        <w:rPr>
          <w:rFonts w:ascii="Arial" w:cs="Arial" w:eastAsia="Arial" w:hAnsi="Arial"/>
          <w:sz w:val="18"/>
          <w:szCs w:val="18"/>
          <w:color w:val="auto"/>
        </w:rPr>
        <w:t>We are a leader in cloud services across multicloud environments and will continue to invest in and grow our expertise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offerings in major technology ecosystems such as cybersecurity, big data, containers, serverless computing and the Internet of Things. However, our market share within the overall cloud industry remains relatively low, providing us with significant opportunity to increase wallet share from both new and existing customers. We intend to continue to add new technology capabilities and professional services expertise in order to best serve our customers and increase revenue from new and existing customers.</w:t>
      </w:r>
    </w:p>
    <w:p>
      <w:pPr>
        <w:spacing w:after="0" w:line="210" w:lineRule="exact"/>
        <w:rPr>
          <w:sz w:val="20"/>
          <w:szCs w:val="20"/>
          <w:color w:val="auto"/>
        </w:rPr>
      </w:pPr>
    </w:p>
    <w:p>
      <w:pPr>
        <w:ind w:right="100" w:firstLine="486"/>
        <w:spacing w:after="0" w:line="347" w:lineRule="auto"/>
        <w:rPr>
          <w:sz w:val="20"/>
          <w:szCs w:val="20"/>
          <w:color w:val="auto"/>
        </w:rPr>
      </w:pPr>
      <w:r>
        <w:rPr>
          <w:rFonts w:ascii="Arial" w:cs="Arial" w:eastAsia="Arial" w:hAnsi="Arial"/>
          <w:sz w:val="16"/>
          <w:szCs w:val="16"/>
          <w:b w:val="1"/>
          <w:bCs w:val="1"/>
          <w:color w:val="auto"/>
        </w:rPr>
        <w:t xml:space="preserve">Drive sales execution: </w:t>
      </w:r>
      <w:r>
        <w:rPr>
          <w:rFonts w:ascii="Arial" w:cs="Arial" w:eastAsia="Arial" w:hAnsi="Arial"/>
          <w:sz w:val="16"/>
          <w:szCs w:val="16"/>
          <w:color w:val="auto"/>
        </w:rPr>
        <w:t>We plan to continue executing on several sales initiatives that are designed to drive continued growth in our business. These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investment in our sales force productivity measures, greater focus on opportunities with enterprise customers and larger deal sizes.</w:t>
      </w:r>
    </w:p>
    <w:p>
      <w:pPr>
        <w:spacing w:after="0" w:line="143" w:lineRule="exact"/>
        <w:rPr>
          <w:sz w:val="20"/>
          <w:szCs w:val="20"/>
          <w:color w:val="auto"/>
        </w:rPr>
      </w:pPr>
    </w:p>
    <w:p>
      <w:pPr>
        <w:ind w:right="40" w:firstLine="486"/>
        <w:spacing w:after="0" w:line="277" w:lineRule="auto"/>
        <w:rPr>
          <w:sz w:val="20"/>
          <w:szCs w:val="20"/>
          <w:color w:val="auto"/>
        </w:rPr>
      </w:pPr>
      <w:r>
        <w:rPr>
          <w:rFonts w:ascii="Arial" w:cs="Arial" w:eastAsia="Arial" w:hAnsi="Arial"/>
          <w:sz w:val="17"/>
          <w:szCs w:val="17"/>
          <w:b w:val="1"/>
          <w:bCs w:val="1"/>
          <w:color w:val="auto"/>
        </w:rPr>
        <w:t xml:space="preserve">Expand geographic reach: </w:t>
      </w:r>
      <w:r>
        <w:rPr>
          <w:rFonts w:ascii="Arial" w:cs="Arial" w:eastAsia="Arial" w:hAnsi="Arial"/>
          <w:sz w:val="17"/>
          <w:szCs w:val="17"/>
          <w:color w:val="auto"/>
        </w:rPr>
        <w:t>We believe there is significant need for our solutions on a global basis and, accordingly, opportunity for us to grow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through further international expansion as these markets increase their use of multicloud solutions. As a result, we have made significant investments in expanding our presence in Europe, Middle East and Africa (“EMEA”) and Asia Pacific and Japan (“APJ”). As of December 31, 2020, over 1,200 and 1,600 of our employees were based in EMEA and APJ, respectively. We intend to add international sales team members to take advantage of this market opportunity while refining our go-to-market approach based on local market dynamics.</w:t>
      </w:r>
    </w:p>
    <w:p>
      <w:pPr>
        <w:spacing w:after="0" w:line="195" w:lineRule="exact"/>
        <w:rPr>
          <w:sz w:val="20"/>
          <w:szCs w:val="20"/>
          <w:color w:val="auto"/>
        </w:rPr>
      </w:pPr>
    </w:p>
    <w:p>
      <w:pPr>
        <w:jc w:val="both"/>
        <w:ind w:right="120" w:firstLine="486"/>
        <w:spacing w:after="0" w:line="261" w:lineRule="auto"/>
        <w:rPr>
          <w:sz w:val="20"/>
          <w:szCs w:val="20"/>
          <w:color w:val="auto"/>
        </w:rPr>
      </w:pPr>
      <w:r>
        <w:rPr>
          <w:rFonts w:ascii="Arial" w:cs="Arial" w:eastAsia="Arial" w:hAnsi="Arial"/>
          <w:sz w:val="18"/>
          <w:szCs w:val="18"/>
          <w:b w:val="1"/>
          <w:bCs w:val="1"/>
          <w:color w:val="auto"/>
        </w:rPr>
        <w:t xml:space="preserve">Leverage and expand our partner ecosystem: </w:t>
      </w:r>
      <w:r>
        <w:rPr>
          <w:rFonts w:ascii="Arial" w:cs="Arial" w:eastAsia="Arial" w:hAnsi="Arial"/>
          <w:sz w:val="18"/>
          <w:szCs w:val="18"/>
          <w:color w:val="auto"/>
        </w:rPr>
        <w:t>We benefit from close relationships with our cloud partners, allowing us to provide comprehensive</w:t>
      </w:r>
      <w:r>
        <w:rPr>
          <w:rFonts w:ascii="Arial" w:cs="Arial" w:eastAsia="Arial" w:hAnsi="Arial"/>
          <w:sz w:val="18"/>
          <w:szCs w:val="18"/>
          <w:b w:val="1"/>
          <w:bCs w:val="1"/>
          <w:color w:val="auto"/>
        </w:rPr>
        <w:t xml:space="preserve"> </w:t>
      </w:r>
      <w:r>
        <w:rPr>
          <w:rFonts w:ascii="Arial" w:cs="Arial" w:eastAsia="Arial" w:hAnsi="Arial"/>
          <w:sz w:val="18"/>
          <w:szCs w:val="18"/>
          <w:color w:val="auto"/>
        </w:rPr>
        <w:t>multicloud services to our customers, and providing us with a source of new business opportunities and inputs for future product roadmaps. Additionally, we maintain the highest levels of partner status with the leading cloud partners. We intend to expand relationships with existing partners and build on new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We benefit from a strong platform for integrating complementary capabilities and service offerings. We have a</w:t>
      </w:r>
      <w:r>
        <w:rPr>
          <w:rFonts w:ascii="Arial" w:cs="Arial" w:eastAsia="Arial" w:hAnsi="Arial"/>
          <w:sz w:val="18"/>
          <w:szCs w:val="18"/>
          <w:b w:val="1"/>
          <w:bCs w:val="1"/>
          <w:color w:val="auto"/>
        </w:rPr>
        <w:t xml:space="preserve"> </w:t>
      </w:r>
      <w:r>
        <w:rPr>
          <w:rFonts w:ascii="Arial" w:cs="Arial" w:eastAsia="Arial" w:hAnsi="Arial"/>
          <w:sz w:val="18"/>
          <w:szCs w:val="18"/>
          <w:color w:val="auto"/>
        </w:rPr>
        <w:t>disciplined and selective approach for evaluating new acquisition opportunities, and our management team has significant experience integrating acquired targets. We intend to continue to explore potential transactions that could enhance our capabilities, increase the scope of our technology footprint or expand our geographic reach.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Competition</w:t>
      </w:r>
    </w:p>
    <w:p>
      <w:pPr>
        <w:spacing w:after="0" w:line="256"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We believe our technology and services expertise positions us well to compete with other technology and services providers. We face competition primarily from:</w:t>
      </w:r>
    </w:p>
    <w:p>
      <w:pPr>
        <w:spacing w:after="0" w:line="194" w:lineRule="exact"/>
        <w:rPr>
          <w:sz w:val="20"/>
          <w:szCs w:val="20"/>
          <w:color w:val="auto"/>
        </w:rPr>
      </w:pPr>
    </w:p>
    <w:p>
      <w:pPr>
        <w:ind w:left="660" w:hanging="166"/>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In-house IT departments of our customers and potential customers </w:t>
      </w:r>
      <w:r>
        <w:rPr>
          <w:rFonts w:ascii="Arial" w:cs="Arial" w:eastAsia="Arial" w:hAnsi="Arial"/>
          <w:sz w:val="18"/>
          <w:szCs w:val="18"/>
          <w:color w:val="auto"/>
        </w:rPr>
        <w:t>provide services for their respective organizations, but typically need help</w:t>
      </w:r>
      <w:r>
        <w:rPr>
          <w:rFonts w:ascii="Arial" w:cs="Arial" w:eastAsia="Arial" w:hAnsi="Arial"/>
          <w:sz w:val="18"/>
          <w:szCs w:val="18"/>
          <w:b w:val="1"/>
          <w:bCs w:val="1"/>
          <w:color w:val="auto"/>
        </w:rPr>
        <w:t xml:space="preserve"> </w:t>
      </w:r>
      <w:r>
        <w:rPr>
          <w:rFonts w:ascii="Arial" w:cs="Arial" w:eastAsia="Arial" w:hAnsi="Arial"/>
          <w:sz w:val="18"/>
          <w:szCs w:val="18"/>
          <w:color w:val="auto"/>
        </w:rPr>
        <w:t>scaling large technology environments and maximizing the value from their cloud investments, especially when speed, cost and innovation are key constraints.</w:t>
      </w:r>
    </w:p>
    <w:p>
      <w:pPr>
        <w:spacing w:after="0" w:line="67" w:lineRule="exact"/>
        <w:rPr>
          <w:rFonts w:ascii="Arial" w:cs="Arial" w:eastAsia="Arial" w:hAnsi="Arial"/>
          <w:sz w:val="18"/>
          <w:szCs w:val="18"/>
          <w:color w:val="auto"/>
        </w:rPr>
      </w:pPr>
    </w:p>
    <w:p>
      <w:pPr>
        <w:ind w:left="660" w:right="80" w:hanging="166"/>
        <w:spacing w:after="0" w:line="314"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Traditional global IT systems integrators, </w:t>
      </w:r>
      <w:r>
        <w:rPr>
          <w:rFonts w:ascii="Arial" w:cs="Arial" w:eastAsia="Arial" w:hAnsi="Arial"/>
          <w:sz w:val="16"/>
          <w:szCs w:val="16"/>
          <w:color w:val="auto"/>
        </w:rPr>
        <w:t>such as Accenture, Atos, Capgemini, Cognizant, Deloitte, DXC Technology and IBM, offer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and outsourcing, in a labor intensive model, for large enterprise customers. Many of these businesses largely support legacy technologies and, where cloud capabilities exist, legacy revenue streams disincentivize these companies from fully embracing cloud technologies.</w:t>
      </w:r>
    </w:p>
    <w:p>
      <w:pPr>
        <w:spacing w:after="0" w:line="33" w:lineRule="exact"/>
        <w:rPr>
          <w:rFonts w:ascii="Arial" w:cs="Arial" w:eastAsia="Arial" w:hAnsi="Arial"/>
          <w:sz w:val="16"/>
          <w:szCs w:val="16"/>
          <w:color w:val="auto"/>
        </w:rPr>
      </w:pPr>
    </w:p>
    <w:p>
      <w:pPr>
        <w:jc w:val="both"/>
        <w:ind w:left="660" w:right="60" w:hanging="166"/>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Cloud service providers and digital systems integrators </w:t>
      </w:r>
      <w:r>
        <w:rPr>
          <w:rFonts w:ascii="Arial" w:cs="Arial" w:eastAsia="Arial" w:hAnsi="Arial"/>
          <w:sz w:val="18"/>
          <w:szCs w:val="18"/>
          <w:color w:val="auto"/>
        </w:rPr>
        <w:t>provide either consultation and implementation services for digital workflows or cloud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a single cloud vendor. The solutions offered by these companies are often narrow in scope, and are not well suited for companies with complex multicloud objectives.</w:t>
      </w:r>
    </w:p>
    <w:p>
      <w:pPr>
        <w:spacing w:after="0" w:line="67" w:lineRule="exact"/>
        <w:rPr>
          <w:rFonts w:ascii="Arial" w:cs="Arial" w:eastAsia="Arial" w:hAnsi="Arial"/>
          <w:sz w:val="18"/>
          <w:szCs w:val="18"/>
          <w:color w:val="auto"/>
        </w:rPr>
      </w:pPr>
    </w:p>
    <w:p>
      <w:pPr>
        <w:ind w:left="660" w:right="20" w:hanging="166"/>
        <w:spacing w:after="0" w:line="28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Regional managed services providers </w:t>
      </w:r>
      <w:r>
        <w:rPr>
          <w:rFonts w:ascii="Arial" w:cs="Arial" w:eastAsia="Arial" w:hAnsi="Arial"/>
          <w:sz w:val="18"/>
          <w:szCs w:val="18"/>
          <w:color w:val="auto"/>
        </w:rPr>
        <w:t>use a local go-to-market approach, and provide cloud services within a single region or few regions.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are unable to serve the full needs of multinational customers.</w:t>
      </w:r>
    </w:p>
    <w:p>
      <w:pPr>
        <w:spacing w:after="0" w:line="53" w:lineRule="exact"/>
        <w:rPr>
          <w:rFonts w:ascii="Arial" w:cs="Arial" w:eastAsia="Arial" w:hAnsi="Arial"/>
          <w:sz w:val="18"/>
          <w:szCs w:val="18"/>
          <w:color w:val="auto"/>
        </w:rPr>
      </w:pPr>
    </w:p>
    <w:p>
      <w:pPr>
        <w:ind w:left="660" w:right="220" w:hanging="166"/>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Colocation providers</w:t>
      </w:r>
      <w:r>
        <w:rPr>
          <w:rFonts w:ascii="Arial" w:cs="Arial" w:eastAsia="Arial" w:hAnsi="Arial"/>
          <w:sz w:val="18"/>
          <w:szCs w:val="18"/>
          <w:color w:val="auto"/>
        </w:rPr>
        <w:t>, such as Equinix, CyrusOne and QTS, provide secure environments for hardware and access to network connectivity.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these companies provide limited services differentiation, and their customers do not benefit from the economics of cloud-based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include, but are not limited to:</w:t>
      </w:r>
    </w:p>
    <w:p>
      <w:pPr>
        <w:spacing w:after="0" w:line="252" w:lineRule="exact"/>
        <w:rPr>
          <w:sz w:val="20"/>
          <w:szCs w:val="20"/>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on the cloud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Technology and services expertise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experience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Speed of innovation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 of relationships with technology partners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Automation and scalability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Standardized operational processes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Our Customers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serve a wide range of customers across geography, size and industry.</w:t>
      </w:r>
    </w:p>
    <w:p>
      <w:pPr>
        <w:spacing w:after="0" w:line="252" w:lineRule="exact"/>
        <w:rPr>
          <w:sz w:val="20"/>
          <w:szCs w:val="20"/>
          <w:color w:val="auto"/>
        </w:rPr>
      </w:pPr>
    </w:p>
    <w:p>
      <w:pPr>
        <w:ind w:left="640" w:hanging="146"/>
        <w:spacing w:after="0"/>
        <w:tabs>
          <w:tab w:leader="none" w:pos="64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8"/>
          <w:szCs w:val="18"/>
          <w:color w:val="auto"/>
        </w:rPr>
        <w:t>Geography. We serve a global customer base. As of December 31, 2020, we served over 117,000 customers in over 120 countries.</w:t>
      </w:r>
    </w:p>
    <w:p>
      <w:pPr>
        <w:spacing w:after="0" w:line="117" w:lineRule="exact"/>
        <w:rPr>
          <w:rFonts w:ascii="Arial" w:cs="Arial" w:eastAsia="Arial" w:hAnsi="Arial"/>
          <w:sz w:val="16"/>
          <w:szCs w:val="16"/>
          <w:b w:val="1"/>
          <w:bCs w:val="1"/>
          <w:i w:val="1"/>
          <w:iCs w:val="1"/>
          <w:color w:val="auto"/>
        </w:rPr>
      </w:pPr>
    </w:p>
    <w:p>
      <w:pPr>
        <w:ind w:left="660" w:right="20" w:hanging="166"/>
        <w:spacing w:after="0" w:line="259" w:lineRule="auto"/>
        <w:tabs>
          <w:tab w:leader="none" w:pos="649"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8"/>
          <w:szCs w:val="18"/>
          <w:color w:val="auto"/>
        </w:rPr>
        <w:t>Size. We have a strong presence with customers of all sizes, including large global enterprises, mid-market businesses and SMBs, which we define to be made up of customers with total revenue in excess of $1 billion, between $300 million and $1 billion and less than $300 million, respectively. As of December 31, 2020, our customer base included over 1,000 enterprises, over 1,000 mid-market businesses and over 114,000 SMBs.</w:t>
      </w:r>
    </w:p>
    <w:p>
      <w:pPr>
        <w:spacing w:after="0" w:line="78" w:lineRule="exact"/>
        <w:rPr>
          <w:rFonts w:ascii="Arial" w:cs="Arial" w:eastAsia="Arial" w:hAnsi="Arial"/>
          <w:sz w:val="16"/>
          <w:szCs w:val="16"/>
          <w:b w:val="1"/>
          <w:bCs w:val="1"/>
          <w:i w:val="1"/>
          <w:iCs w:val="1"/>
          <w:color w:val="auto"/>
        </w:rPr>
      </w:pPr>
    </w:p>
    <w:p>
      <w:pPr>
        <w:ind w:left="660" w:right="780" w:hanging="166"/>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We serve customers across all sectors, including highly regulated industries with firm technology requirements across security, compliance and governance.</w:t>
      </w:r>
    </w:p>
    <w:p>
      <w:pPr>
        <w:spacing w:after="0" w:line="30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We have low customer concentration; no customer represented 2% or more of our total revenue in 2020. We benefit from strong customer satisfaction as evidenced by our average NPS score of 50 for the three-month period ended December 31, 2020, which we believe to be well ahead of many of our peers.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Representative customers by industry vertical are listed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Services</w:t>
            </w:r>
          </w:p>
        </w:tc>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 &amp; Public Sector</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Media &amp; Technology</w:t>
            </w:r>
          </w:p>
        </w:tc>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Retail, Consumer &amp; Leisure</w:t>
            </w:r>
          </w:p>
        </w:tc>
      </w:tr>
      <w:tr>
        <w:trPr>
          <w:trHeight w:val="222"/>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Banwire</w:t>
            </w:r>
          </w:p>
        </w:tc>
        <w:tc>
          <w:tcPr>
            <w:tcW w:w="80" w:type="dxa"/>
            <w:vAlign w:val="bottom"/>
          </w:tcPr>
          <w:p>
            <w:pPr>
              <w:spacing w:after="0"/>
              <w:rPr>
                <w:sz w:val="19"/>
                <w:szCs w:val="19"/>
                <w:color w:val="auto"/>
              </w:rPr>
            </w:pP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British Heart Foundation</w:t>
            </w:r>
          </w:p>
        </w:tc>
        <w:tc>
          <w:tcPr>
            <w:tcW w:w="10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Envizi</w:t>
            </w:r>
          </w:p>
        </w:tc>
        <w:tc>
          <w:tcPr>
            <w:tcW w:w="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Dominos</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Charles River</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Feeding America</w:t>
            </w:r>
          </w:p>
        </w:tc>
        <w:tc>
          <w:tcPr>
            <w:tcW w:w="2740" w:type="dxa"/>
            <w:vAlign w:val="bottom"/>
            <w:gridSpan w:val="2"/>
          </w:tcPr>
          <w:p>
            <w:pPr>
              <w:spacing w:after="0"/>
              <w:rPr>
                <w:sz w:val="20"/>
                <w:szCs w:val="20"/>
                <w:color w:val="auto"/>
              </w:rPr>
            </w:pPr>
            <w:r>
              <w:rPr>
                <w:rFonts w:ascii="Arial" w:cs="Arial" w:eastAsia="Arial" w:hAnsi="Arial"/>
                <w:sz w:val="18"/>
                <w:szCs w:val="18"/>
                <w:color w:val="auto"/>
              </w:rPr>
              <w:t>Invotra</w:t>
            </w:r>
          </w:p>
        </w:tc>
        <w:tc>
          <w:tcPr>
            <w:tcW w:w="2800" w:type="dxa"/>
            <w:vAlign w:val="bottom"/>
          </w:tcPr>
          <w:p>
            <w:pPr>
              <w:ind w:left="20"/>
              <w:spacing w:after="0"/>
              <w:rPr>
                <w:sz w:val="20"/>
                <w:szCs w:val="20"/>
                <w:color w:val="auto"/>
              </w:rPr>
            </w:pPr>
            <w:r>
              <w:rPr>
                <w:rFonts w:ascii="Arial" w:cs="Arial" w:eastAsia="Arial" w:hAnsi="Arial"/>
                <w:sz w:val="18"/>
                <w:szCs w:val="18"/>
                <w:color w:val="auto"/>
              </w:rPr>
              <w:t>HK Express</w:t>
            </w: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Equis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National Kidney Registry</w:t>
            </w:r>
          </w:p>
        </w:tc>
        <w:tc>
          <w:tcPr>
            <w:tcW w:w="2740" w:type="dxa"/>
            <w:vAlign w:val="bottom"/>
            <w:gridSpan w:val="2"/>
          </w:tcPr>
          <w:p>
            <w:pPr>
              <w:spacing w:after="0"/>
              <w:rPr>
                <w:sz w:val="20"/>
                <w:szCs w:val="20"/>
                <w:color w:val="auto"/>
              </w:rPr>
            </w:pPr>
            <w:r>
              <w:rPr>
                <w:rFonts w:ascii="Arial" w:cs="Arial" w:eastAsia="Arial" w:hAnsi="Arial"/>
                <w:sz w:val="18"/>
                <w:szCs w:val="18"/>
                <w:color w:val="auto"/>
              </w:rPr>
              <w:t>LiveNation</w:t>
            </w:r>
          </w:p>
        </w:tc>
        <w:tc>
          <w:tcPr>
            <w:tcW w:w="2800" w:type="dxa"/>
            <w:vAlign w:val="bottom"/>
          </w:tcPr>
          <w:p>
            <w:pPr>
              <w:ind w:left="20"/>
              <w:spacing w:after="0"/>
              <w:rPr>
                <w:sz w:val="20"/>
                <w:szCs w:val="20"/>
                <w:color w:val="auto"/>
              </w:rPr>
            </w:pPr>
            <w:r>
              <w:rPr>
                <w:rFonts w:ascii="Arial" w:cs="Arial" w:eastAsia="Arial" w:hAnsi="Arial"/>
                <w:sz w:val="18"/>
                <w:szCs w:val="18"/>
                <w:color w:val="auto"/>
              </w:rPr>
              <w:t>Payless</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GoCompare</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Oxfam</w:t>
            </w:r>
          </w:p>
        </w:tc>
        <w:tc>
          <w:tcPr>
            <w:tcW w:w="2740" w:type="dxa"/>
            <w:vAlign w:val="bottom"/>
            <w:gridSpan w:val="2"/>
          </w:tcPr>
          <w:p>
            <w:pPr>
              <w:spacing w:after="0"/>
              <w:rPr>
                <w:sz w:val="20"/>
                <w:szCs w:val="20"/>
                <w:color w:val="auto"/>
              </w:rPr>
            </w:pPr>
            <w:r>
              <w:rPr>
                <w:rFonts w:ascii="Arial" w:cs="Arial" w:eastAsia="Arial" w:hAnsi="Arial"/>
                <w:sz w:val="18"/>
                <w:szCs w:val="18"/>
                <w:color w:val="auto"/>
              </w:rPr>
              <w:t>Synchronoss</w:t>
            </w:r>
          </w:p>
        </w:tc>
        <w:tc>
          <w:tcPr>
            <w:tcW w:w="2800" w:type="dxa"/>
            <w:vAlign w:val="bottom"/>
          </w:tcPr>
          <w:p>
            <w:pPr>
              <w:ind w:left="20"/>
              <w:spacing w:after="0"/>
              <w:rPr>
                <w:sz w:val="20"/>
                <w:szCs w:val="20"/>
                <w:color w:val="auto"/>
              </w:rPr>
            </w:pPr>
            <w:r>
              <w:rPr>
                <w:rFonts w:ascii="Arial" w:cs="Arial" w:eastAsia="Arial" w:hAnsi="Arial"/>
                <w:sz w:val="18"/>
                <w:szCs w:val="18"/>
                <w:color w:val="auto"/>
              </w:rPr>
              <w:t>ReviewPro</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Metro Bank</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Teva</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Under Armour</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Trading Point</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Wyndham</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Approach to Partnerships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benefit from differentiated partnerships with all major public and private cloud vendors, including AWS, Azure, Google Cloud and VMware.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partnerships provide us with a competitive advantage unmatched by our competitors, spanning across multiple disciplines, including:</w:t>
      </w:r>
    </w:p>
    <w:p>
      <w:pPr>
        <w:spacing w:after="0" w:line="234"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Alignment: </w:t>
      </w:r>
      <w:r>
        <w:rPr>
          <w:rFonts w:ascii="Arial" w:cs="Arial" w:eastAsia="Arial" w:hAnsi="Arial"/>
          <w:sz w:val="17"/>
          <w:szCs w:val="17"/>
          <w:color w:val="auto"/>
        </w:rPr>
        <w:t>We work with major technology partners through a systematic engagement model across six key areas of our</w:t>
      </w:r>
    </w:p>
    <w:p>
      <w:pPr>
        <w:spacing w:after="0" w:line="38" w:lineRule="exact"/>
        <w:rPr>
          <w:rFonts w:ascii="Arial" w:cs="Arial" w:eastAsia="Arial" w:hAnsi="Arial"/>
          <w:sz w:val="17"/>
          <w:szCs w:val="17"/>
          <w:color w:val="auto"/>
        </w:rPr>
      </w:pPr>
    </w:p>
    <w:p>
      <w:pPr>
        <w:ind w:left="660" w:right="640"/>
        <w:spacing w:after="0" w:line="260" w:lineRule="auto"/>
        <w:rPr>
          <w:rFonts w:ascii="Arial" w:cs="Arial" w:eastAsia="Arial" w:hAnsi="Arial"/>
          <w:sz w:val="17"/>
          <w:szCs w:val="17"/>
          <w:color w:val="auto"/>
        </w:rPr>
      </w:pPr>
      <w:r>
        <w:rPr>
          <w:rFonts w:ascii="Arial" w:cs="Arial" w:eastAsia="Arial" w:hAnsi="Arial"/>
          <w:sz w:val="18"/>
          <w:szCs w:val="18"/>
          <w:color w:val="auto"/>
        </w:rPr>
        <w:t>business: executive, alliances, solutions, marketing, sales and service delivery, to ensure alignment on key initiatives. We operate strategic programs that include solutions milestones, performance reviews and long-term strategic initiatives.</w:t>
      </w:r>
    </w:p>
    <w:p>
      <w:pPr>
        <w:spacing w:after="0" w:line="73" w:lineRule="exact"/>
        <w:rPr>
          <w:rFonts w:ascii="Arial" w:cs="Arial" w:eastAsia="Arial" w:hAnsi="Arial"/>
          <w:sz w:val="17"/>
          <w:szCs w:val="17"/>
          <w:color w:val="auto"/>
        </w:rPr>
      </w:pPr>
    </w:p>
    <w:p>
      <w:pPr>
        <w:ind w:left="660" w:right="120" w:hanging="166"/>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New business opportunities: </w:t>
      </w:r>
      <w:r>
        <w:rPr>
          <w:rFonts w:ascii="Arial" w:cs="Arial" w:eastAsia="Arial" w:hAnsi="Arial"/>
          <w:sz w:val="18"/>
          <w:szCs w:val="18"/>
          <w:color w:val="auto"/>
        </w:rPr>
        <w:t>Our sales teams and pre-sales engineering experts work with sales teams at technology partners to offer bundled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w:t>
      </w:r>
    </w:p>
    <w:p>
      <w:pPr>
        <w:spacing w:after="0" w:line="71" w:lineRule="exact"/>
        <w:rPr>
          <w:rFonts w:ascii="Arial" w:cs="Arial" w:eastAsia="Arial" w:hAnsi="Arial"/>
          <w:sz w:val="18"/>
          <w:szCs w:val="18"/>
          <w:color w:val="auto"/>
        </w:rPr>
      </w:pPr>
    </w:p>
    <w:p>
      <w:pPr>
        <w:ind w:left="660" w:right="20" w:hanging="166"/>
        <w:spacing w:after="0" w:line="281"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Innovative Solutions: </w:t>
      </w:r>
      <w:r>
        <w:rPr>
          <w:rFonts w:ascii="Arial" w:cs="Arial" w:eastAsia="Arial" w:hAnsi="Arial"/>
          <w:sz w:val="17"/>
          <w:szCs w:val="17"/>
          <w:color w:val="auto"/>
        </w:rPr>
        <w:t>We work closely with our partners’ product engineering teams as the baseline for our roadmap development and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input into our partners’ development plan. This critical input allows both us and our partners to develop complementary services and technology. This has enabled us to stay at the forefront of innovation well before our competitors and develop services and tools around emerging technologies such as cloud-native application development, machine learning and artificial intelligence.</w:t>
      </w:r>
    </w:p>
    <w:p>
      <w:pPr>
        <w:spacing w:after="0" w:line="196"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Our services are sold via a global direct sales teams of over 350 sales representatives and over 600 service delivery managers as of December 31, 2020, through third-party channel partners and through online orders on our website. Our sales model is based on both distributed and centralized sales teams with leads generated from customer referrals, channel partners and corporate marketing efforts.</w:t>
      </w:r>
    </w:p>
    <w:p>
      <w:pPr>
        <w:spacing w:after="0" w:line="211"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Professional services are at the core of our consultative sales model and often serve as the gateway to our platform. For new business opportunities, our professional services organization engages 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w:t>
      </w:r>
    </w:p>
    <w:p>
      <w:pPr>
        <w:spacing w:after="0" w:line="21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network of 3,000 channel and technology partners as of December 31, 2020 also plays an important role in our sales efforts. Our channel partners, including management and technical consultancies, technology integrators, software application providers, value-added resellers and web developers,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w:t>
      </w:r>
    </w:p>
    <w:p>
      <w:pPr>
        <w:spacing w:after="0" w:line="203"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Our Customer Success team includes over 600 Rackers and engages 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w:t>
      </w:r>
    </w:p>
    <w:p>
      <w:pPr>
        <w:spacing w:after="0" w:line="19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have a full life cycle marketing plan that leverages a mix of initiatives. Our goal is market awareness of the unique value we bring to our customers in an ever-changing multicloud world. Through a series of automation and digital experiences, we provide awareness of our multicloud expertise, vast partner network, proven leadership and customer success-driven culture that thrives on Fanatical Experience. We leverage customer success stories to best describe how we work with customers and partners to produce compelling content. Our global brand marketing, Solving Together, is focused on thought leadership, media and public relations, virtual and in-person event marketing, an interactive social media plan, search engine optimization and digital advertising to drive awareness and credibility. Our global website is published in four languages across 20 regions and serves as our window to the market. For our solution marketing initiatives, we have a mix of digital display advertising, nurture automation, content syndication, social media and webinars to nurture our vast customer base for cross sell/upsell opportunities. Our experts participate in worldwide speaking engagements and contribute to several media outlets, always alongside our customers and partners.</w:t>
      </w:r>
    </w:p>
    <w:p>
      <w:pPr>
        <w:spacing w:after="0" w:line="20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Our Culture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the heart of our customers’ Fanatical Experience is our unique culture.</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At Rackspace Technology, we invest in the recruitment, development and retention of our Rackers. Inclusion and diversity is a top priority for our company; we cultivate top talent from around the world with diverse backgrounds and a range of expertise. We are highly selective in hiring the best talent, hiring less than 2% of all applicants, to ensure our employees are not just technical experts, but obsessed with customer outcomes and delivering Fanatical Experience.</w:t>
      </w:r>
    </w:p>
    <w:p>
      <w:pPr>
        <w:spacing w:after="0" w:line="21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offer Rackers’ various professional development opportunities through Rackspace University, along with award winning Onboarding and Leadership development programs, enabling them to enhance their capabilities across technologies and further their professional growth. Additionally, we are regularly recognized as a best place to work by Great Place to Work Institute, Fortune, Forbes, Glassdoor, Military Times, and the Human Rights Foundation Best Places to Work for LGBTQ and more. Our culture and focus on Rackers’ development has resulted in a strong annualized employee retention rate of over 87% for the year ended December 31, 2020.</w:t>
      </w:r>
    </w:p>
    <w:p>
      <w:pPr>
        <w:spacing w:after="0" w:line="215" w:lineRule="exact"/>
        <w:rPr>
          <w:sz w:val="20"/>
          <w:szCs w:val="20"/>
          <w:color w:val="auto"/>
        </w:rPr>
      </w:pPr>
    </w:p>
    <w:p>
      <w:pPr>
        <w:ind w:right="540" w:firstLine="486"/>
        <w:spacing w:after="0" w:line="286" w:lineRule="auto"/>
        <w:rPr>
          <w:sz w:val="20"/>
          <w:szCs w:val="20"/>
          <w:color w:val="auto"/>
        </w:rPr>
      </w:pPr>
      <w:r>
        <w:rPr>
          <w:rFonts w:ascii="Arial" w:cs="Arial" w:eastAsia="Arial" w:hAnsi="Arial"/>
          <w:sz w:val="17"/>
          <w:szCs w:val="17"/>
          <w:color w:val="auto"/>
        </w:rPr>
        <w:t>Our Rackers are passionate about serving our communities as well. Rackspace Technology provides 24 hours of paid time for each Racker to volunteer, with over 15,000 volunteer hours logged for the year ended December 31, 2020. The Rackspace Foundation, a Racker-funded nonprofit organization, has contributed over $6.6 million to date in support of education improvements in local schools.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Employees</w:t>
      </w:r>
    </w:p>
    <w:p>
      <w:pPr>
        <w:spacing w:after="0" w:line="25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As of December 31, 2020, we employed approximately 7,200 Rackers in 16 countries, including 4,300 Rackers in North America, 1,200 Rackers in EMEA, 1,600 in APJ and 100 Rackers in Australia and New Zealand. Of our North American Rackers, approximately 1,900 work from our corporate headquarters in San Antonio, Texas. As of December 31, 2020, approximately 25% of all Rackers were classified as work-from-home. None of our employees are represented by a collective bargaining agreement, nor have we experienced any work stoppages.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rely on a combination of patent, copyright, trademark, service mark and trade secret laws in the U.S., the European Union, the U.K. and various countries in Asia and South America, along with contractual restrictions, to establish and protect our intellectual property and proprietary rights, including with respect to our data offerings and services. However, these laws and contractual restrictions provide only limited protection. For example, we do not have any patent rights related to our proprietary tools, technology, processes and systems, including Rackspace Fabric, and rely on confidentiality agreements to protect such proprietary rights.</w:t>
      </w:r>
    </w:p>
    <w:p>
      <w:pPr>
        <w:spacing w:after="0" w:line="21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have trademarks registered or pending in the U.S., the European Union and various countries in Asia and South America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5"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We have patents issued as well as patent applications pending in the U.S. and the European Union, primarily related to our historical, legacy offerings such as OpenStack Public Cloud. We cannot assure you that any of our patent applications will result in the issuance of a patent or whether the examination process will require us to narrow the scope of the claims sought. Our issued patents, and any future patents issued to us, may be challenged, invalidated or circumvented, may not provide sufficiently broad protection and may not prove to be enforceable in actions against alleged infringers.</w:t>
      </w:r>
    </w:p>
    <w:p>
      <w:pPr>
        <w:spacing w:after="0" w:line="18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Our use of open source software, and participation in open source projects, may also limit our ability to assert certain of our intellectual property and proprietary rights against third parties, including competitors, who access or use software or technology that we have contributed to such open source projects.</w:t>
      </w:r>
    </w:p>
    <w:p>
      <w:pPr>
        <w:spacing w:after="0" w:line="19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Furthermore, effective patent, copyright, trademark and trade secret protection may not be available in every country in which our services are available, as the laws of some countries do not protect intellectual property and proprietary rights to as great an extent as the laws of the United States. In addition, the legal standards relating to the validity, enforceability and scope of protection of intellectual property and proprietary rights are uncertain and still evolving.</w:t>
      </w:r>
    </w:p>
    <w:p>
      <w:pPr>
        <w:spacing w:after="0" w:line="214"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Companies in the software industry or non-practicing entities may own large numbers of patents, copyrights, trademarks and other intellectual property and proprietary rights, and these companies and entities may in the future request license agreements, threaten litigation or file suit against us based on allegations of infringement, misappropriation or other violations of their intellectual property and proprietary rights. Any significant impairment of, or third-party claim against, our intellectual property and proprietary rights could harm our business or our ability to compete.</w:t>
      </w:r>
    </w:p>
    <w:p>
      <w:pPr>
        <w:spacing w:after="0" w:line="18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See Item 1A of Part I, Risk Factors - "Risks Related to Our Business" for a more comprehensive description of risks related to our intellectual property and proprietary rights, including our use of open source software.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is not materially affected by seasonal trends.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annual reports on Form 10-K, quarterly reports on Form 10-Q, current reports on Form 8-K, proxy statements for our annual stockholders’ meetings and amendments to those reports are available free of charge on our website, www.rackspace.com. Our website and the information contained on, or that can be accessed through, our website will not be deemed to be incorporated by reference in, and are not considered part of, this Annual Report. You can also request copies of these documents, for a copying fee, by writing to the SEC, or you can review these documents on the SEC’s website, as described below. In addition, we will provide electronic or paper copies of our filings free of charge upon request.</w:t>
      </w:r>
    </w:p>
    <w:p>
      <w:pPr>
        <w:spacing w:after="0" w:line="203"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registrants that file electronically with the SEC. The SEC’s website address is www.sec.gov.</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references to websites are intended to be inactive textual references only.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and Market Data</w:t>
      </w:r>
    </w:p>
    <w:p>
      <w:pPr>
        <w:spacing w:after="0" w:line="239"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sources of certain statistical data, industry data, estimates and forecasts contained in this 10-K are the following independent industry publications or reports:</w:t>
      </w:r>
    </w:p>
    <w:p>
      <w:pPr>
        <w:spacing w:after="0" w:line="198" w:lineRule="exact"/>
        <w:rPr>
          <w:sz w:val="20"/>
          <w:szCs w:val="20"/>
          <w:color w:val="auto"/>
        </w:rPr>
      </w:pPr>
    </w:p>
    <w:p>
      <w:pPr>
        <w:jc w:val="both"/>
        <w:ind w:left="1300" w:hanging="320"/>
        <w:spacing w:after="0" w:line="24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 Critical Success Factors for Building Multicloud MSP Solutions”, published April 2020 and “Magic Quadrant for Public Cloud Infrastructure Professional and Managed Services, Worldwide”, published on May 4, 2020, authored by Craig Lowery, To Chee Eng, et al.</w:t>
      </w:r>
    </w:p>
    <w:p>
      <w:pPr>
        <w:spacing w:after="0" w:line="20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Gartner reports described herein (the “Gartner Content”) represent research opinion or viewpoints published, as part of a syndicated subscription service, by Gartner, Inc. (“Gartner”) and are not representations of fact. Each Gartner Content speaks as of its original publication date (and not as of the date of this 10-K), and the opinions expressed in the Gartner Content are subject to change without notice.</w:t>
      </w:r>
    </w:p>
    <w:p>
      <w:pPr>
        <w:spacing w:after="0" w:line="191"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1A – RISK FACTORS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Our ability to execute our strategies is subject to certain risks. The risks described under the heading “Risk Factors” immediately following this summary may cause us not to realize the full benefits of our competitive strengths or may cause us to be unable to successfully execute all or part of our strategies. Some of the more significant challenges and risks we face include the following:</w:t>
      </w:r>
    </w:p>
    <w:p>
      <w:pPr>
        <w:spacing w:after="0" w:line="211" w:lineRule="exact"/>
        <w:rPr>
          <w:sz w:val="20"/>
          <w:szCs w:val="20"/>
          <w:color w:val="auto"/>
        </w:rPr>
      </w:pPr>
    </w:p>
    <w:p>
      <w:pPr>
        <w:ind w:left="660" w:hanging="16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attracting new customers, retaining existing customers and selling additional services and comparable gross margin services to our customers;</w:t>
      </w:r>
    </w:p>
    <w:p>
      <w:pPr>
        <w:spacing w:after="0" w:line="140" w:lineRule="exact"/>
        <w:rPr>
          <w:rFonts w:ascii="Arial" w:cs="Arial" w:eastAsia="Arial" w:hAnsi="Arial"/>
          <w:sz w:val="16"/>
          <w:szCs w:val="16"/>
          <w:color w:val="auto"/>
        </w:rPr>
      </w:pPr>
    </w:p>
    <w:p>
      <w:pPr>
        <w:ind w:left="660" w:right="360" w:hanging="166"/>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and uncertainties affecting markets in which we operate and economic volatility that could adversely impact our business, including the COVID-19 pandemic;</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successfully execute our strategies and adapt to evolving customer demands, including the trend to lower-gross margin offerings;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and our obligations to repay such indebtedness;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and our reliance on, third-party providers, vendors, consultants and software;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successfully against current and future competitors;</w:t>
      </w:r>
    </w:p>
    <w:p>
      <w:pPr>
        <w:spacing w:after="0" w:line="117"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cyber-attacks and other interruptions to our and our third-party service providers’ technological and physical infrastructures;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our service level commitments to customers, including network uptime requirements.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i w:val="1"/>
          <w:iCs w:val="1"/>
          <w:color w:val="auto"/>
        </w:rPr>
        <w:t>In addition to the other information set forth in this report, you should carefully consider the risks and uncertainties described below, which could materially and adversely affect our business, financial condition and results of operations. In addition, past financial performance may not be a reliable indicator of future performance and historical trends may not predict results or trends in future periods.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retain existing customers and sell additional services and sell comparable gross margin services to customers, our revenue and results of operations could be adversely affected.</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ability to maintain or increase our revenues and profit may be impacted by a number of factors, including our ability to attract new customers, retain existing customers and sell additional services and comparable gross margin services to our customers. In addition, as we seek to grow our customer base increasingly through outbound sales, we expect to incur higher customer acquisition costs and, to the extent we are unable to retain and sell additional services to existing customers, our revenue and results of operations may decrease.</w:t>
      </w:r>
    </w:p>
    <w:p>
      <w:pPr>
        <w:spacing w:after="0" w:line="21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Growth in the demand for our services may be inhibited and we may be unable to profitably maintain or grow our customer base for a number of reasons, such as:</w:t>
      </w:r>
    </w:p>
    <w:p>
      <w:pPr>
        <w:spacing w:after="0" w:line="197"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provide compelling services or effectively market them to new and existing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our favorable relationships with our third-party cloud service providers;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migration to platforms that we do not have expertise in managing;</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inability of customers to differentiate our services from those of our competitors or our inability to effectively communicate such distinctions;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 of customers to host internally or in colocation facilities as an alternative to the use of our services;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 of customers to use internal or other third-party resources to manage their platforms and applications;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IT spending by customers or potential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penetrate international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the demand for our services due to macroeconomic factors in the markets in which we operate;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strengthen awareness of our brand;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reliability, quality or compatibility problems with our services.</w:t>
      </w:r>
    </w:p>
    <w:p>
      <w:pPr>
        <w:spacing w:after="0" w:line="25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Moreover, we may face difficulty retaining existing customers over the long term. Certain customer contracts, particularly within our Multicloud Services segment, typically have initial terms (typically from 12 to 36 months)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In addition, many of our other service offerings, including most of our public cloud offerings, can be based on a consumption model and can be canceled at any time without penalty. As a result, we may face high rates of customer churn if we are unable to meet our customer needs, requirements and preferences.</w:t>
      </w:r>
    </w:p>
    <w:p>
      <w:pPr>
        <w:spacing w:after="0" w:line="20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business is affected by general economic conditions and uncertainties affecting markets in which we operate and economic volatility could adversely impact our business.</w:t>
      </w:r>
    </w:p>
    <w:p>
      <w:pPr>
        <w:spacing w:after="0" w:line="19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overall performance depends in part on worldwide economic and geopolitical conditions. The United States (the “U.S.”), the United Kingdom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In addition, geopolitical developments, such as existing and potential trade wars and other events beyond our control, such as the COVID-19 pandemic, which has resulted in the imposition of related public health measures and travel restrictions, and civil unrest can increase levels of political and economic unpredictability globally and increase the volatility of global financial markets. Any of these effects could have a material and adverse impact on our business, financial condition and results of operations.</w:t>
      </w:r>
    </w:p>
    <w:p>
      <w:pPr>
        <w:spacing w:after="0" w:line="205"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The recent outbreak of a novel strain of coronavirus, now referred to as COVID-19, has spread, and continues to spread, globally and the World Health Organization declared the outbreak to constitute a “pandemic” in March 2020. Currently, COVID-19 has not had a significant impact on our operations or financial performance; however, the extent of the impact of the COVID-19 pandemic on our operational and financial performance will depend on certain developments, including the duration and spread of the outbreak, changes in governmental regulation in response to the virus, impact on our customers and our sales cycles, impact on our customer, employee or industry events and effect on our vendors, all of which are uncertain and cannot be predicted. For example, in response to the COVID-19 pandemic, we have shifted to a work from home environment for all employees whose presence in the office is nonessential. and if we continue to do so for extended periods of time, we may not meet our on-going employment commitments under certain economic incentive agreements which may result in our losing future tax benefits and having to repay certain tax benefits already received. In addition, we have and may in the future continue to postpone or cancel customer, employee or industry events, which could impact our brand visibility and our ability to obtain new customers. Moreover, any deterioration in economic conditions resulting from the COVID-19 pandemic can affect the rate of IT spending, and any reductions may fall disproportionately on outsourced and cloud-based solutions like ours. In addition, impacts of the COVID-19 pandemic may be exacerbated by the disproportionate impact it is having on the small and medium-size businesses that make a large portion of our customer base, many of which may be forced to shut down or limit operations for an indefinite period of time. Economic weakness, customer financial difficulties and constrained spending on IT operations could adversely affect our customers’ ability or willingness to purchase our service offerings, delay purchasing decisions and lengthen our sales cycles, reduce the value or duration of their subscription contracts, or increase churn, all of which could have a material and adverse effect on our sales and operating results. To the extent the COVID-19 pandemic adversely affects our business and financial results,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execute our strategies and continue to develop and sell the services and solutions our customers demand, our business, financial condition and results of operations may suffer.</w:t>
      </w:r>
    </w:p>
    <w:p>
      <w:pPr>
        <w:spacing w:after="0" w:line="19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Any failure to successfully execute our strategies, including any failure to invest in strategic growth areas,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 require significant investments that may adversely affect our near-term revenue growth and results of operations.</w:t>
      </w:r>
    </w:p>
    <w:p>
      <w:pPr>
        <w:spacing w:after="0" w:line="252"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We expect the implementation of our strategies to require significant investments,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 small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profitability in the future.</w:t>
      </w:r>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incurred net losses of $470.6 million, $102.3 million and $245.8 million in the fiscal years ended December 31, 2018, 2019 and 2020,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w:t>
      </w: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results of operations have historically varied and may fluctuate significantly, which could make our future results difficult to predict and could cause our results of operations to fall below investor or analyst expectations.</w:t>
      </w:r>
    </w:p>
    <w:p>
      <w:pPr>
        <w:spacing w:after="0" w:line="19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 management’s time and energy, which could materially and adversely impact our business. Our period-to-period results of operations are not necessarily an indication of our future operating performance. Similarly, our Bookings, Annualized Recurring Revenue and Quarterly Net Revenue Retention Rate metrics may not provide an accurate indication of our future or expected results of operations. For instance, we expect that Bookings could fluctuate significantly on a quarterly basis based on the timing of one or more customer purchase decisions, which we cannot control, and which makes it difficult for us to accurately predict Bookings for any future period. In addition, in calculating Non-GAAP Net Income (Loss), we utilize estimates of our net effective tax rate, which may fluctuate based on a number of factors, including tax law changes and the geographic distribution of our profits and losses. As a result, our calculation of Non-GAAP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 If our revenue or operating results do not meet or exceed the expectations of investors or securities analysts, the price of our common stock may decline.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key operating metrics are subject to assumptions and limitations and may not provide an accurate indication of our future or expected results.</w:t>
      </w:r>
    </w:p>
    <w:p>
      <w:pPr>
        <w:spacing w:after="0" w:line="27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key operating metrics, including Bookings, Annualized Recurring Revenue ("ARR") and Quarterly Net Revenue Retention Rate, are based on numerous assumptions and limitations, are calculated using our internal data that have not been independently verified by third parties and may not provide an accurate indication of our future or expected results. For instance, our Bookings metric is calculated by annualizing the monthly value of recurring customer contracts entered into during a period and adding the actual (not annualized) estimated value of professional services consulting, advisory or project-based orders received during the period, but does not reflect actual or anticipated contract non-renewals or service cancellations (which we do not report), and to the extent we experience such contract non-renewals or service cancellations, will not result in revenue in future periods. Bookings also does not differentiate between recurring and non-recurring revenue, may not correlate to the time period in which revenue is recognized or anticipated to be recognized and is increased by a customer moving from one workload to another workload (which would not be an increase if a customer had a net zero revenue impact in a single workload from a new contract and cancellation). As a result, the assumptions used in calculating Bookings are subject to several limitations. Annualized Recurring Revenue is a historical measure that annualizes our revenue for a previously completed fiscal quarter and therefore is not a reliable indicator of our future or expected results, and Annualized Recurring Revenue also does not reflect any actual or anticipated reductions in revenue due to contract non-renewals or service cancellations. Quarterly Net Revenue Retention Rate may fluctuate from quarter to quarter based on the customers that qualify to be included in the cohort used to calculate the metric. As a result, our key operating metrics may not reflect our actual performance, and investors should consider each one of our key operating metrics in light of the assumptions used in calculating the metric and limitations as a result thereof. In addition, investors should not place undue reliance on our key operating metrics as indicators of our future or expected results. Moreover, our key operating metrics may differ from similarly titled metrics presented by other companies and may not be comparable to such other metrics. See Item 7 of Part II, Management’s Discussion and Analysis of Financial Condition And Results of Operations - "Key Operating Metrics" for more information regarding our key operating metrics.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current and potential competitors vary by size, service offerings and geographic region. These competitors may elect to partner with each other or with focused companies to grow their businesses. They include:</w:t>
      </w:r>
    </w:p>
    <w:p>
      <w:pPr>
        <w:spacing w:after="0" w:line="197" w:lineRule="exact"/>
        <w:rPr>
          <w:sz w:val="20"/>
          <w:szCs w:val="20"/>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in-house IT departments of our customers and potential customers;</w:t>
      </w:r>
    </w:p>
    <w:p>
      <w:pPr>
        <w:spacing w:after="0" w:line="117" w:lineRule="exact"/>
        <w:rPr>
          <w:rFonts w:ascii="Arial" w:cs="Arial" w:eastAsia="Arial" w:hAnsi="Arial"/>
          <w:sz w:val="18"/>
          <w:szCs w:val="18"/>
          <w:color w:val="auto"/>
        </w:rPr>
      </w:pPr>
    </w:p>
    <w:p>
      <w:pPr>
        <w:ind w:left="660" w:right="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traditional global IT systems integrators, including large multi-national providers, such as Accenture, Atos, Capgemini, Cognizant, Deloitte, DXC Technology and IBM;</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cloud service providers and digital systems integrators;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regional managed services providers;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colocation solutions providers, such as Equinix, CyrusOne and QTS.</w:t>
      </w:r>
    </w:p>
    <w:p>
      <w:pPr>
        <w:spacing w:after="0" w:line="252"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w:t>
      </w:r>
    </w:p>
    <w:p>
      <w:pPr>
        <w:spacing w:after="0" w:line="21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w:t>
      </w:r>
    </w:p>
    <w:p>
      <w:pPr>
        <w:spacing w:after="0" w:line="211" w:lineRule="exact"/>
        <w:rPr>
          <w:sz w:val="20"/>
          <w:szCs w:val="20"/>
          <w:color w:val="auto"/>
        </w:rPr>
      </w:pPr>
    </w:p>
    <w:p>
      <w:pPr>
        <w:ind w:left="660" w:hanging="166"/>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 superior products or services, gain greater market acceptance and expand their service offerings more efficiently or more rapidly;</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adapt to new or emerging technologies and changes in customer requirements more quickly;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bundle their offerings, including hosting services with other services they provide at reduced prices;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48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streamline their operational structure, obtain better pricing or secure more favorable contractual terms, allowing them to deliver services and products at a lower cost;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advantage of acquisition, joint venture and other opportunities more readily;</w:t>
      </w:r>
    </w:p>
    <w:p>
      <w:pPr>
        <w:spacing w:after="0" w:line="117" w:lineRule="exact"/>
        <w:rPr>
          <w:rFonts w:ascii="Arial" w:cs="Arial" w:eastAsia="Arial" w:hAnsi="Arial"/>
          <w:sz w:val="18"/>
          <w:szCs w:val="18"/>
          <w:color w:val="auto"/>
        </w:rPr>
      </w:pPr>
    </w:p>
    <w:p>
      <w:pPr>
        <w:ind w:left="660" w:right="14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 more aggressive pricing policies and devote greater resources to the promotion, marketing and sales of their services, which could cause us to have to lower prices for certain services to remain competitive in the market;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devote greater resources to the research and development of their products and services.</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To the extent we face increased price competition, we may have to lower the prices of certain of our services in the future to stay competitive, while simultaneously seeking to maintain or improve our revenue and gross margin.</w:t>
      </w:r>
    </w:p>
    <w:p>
      <w:pPr>
        <w:spacing w:after="0" w:line="19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addition, consolidation activity through strategic mergers, acquisitions and joint ventures may result in new competitors that can offer a broader range of products and services, may have greater 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 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w:t>
      </w:r>
    </w:p>
    <w:p>
      <w:pPr>
        <w:spacing w:after="0" w:line="19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business is highly dependent on our ability to maintain favorable relationships with our third-party cloud infrastructure providers and the ability of those third-party cloud infrastructure providers to provide the services and features that our customers desire.</w:t>
      </w:r>
    </w:p>
    <w:p>
      <w:pPr>
        <w:spacing w:after="0" w:line="17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non-exclusive managed service provider relationships with AWS, Microsoft and Google. Some of our customers first select their cloud infrastructure platform provider and then engage us to provide the managed services for the selected platform and, more often than not, we resell the cloud infrastructure to the customer (although some customers may elect to purchase the cloud infrastructure directly from the providers). Our agreements with AWS, Microsoft and Google may be terminated at will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our cloud infrastructure providers are unable to provide the types of services and features that meet customer needs, our customers may migrate to alternative cloud infrastructure providers that we may not have the ability to resell and/or support or may not be able to support on a competitive cost structure, which could have a material and adverse effect on our business, financial condition and results of operations.</w:t>
      </w:r>
    </w:p>
    <w:p>
      <w:pPr>
        <w:spacing w:after="0" w:line="19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rely on our relationships with third-party cloud infrastructure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 substantial number of these providers terminate their relationship with us, our business, financial condition and results of operations could be adversely affected.</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referral and reseller partners provide revenue to our business, and we benefit from our association with them. The loss of these participants could adversely affect our business.</w:t>
      </w:r>
    </w:p>
    <w:p>
      <w:pPr>
        <w:spacing w:after="0" w:line="197" w:lineRule="exact"/>
        <w:rPr>
          <w:sz w:val="20"/>
          <w:szCs w:val="20"/>
          <w:color w:val="auto"/>
        </w:rPr>
      </w:pPr>
    </w:p>
    <w:p>
      <w:pPr>
        <w:ind w:right="360" w:firstLine="486"/>
        <w:spacing w:after="0" w:line="273" w:lineRule="auto"/>
        <w:rPr>
          <w:sz w:val="20"/>
          <w:szCs w:val="20"/>
          <w:color w:val="auto"/>
        </w:rPr>
      </w:pPr>
      <w:r>
        <w:rPr>
          <w:rFonts w:ascii="Arial" w:cs="Arial" w:eastAsia="Arial" w:hAnsi="Arial"/>
          <w:sz w:val="17"/>
          <w:szCs w:val="17"/>
          <w:color w:val="auto"/>
        </w:rPr>
        <w:t>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 that reach a large number of companies through the Internet. If a substantial number of these partners terminate their relationships with us, our business, financial condition and results of operations could be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qualified employees and management personnel, our strategies and our business could be harmed.</w:t>
      </w:r>
    </w:p>
    <w:p>
      <w:pPr>
        <w:spacing w:after="0" w:line="252"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new services, which could cause our business to be negatively impacted.</w:t>
      </w:r>
    </w:p>
    <w:p>
      <w:pPr>
        <w:spacing w:after="0" w:line="20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Security breaches, cyber-attacks and other interruptions to our or our third-party service providers’ infrastructure may disrupt our internal operations and we may be exposed to claims and liability, lose customers, suffer harm to our reputation, lose business-critical compliance certifications and incur additional costs.</w:t>
      </w:r>
    </w:p>
    <w:p>
      <w:pPr>
        <w:spacing w:after="0" w:line="21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We also process, store and transmit our own data as part of our business and operations, which may include personally identifiable, confidential or proprietary information.</w:t>
      </w:r>
    </w:p>
    <w:p>
      <w:pPr>
        <w:spacing w:after="0" w:line="20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Cyber-attacks have become more prevalent in our industry, and the techniques used to sabotage or obtain unauthorized access to systems are constantly expanding and evolving and may not be recognized until they are successfully launched against a target. Without the proper tools, software, services and processes in place that are necessary to protect against and mitigate harm, we could be continuously susceptible to unauthorized access, infrastructure attacks, malicious file attacks, ransomware,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 grant access to our data or our customers’ data. Our current security measures may fail or be inadequate to defeat or mitigate these attacks, and we may be unable to implement additional security measures in a timely manner. Even if implemented, these measures could be circumvented as a result of accidental or intentional actions by parties within or outside of our organization.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If a breach or other security incident were to occur, it could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w:t>
      </w:r>
    </w:p>
    <w:p>
      <w:pPr>
        <w:spacing w:after="0" w:line="19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We also offer professional services to our customers where we consult on data center solutions and assist with implementations. We offer managed services domestically and in some jurisdictions outside of the U.S. where we manage the data center infrastructure for our customers.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w:t>
      </w:r>
    </w:p>
    <w:p>
      <w:pPr>
        <w:spacing w:after="0" w:line="21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ability to monitor our third-party service providers’ data security is limited.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w:t>
      </w:r>
    </w:p>
    <w:p>
      <w:pPr>
        <w:spacing w:after="0" w:line="191" w:lineRule="exact"/>
        <w:rPr>
          <w:sz w:val="20"/>
          <w:szCs w:val="20"/>
          <w:color w:val="auto"/>
        </w:rPr>
      </w:pPr>
    </w:p>
    <w:p>
      <w:pPr>
        <w:ind w:right="60" w:firstLine="551"/>
        <w:spacing w:after="0" w:line="271" w:lineRule="auto"/>
        <w:rPr>
          <w:sz w:val="20"/>
          <w:szCs w:val="20"/>
          <w:color w:val="auto"/>
        </w:rPr>
      </w:pPr>
      <w:r>
        <w:rPr>
          <w:rFonts w:ascii="Arial" w:cs="Arial" w:eastAsia="Arial" w:hAnsi="Arial"/>
          <w:sz w:val="17"/>
          <w:szCs w:val="17"/>
          <w:color w:val="auto"/>
        </w:rPr>
        <w:t>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Insurance Portability and Accountability Act (HIPAA) in the U.S., Information Security Registered Assessors Program (IRAP) in Australia and Public Services Network (PSN) in the U.K. There are significant costs associated with maintaining existing and implementing any newly-adopted industry-related compliance certifications, including costs associated with retroactively building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inability to prevent service disruptions and ensure network uptime could lead to significant costs and could harm our business reputation and have a material and adverse effect on our business, financial condition and results of operations.</w:t>
      </w:r>
    </w:p>
    <w:p>
      <w:pPr>
        <w:spacing w:after="0" w:line="19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future service interruptions could:</w:t>
      </w:r>
    </w:p>
    <w:p>
      <w:pPr>
        <w:spacing w:after="0" w:line="239" w:lineRule="exact"/>
        <w:rPr>
          <w:sz w:val="20"/>
          <w:szCs w:val="20"/>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our customers to seek damages for losses incurred;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payment to us by customers;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 in legal claims against us;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our resources;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replace existing equipment or add redundant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affect our reputation as a reliable provider of hosting services;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existing customers to cancel or elect to not renew their contracts;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attract new customers.</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our data centers relies on access to sufficient and reliable electric power.</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have reliable Internet, telecommunications and fiber optic network connectivity and capacity may adversely affect our results of operations.</w:t>
      </w:r>
    </w:p>
    <w:p>
      <w:pPr>
        <w:spacing w:after="0" w:line="28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w:t>
      </w:r>
    </w:p>
    <w:p>
      <w:pPr>
        <w:spacing w:after="0" w:line="2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overestimated our data center capacity requirements in the past. If we overestimate or underestimate our data center capacity requirements, our business, financial condition and results of operations could be adversely affected.</w:t>
      </w:r>
    </w:p>
    <w:p>
      <w:pPr>
        <w:spacing w:after="0" w:line="197"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customer solutions, software or technology could adversely affect our business, financial condition and results of operations.</w:t>
      </w:r>
    </w:p>
    <w:p>
      <w:pPr>
        <w:spacing w:after="0" w:line="19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third-party software that may be difficult to replace, or which could cause errors or failures of our service that could lead to lost customers or harm to our reputation.</w:t>
      </w:r>
    </w:p>
    <w:p>
      <w:pPr>
        <w:spacing w:after="0" w:line="19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third-party vendors, including our third-party software licensors, increase their prices and we are unable to pass those increased costs to our customers, it could have a material and adverse effect on our results of operations.</w:t>
      </w:r>
    </w:p>
    <w:p>
      <w:pPr>
        <w:spacing w:after="0" w:line="197" w:lineRule="exact"/>
        <w:rPr>
          <w:sz w:val="20"/>
          <w:szCs w:val="20"/>
          <w:color w:val="auto"/>
        </w:rPr>
      </w:pPr>
    </w:p>
    <w:p>
      <w:pPr>
        <w:jc w:val="both"/>
        <w:ind w:right="520" w:firstLine="486"/>
        <w:spacing w:after="0" w:line="259" w:lineRule="auto"/>
        <w:rPr>
          <w:sz w:val="20"/>
          <w:szCs w:val="20"/>
          <w:color w:val="auto"/>
        </w:rPr>
      </w:pPr>
      <w:r>
        <w:rPr>
          <w:rFonts w:ascii="Arial" w:cs="Arial" w:eastAsia="Arial" w:hAnsi="Arial"/>
          <w:sz w:val="18"/>
          <w:szCs w:val="18"/>
          <w:color w:val="auto"/>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depend in part on intellectual property and proprietary rights and technology licensed from third parties.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to enterprise customers involve risks that may not be present in or that are present to a greater extent than sales to smaller entities.</w:t>
      </w:r>
    </w:p>
    <w:p>
      <w:pPr>
        <w:spacing w:after="0" w:line="264"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We continue to focus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Some of our professional services engagements with our clients are based on estimated pricing terms. If our estimates are incorrect, these terms could become unprofitable.</w:t>
      </w:r>
    </w:p>
    <w:p>
      <w:pPr>
        <w:spacing w:after="0" w:line="19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maintain, enhance and protect our brand, our ability to expand our customer base will be impaired and our business, financial condition and results of operations may suffer.</w:t>
      </w:r>
    </w:p>
    <w:p>
      <w:pPr>
        <w:spacing w:after="0" w:line="19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In June 2020, we undertook a comprehensive rebranding effort, changing the legacy “Rackspace” brand to “Rackspace Technology”, which better communicates our enhanced value proposition to customers.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and expand our business is susceptible to risks associated with international sales and operations.</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We have limited experience operating in foreign jurisdictions other than the U.K., Australia and Hong Kong and expect to continue to grow our international operations.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spacing w:after="0" w:line="205" w:lineRule="exact"/>
        <w:rPr>
          <w:sz w:val="20"/>
          <w:szCs w:val="20"/>
          <w:color w:val="auto"/>
        </w:rPr>
      </w:pPr>
    </w:p>
    <w:p>
      <w:pPr>
        <w:ind w:left="660" w:right="100" w:hanging="16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adapting to local practices and regulatory requirements and differing technology standards or customer requirements;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ability to move cash;</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transfer pricing and foreign value added tax systems;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associated with repatriating earnings generated or held abroad in a tax-efficient manner and changes in tax laws;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dependence on certain third parties, including channel partners with whom we do not have extensive experience;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services, including policies adopted by countries that may champion or otherwise favor domestic companies and technologies over foreign competitors;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social and economic instability and corruption abroad, terrorist attacks, civil unrest and security concerns in general;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pandemics and public health emergencies, such as COVID-19;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and proprietary rights in some countries.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hanging="111"/>
        <w:spacing w:after="0"/>
        <w:tabs>
          <w:tab w:leader="none" w:pos="5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U.K. from the European Union (the “E.U.”), or Brexit, could have a material and adverse effect on our business.</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June 2016, U.K. voters approved a referendum to withdraw the U.K.’s membership from the E.U., which is commonly referred to as “Brexit.” The U.K.’s withdrawal from the E.U. occurred on January 31, 2020, but the U.K. remained in the E.U.’s customs union and single market until December 31, 2020 (the “Transition Period”). During the Transition Period, the E.U. and the U.K. conducted negotiations on trade as well as other matters relating to Brexit. In late December 2020, the U.K. and the E.U. agreed to a new trade agreement (the EU-UK Trade &amp; Co-operation Agreement, or the “Trade Agreement”) to govern their relationship after the Transition Period.</w:t>
      </w:r>
    </w:p>
    <w:p>
      <w:pPr>
        <w:spacing w:after="0" w:line="21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operations in the U.K. and the E.U. and, as a result, we face risks associated with the uncertainty and disruptions as a consequence of Brexit that naturally arise from or have not been resolved by the Trade Agreement. These include increased cross-border checks and required customs documentation with respect to the movement of goods between the U.K and the E.U., disruption to the labor supply between the U.K. and the E.U., the potential divergence of the regulatory regimes applicable to our operations between the U.K and the E.U., and importantly, the absence of adequate trade provisions dealing with the services sector (especially for financial services) in the Trade Agreement. Consequently, the continuing uncertainty concerning the U.K.’s legal, political and economic relationship with the E.U. could adversely affect European or worldwide political, regulatory, economic or market conditions and could contribute to instability in global political institutions, regulatory agencies and financial markets.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9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long-term effects of Brexit will depend on any further agreements (or lack thereof) between the U.K. and the E.U. and, in particular, any arrangements for the U.K. to retain access to E.U. markets in the service sector. We may also face new regulatory costs and challenges as a result of Brexit that could have an adverse effect on our operations. For example, the U.K. has lost the benefits of global trade agreements negotiated by the E.U. on behalf of its members, which therefore requires the U.K. to agree separate trade agreements with other nations (e.g. the United States) which is likely to result in increased trade barriers that could make our doing business globally more difficult. There may continue to be economic uncertainty surrounding the consequences of Brexit that adversely impact customer confidence resulting in customers reducing their spending budgets on our solutions, which could harm our business.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ongoing instability and uncertainty in the aftermath of the Trade Agreement could require us to restructure our business operations in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E.U. and could have an adverse impact on our business and employees in the U.K. and E.U.</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develop and maintain adequate internal systems could cause us to be unable to properly provide service to our customers, causing us to lose customers, suffer harm to our reputation and incur additional costs.</w:t>
      </w:r>
    </w:p>
    <w:p>
      <w:pPr>
        <w:spacing w:after="0" w:line="19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w:t>
      </w:r>
    </w:p>
    <w:p>
      <w:pPr>
        <w:spacing w:after="0" w:line="214"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be able to renew the leases on our existing facilities on terms acceptable to us, if at all, which could adversely affect our business, financial condition and results of operations.</w:t>
      </w:r>
    </w:p>
    <w:p>
      <w:pPr>
        <w:spacing w:after="0" w:line="19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do not own the facilities occupied by our current data centers but occupy them pursuant to commercial leasing arrangements. The initial terms of our main existing data center leases expire over the next 18 years. 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 number of third-party providers for data center space, equipment, maintenance and other services, and the loss of, or problems with, one or more of these providers may impede our growth or cause us to lose customers.</w:t>
      </w:r>
    </w:p>
    <w:p>
      <w:pPr>
        <w:spacing w:after="0" w:line="19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the third-party could fail to live up to the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various laws, directives, regulations, contractual obligations and policies regarding the protection of confidentiality and appropriate use of personal information.</w:t>
      </w:r>
    </w:p>
    <w:p>
      <w:pPr>
        <w:spacing w:after="0" w:line="197"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w:t>
      </w:r>
    </w:p>
    <w:p>
      <w:pPr>
        <w:spacing w:after="0" w:line="19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U.K. and the E.U. The E.U.’s data protection landscape recently changed, resulting in possible significant operational costs for internal compliance and risk to our business. The E.U. has adopted the General Data Protection Regulation, or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GDPR to enact, and have enacted, certain legislation that adds to and/or further interprets the GDPR requirements and potentially extends our obligations and potential liability for failing to meet such obligations. Among other requirements, the GDPR regulates transfers of personal data subject to the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The GDPR also introduced numerous privacy-related changes for companies operating in the E.U., including greater control for data subjects (for example, the “right to be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forgotten”), increased data portability for E.U. consumers, data breach notification requirements and increased fines. In particular, under the GDPR, fines of up to 20 million euros or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84"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Non-compliance with relevant data privacy laws, directives and regulations, such as the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19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took effect on January 1, 2020 and imposes obligations on companies that process personal information of California residents. The CCPA was amended prior to going into effect, and it is possible that further amendments will be enacted, but even in its current form it remains unclear how various provisions of the CCPA will be interpreted and enforced. Among other things, the CCPA gives California residents expanded rights to access and delete their personal information, opt out of certain personal information sharing and receive detailed information about how their personal information is used. The CCPA also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U.S., which could increase our potential liability and adversely affect our business.</w:t>
      </w:r>
    </w:p>
    <w:p>
      <w:pPr>
        <w:spacing w:after="0" w:line="20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w:t>
      </w:r>
    </w:p>
    <w:p>
      <w:pPr>
        <w:spacing w:after="0" w:line="21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addition, our board of directors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 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204"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could potentially expose us to lawsuits for their lost profits or damages, which could impair our results of operations.</w:t>
      </w:r>
    </w:p>
    <w:p>
      <w:pPr>
        <w:spacing w:after="0" w:line="252"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liability insurance coverage by unknown but significant amounts, which could materially and adversely impair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include national, provincial, state and local governmental entities.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government work carries various risks inherent in the government contracting process. These risks include, but are not limited to, the following:</w:t>
      </w:r>
    </w:p>
    <w:p>
      <w:pPr>
        <w:spacing w:after="0" w:line="275" w:lineRule="exact"/>
        <w:rPr>
          <w:sz w:val="20"/>
          <w:szCs w:val="20"/>
          <w:color w:val="auto"/>
        </w:rPr>
      </w:pPr>
    </w:p>
    <w:p>
      <w:pPr>
        <w:ind w:left="660" w:right="80" w:hanging="166"/>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spacing w:after="0" w:line="78" w:lineRule="exact"/>
        <w:rPr>
          <w:rFonts w:ascii="Arial" w:cs="Arial" w:eastAsia="Arial" w:hAnsi="Arial"/>
          <w:sz w:val="18"/>
          <w:szCs w:val="18"/>
          <w:color w:val="auto"/>
        </w:rPr>
      </w:pPr>
    </w:p>
    <w:p>
      <w:pPr>
        <w:ind w:left="660" w:right="280" w:hanging="166"/>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w:t>
      </w:r>
    </w:p>
    <w:p>
      <w:pPr>
        <w:spacing w:after="0" w:line="78" w:lineRule="exact"/>
        <w:rPr>
          <w:rFonts w:ascii="Arial" w:cs="Arial" w:eastAsia="Arial" w:hAnsi="Arial"/>
          <w:sz w:val="18"/>
          <w:szCs w:val="18"/>
          <w:color w:val="auto"/>
        </w:rPr>
      </w:pPr>
    </w:p>
    <w:p>
      <w:pPr>
        <w:ind w:left="660" w:right="40" w:hanging="16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contracts can be challenged by other interested parties and such challenges, even if unsuccessful, can increase costs, cause delays and defer project implementation and revenue recognition.</w:t>
      </w:r>
    </w:p>
    <w:p>
      <w:pPr>
        <w:spacing w:after="0" w:line="62" w:lineRule="exact"/>
        <w:rPr>
          <w:rFonts w:ascii="Arial" w:cs="Arial" w:eastAsia="Arial" w:hAnsi="Arial"/>
          <w:sz w:val="18"/>
          <w:szCs w:val="18"/>
          <w:color w:val="auto"/>
        </w:rPr>
      </w:pPr>
    </w:p>
    <w:p>
      <w:pPr>
        <w:jc w:val="both"/>
        <w:ind w:left="660" w:right="40" w:hanging="166"/>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spacing w:after="0" w:line="75" w:lineRule="exact"/>
        <w:rPr>
          <w:rFonts w:ascii="Arial" w:cs="Arial" w:eastAsia="Arial" w:hAnsi="Arial"/>
          <w:sz w:val="18"/>
          <w:szCs w:val="18"/>
          <w:color w:val="auto"/>
        </w:rPr>
      </w:pPr>
    </w:p>
    <w:p>
      <w:pPr>
        <w:ind w:left="660" w:right="80" w:hanging="166"/>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w:t>
      </w:r>
    </w:p>
    <w:p>
      <w:pPr>
        <w:spacing w:after="0" w:line="79" w:lineRule="exact"/>
        <w:rPr>
          <w:rFonts w:ascii="Arial" w:cs="Arial" w:eastAsia="Arial" w:hAnsi="Arial"/>
          <w:sz w:val="18"/>
          <w:szCs w:val="18"/>
          <w:color w:val="auto"/>
        </w:rPr>
      </w:pPr>
    </w:p>
    <w:p>
      <w:pPr>
        <w:ind w:left="660" w:hanging="166"/>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w:t>
      </w:r>
    </w:p>
    <w:p>
      <w:pPr>
        <w:spacing w:after="0" w:line="63" w:lineRule="exact"/>
        <w:rPr>
          <w:rFonts w:ascii="Arial" w:cs="Arial" w:eastAsia="Arial" w:hAnsi="Arial"/>
          <w:sz w:val="17"/>
          <w:szCs w:val="17"/>
          <w:color w:val="auto"/>
        </w:rPr>
      </w:pPr>
    </w:p>
    <w:p>
      <w:pPr>
        <w:ind w:left="660" w:right="40" w:hanging="166"/>
        <w:spacing w:after="0" w:line="25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w:t>
      </w:r>
    </w:p>
    <w:p>
      <w:pPr>
        <w:spacing w:after="0" w:line="8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w:t>
      </w:r>
    </w:p>
    <w:p>
      <w:pPr>
        <w:spacing w:after="0" w:line="21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w:t>
      </w:r>
    </w:p>
    <w:p>
      <w:pPr>
        <w:spacing w:after="0" w:line="21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 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United States.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w:t>
      </w:r>
    </w:p>
    <w:p>
      <w:pPr>
        <w:spacing w:after="0" w:line="20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Compliance with U.S. regulations on trade sanctions and embargoes administered by OFAC and the U.S. Commerce Department also poses a risk to us. We cannot provide services to certain countries subject to U.S. trade sanctions. Furthermore, the laws and regulations concerning import activity, export recordkeeping and reporting, export control and economic sanctions are complex and constantly changing. Any failure to comply with applicable legal and regulatory trading obligations could result in criminal and civil penalties and sanctions, such as fines, imprisonment, debarment from governmental contracts, seizure of shipments and loss of import and export privileges. For example, in 2017, prior to our acquisition of Datapipe Parent, Inc. ("Datapipe"), one of Datapipe’s European subsidiaries provided network interconnectivity and distributed denial of attack protection service to an Iranian entity subject to OFAC sanctions. Datapipe self-reported the instance to OFAC and we have taken remedial measures to safeguard against re-occurrence. If we provide services to sanctioned targets in the future in violation of applicable export laws or economic sanctions, we could be subject to government investigations, penalties and reputational harm.</w:t>
      </w:r>
    </w:p>
    <w:p>
      <w:pPr>
        <w:spacing w:after="0" w:line="208"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Certain of our international operations are conducted in countries or regions experiencing corruption or instability, which subjects us to heightened legal and economic risks.</w:t>
      </w:r>
    </w:p>
    <w:p>
      <w:pPr>
        <w:spacing w:after="0" w:line="19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 subject to such anti-corruption laws. Any determination that we have violated anti-corruption laws could have a material and adverse effect on our business, results of operations, reputation or prospects.</w:t>
      </w:r>
    </w:p>
    <w:p>
      <w:pPr>
        <w:spacing w:after="0" w:line="2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liable for the material that content providers distribute over our network, and we may have to terminate customers that provide content that is determined to be illegal, which could adversely affect our results of operations.</w:t>
      </w:r>
    </w:p>
    <w:p>
      <w:pPr>
        <w:spacing w:after="0" w:line="19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Government regulation is continuously evolving and, depending on its evolution, may adversely affect our business, financial condition and results of operations.</w:t>
      </w:r>
    </w:p>
    <w:p>
      <w:pPr>
        <w:spacing w:after="0" w:line="19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and the characteristics and quality of services.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failure by us to identify, manage, complete and integrate acquisitions and other significant transactions, including dispositions, successfully could harm our business, financial condition and results of operations.</w:t>
      </w:r>
    </w:p>
    <w:p>
      <w:pPr>
        <w:spacing w:after="0" w:line="19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w:t>
      </w:r>
    </w:p>
    <w:p>
      <w:pPr>
        <w:spacing w:after="0" w:line="211" w:lineRule="exact"/>
        <w:rPr>
          <w:sz w:val="20"/>
          <w:szCs w:val="20"/>
          <w:color w:val="auto"/>
        </w:rPr>
      </w:pPr>
    </w:p>
    <w:p>
      <w:pPr>
        <w:ind w:left="660" w:right="320" w:hanging="166"/>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fail to identify and successfully complete and integrate Strategic Transactions that further our strategic objectives, we may be required to expend resources to develop services and technology internally, which may put us at a competitive disadvantage.</w:t>
      </w:r>
    </w:p>
    <w:p>
      <w:pPr>
        <w:spacing w:after="0" w:line="62" w:lineRule="exact"/>
        <w:rPr>
          <w:rFonts w:ascii="Arial" w:cs="Arial" w:eastAsia="Arial" w:hAnsi="Arial"/>
          <w:sz w:val="18"/>
          <w:szCs w:val="18"/>
          <w:color w:val="auto"/>
        </w:rPr>
      </w:pPr>
    </w:p>
    <w:p>
      <w:pPr>
        <w:jc w:val="both"/>
        <w:ind w:left="660" w:right="240" w:hanging="166"/>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w:t>
      </w:r>
    </w:p>
    <w:p>
      <w:pPr>
        <w:spacing w:after="0" w:line="75"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Managing Strategic Transactions requires varying levels of management resources, which may divert our attention from other business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40" w:hanging="111"/>
        <w:spacing w:after="0"/>
        <w:tabs>
          <w:tab w:leader="none" w:pos="5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60" w:hanging="16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not realized all anticipated benefits, synergies and cost-savings initiatives from certain previous Strategic Transactions, and in the future, we may not fully realize all or any of the anticipated benefits of any particular Strategic Transaction.</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adversely impacted by liabilities that we assume from a company we acquire or in which we invest, whether known or unknown.</w:t>
      </w:r>
    </w:p>
    <w:p>
      <w:pPr>
        <w:spacing w:after="0" w:line="128" w:lineRule="exact"/>
        <w:rPr>
          <w:rFonts w:ascii="Arial" w:cs="Arial" w:eastAsia="Arial" w:hAnsi="Arial"/>
          <w:sz w:val="17"/>
          <w:szCs w:val="17"/>
          <w:color w:val="auto"/>
        </w:rPr>
      </w:pPr>
    </w:p>
    <w:p>
      <w:pPr>
        <w:ind w:left="660" w:right="20" w:hanging="166"/>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w:t>
      </w:r>
    </w:p>
    <w:p>
      <w:pPr>
        <w:spacing w:after="0" w:line="40" w:lineRule="exact"/>
        <w:rPr>
          <w:rFonts w:ascii="Arial" w:cs="Arial" w:eastAsia="Arial" w:hAnsi="Arial"/>
          <w:sz w:val="16"/>
          <w:szCs w:val="16"/>
          <w:color w:val="auto"/>
        </w:rPr>
      </w:pPr>
    </w:p>
    <w:p>
      <w:pPr>
        <w:ind w:left="660" w:right="140" w:hanging="16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w:t>
      </w:r>
    </w:p>
    <w:p>
      <w:pPr>
        <w:spacing w:after="0" w:line="78" w:lineRule="exact"/>
        <w:rPr>
          <w:rFonts w:ascii="Arial" w:cs="Arial" w:eastAsia="Arial" w:hAnsi="Arial"/>
          <w:sz w:val="18"/>
          <w:szCs w:val="18"/>
          <w:color w:val="auto"/>
        </w:rPr>
      </w:pPr>
    </w:p>
    <w:p>
      <w:pPr>
        <w:ind w:left="660" w:right="140" w:hanging="166"/>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w:t>
      </w:r>
    </w:p>
    <w:p>
      <w:pPr>
        <w:spacing w:after="0" w:line="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be materially and adversely affected by fluctuations in foreign currency exchange rates.</w:t>
      </w:r>
    </w:p>
    <w:p>
      <w:pPr>
        <w:spacing w:after="0" w:line="25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commodity and market price risks that affect our results of operations.</w:t>
      </w:r>
    </w:p>
    <w:p>
      <w:pPr>
        <w:spacing w:after="0" w:line="25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consume a large quantity of power to operate our data centers and as such are exposed to risk associated with fluctuations in the price of power. During 2020, we incurred approximately $40 million in costs 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Concerns about greenhouse gas emissions and global climate change may result in environmental taxes, charges, assessments or penalties, resulting in increased electricity prices.</w:t>
      </w:r>
    </w:p>
    <w:p>
      <w:pPr>
        <w:spacing w:after="0" w:line="19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w:t>
      </w:r>
    </w:p>
    <w:p>
      <w:pPr>
        <w:spacing w:after="0" w:line="21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w:t>
      </w:r>
    </w:p>
    <w:p>
      <w:pPr>
        <w:spacing w:after="0" w:line="19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or to discontinue the use of such software or the sale of our affected services in the event we could not obtain such licenses, any of which could adversely affect our business, financial condition and results of operations.</w:t>
      </w:r>
    </w:p>
    <w:p>
      <w:pPr>
        <w:spacing w:after="0" w:line="19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w:t>
      </w:r>
    </w:p>
    <w:p>
      <w:pPr>
        <w:spacing w:after="0" w:line="20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w:t>
      </w:r>
    </w:p>
    <w:p>
      <w:pPr>
        <w:spacing w:after="0" w:line="21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historical, legacy offerings such as OpenStack Public Cloud.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w:t>
      </w:r>
    </w:p>
    <w:p>
      <w:pPr>
        <w:spacing w:after="0" w:line="19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 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or proprietary right infringement, misappropriation or other violation may be costly to defend and may limit or disrupt our ability to sell our services.</w:t>
      </w:r>
    </w:p>
    <w:p>
      <w:pPr>
        <w:spacing w:after="0" w:line="197" w:lineRule="exact"/>
        <w:rPr>
          <w:sz w:val="20"/>
          <w:szCs w:val="20"/>
          <w:color w:val="auto"/>
        </w:rPr>
      </w:pPr>
    </w:p>
    <w:p>
      <w:pPr>
        <w:ind w:right="40" w:firstLine="486"/>
        <w:spacing w:after="0" w:line="284" w:lineRule="auto"/>
        <w:rPr>
          <w:sz w:val="20"/>
          <w:szCs w:val="20"/>
          <w:color w:val="auto"/>
        </w:rPr>
      </w:pPr>
      <w:r>
        <w:rPr>
          <w:rFonts w:ascii="Arial" w:cs="Arial" w:eastAsia="Arial" w:hAnsi="Arial"/>
          <w:sz w:val="16"/>
          <w:szCs w:val="16"/>
          <w:color w:val="auto"/>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 misappropriating or violating, which could require significant effort, time and expense and ultimately may not be an alternative that functions as well as the original or is accepted in the marketplace.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We are also currently subject to tax audits in various jurisdictions, and these jurisdictions may assess additional tax liabilities against us. 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may have a material and adverse impact on our business, financial condition and results of operations.</w:t>
      </w:r>
    </w:p>
    <w:p>
      <w:pPr>
        <w:spacing w:after="0" w:line="19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U.S. government has adopted a new approach to trade policy and in some cases to renegotiate, or potentially terminate, certain existing bilateral or multi-lateral trade agreements. It has also imposed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materially and adversely affect our ability to raise additional capital to fund our operations, limit our ability to react to changes in the economy or our industry and prevent us from making debt service payments.</w:t>
      </w:r>
    </w:p>
    <w:p>
      <w:pPr>
        <w:spacing w:after="0" w:line="19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We are a highly leveraged company. As of December 31, 2020, we had $3,410.6 million face value of outstanding indebtedness, in addition to $375.0 million of undrawn commitments under our senior secured first lien revolving credit facility (the “Revolving Credit Facility”) (without any letters of credit outstanding). Our outstanding indebtedness as of December 31, 2020 included $2,795.6 million of borrowings under our senior secured first lien term loan facility (the “Term Loan Facility” and, together with the Revolving Credit Facility, the “Senior Facilities”), $550.0 million of 5.375% Senior Notes due 2028 (the "5.375% Senior Notes") and $65.0 million of borrowings under the Receivables Financing Facility. For the years ended December 31, 2019 and 2020, we made total debt service payments, consisting of required principal and interest payments, of approximately $280.6 million and $245.6 million, respectively, which represented 95.8% and 210.4%, respectively, of our cash flow from operations (or 51.5% and 73.7%, respectively, of our cash flow from operations calculated prior to any deductions for cash interest payments).</w:t>
      </w:r>
    </w:p>
    <w:p>
      <w:pPr>
        <w:spacing w:after="0" w:line="205"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As of December 31, 2020, on an as adjusted basis after giving effect to the February 2021 refinancing transactions, as discussed elsewhere in this report, we would have had $3,465.0 million face value of outstanding indebtedness (excluding capital leases and finance lease obligations), in addition to $375.0 million of undrawn commitments under the Revolving Credit Facility (without any letters of credit outstanding). For the year ended December 31, 2020, on an as adjusted basis after giving effect to the February 2021 refinancing transactions, we would have had total debt service payment obligations, consisting of required principal and interest payments, of approximately $167.9 million.</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252" w:lineRule="exact"/>
        <w:rPr>
          <w:sz w:val="20"/>
          <w:szCs w:val="20"/>
          <w:color w:val="auto"/>
        </w:rPr>
      </w:pPr>
    </w:p>
    <w:p>
      <w:pPr>
        <w:ind w:left="660" w:hanging="16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 our ability to borrow money for our working capital, capital expenditures, debt service requirements, strategic initiatives or other purposes;</w:t>
      </w:r>
    </w:p>
    <w:p>
      <w:pPr>
        <w:spacing w:after="0" w:line="140" w:lineRule="exact"/>
        <w:rPr>
          <w:rFonts w:ascii="Arial" w:cs="Arial" w:eastAsia="Arial" w:hAnsi="Arial"/>
          <w:sz w:val="16"/>
          <w:szCs w:val="16"/>
          <w:color w:val="auto"/>
        </w:rPr>
      </w:pPr>
    </w:p>
    <w:p>
      <w:pPr>
        <w:ind w:left="660" w:hanging="166"/>
        <w:spacing w:after="0" w:line="25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and any failure to comply with the obligations of any of our debt instruments, including restrictive covenants and borrowing conditions, could result in an event of default under the indenture governing the 5.375% Senior Notes (the “5.375% Indenture”), the indenture governing the 3.50% Senior Secured Notes due 2028 (the "3.50% Indenture" and, together with the 5.375% Indenture, the "Indentures"), the credit agreement governing the Senior Facilities (the “First Lien Credit Agreement”) and agreements governing other indebtedness;</w:t>
      </w:r>
    </w:p>
    <w:p>
      <w:pPr>
        <w:spacing w:after="0" w:line="79" w:lineRule="exact"/>
        <w:rPr>
          <w:rFonts w:ascii="Arial" w:cs="Arial" w:eastAsia="Arial" w:hAnsi="Arial"/>
          <w:sz w:val="18"/>
          <w:szCs w:val="18"/>
          <w:color w:val="auto"/>
        </w:rPr>
      </w:pPr>
    </w:p>
    <w:p>
      <w:pPr>
        <w:ind w:left="660" w:right="360" w:hanging="166"/>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interest and the repayment of our indebtedness, thereby reducing funds available to us for other purposes;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us more highly leveraged than some of our competitors, which may place us at a competitive disadvantage;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our rent expense on leased space and interest expense from financing leases, which could be significant;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us more vulnerable to downturns in our business, our industry or the economy;</w:t>
      </w:r>
    </w:p>
    <w:p>
      <w:pPr>
        <w:spacing w:after="0" w:line="117" w:lineRule="exact"/>
        <w:rPr>
          <w:rFonts w:ascii="Arial" w:cs="Arial" w:eastAsia="Arial" w:hAnsi="Arial"/>
          <w:sz w:val="18"/>
          <w:szCs w:val="18"/>
          <w:color w:val="auto"/>
        </w:rPr>
      </w:pPr>
    </w:p>
    <w:p>
      <w:pPr>
        <w:ind w:left="660" w:right="900" w:hanging="166"/>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us from making strategic acquisitions, engaging in development activities, introducing new technologies or exploiting business opportunities;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cause us to make non-strategic divestitures;</w:t>
      </w:r>
    </w:p>
    <w:p>
      <w:pPr>
        <w:spacing w:after="0" w:line="117" w:lineRule="exact"/>
        <w:rPr>
          <w:rFonts w:ascii="Arial" w:cs="Arial" w:eastAsia="Arial" w:hAnsi="Arial"/>
          <w:sz w:val="18"/>
          <w:szCs w:val="18"/>
          <w:color w:val="auto"/>
        </w:rPr>
      </w:pPr>
    </w:p>
    <w:p>
      <w:pPr>
        <w:ind w:left="660" w:right="300" w:hanging="166"/>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our indebtedness, among other things, our ability to borrow additional funds or dispose of assets;</w:t>
      </w:r>
    </w:p>
    <w:p>
      <w:pPr>
        <w:spacing w:after="0" w:line="62" w:lineRule="exact"/>
        <w:rPr>
          <w:rFonts w:ascii="Arial" w:cs="Arial" w:eastAsia="Arial" w:hAnsi="Arial"/>
          <w:sz w:val="18"/>
          <w:szCs w:val="18"/>
          <w:color w:val="auto"/>
        </w:rPr>
      </w:pPr>
    </w:p>
    <w:p>
      <w:pPr>
        <w:ind w:left="660" w:right="60" w:hanging="166"/>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prevent us from raising the funds necessary to repurchase all 5.375% Senior Notes or 3.50% Senior Secured Notes due 2028 (the "3.50% Senior Secured Notes") tendered to us upon the occurrence of certain changes of control, which failure to repurchase would constitute an event of default under the 5.375% Indenture or the 3.50% Indenture, or refinance the Senior Facilities upon a change of control, which is an event of default under the First Lien Credit Agreement; or</w:t>
      </w:r>
    </w:p>
    <w:p>
      <w:pPr>
        <w:spacing w:after="0" w:line="78" w:lineRule="exact"/>
        <w:rPr>
          <w:rFonts w:ascii="Arial" w:cs="Arial" w:eastAsia="Arial" w:hAnsi="Arial"/>
          <w:sz w:val="18"/>
          <w:szCs w:val="18"/>
          <w:color w:val="auto"/>
        </w:rPr>
      </w:pPr>
    </w:p>
    <w:p>
      <w:pPr>
        <w:ind w:left="660" w:right="60" w:hanging="166"/>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Senior Facilities and the Receivables Financing Facility, are at variable rates of interest.</w:t>
      </w:r>
    </w:p>
    <w:p>
      <w:pPr>
        <w:spacing w:after="0" w:line="19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addition, the First Lien Credit Agreement, the 5.375% Indenture and the 3.50% Indenture contain restrictive covenants that will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Despite our substantial indebtedness, we may still be able to incur significantly more debt, including secured debt, which could intensify the risks associated with our indebtedness.</w:t>
      </w:r>
    </w:p>
    <w:p>
      <w:pPr>
        <w:spacing w:after="0" w:line="19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and our subsidiaries may be able to incur substantial indebtedness in the future. Although the terms of the 5.375% Indenture, the 3.50% Indenture, and the First Lien Credit Agreement contain restrictions on our subsidiaries’ ability to incur additional indebtedness, these restrictions are subject to a number of important qualifications and exceptions, and the indebtedness incurred in compliance with these restrictions could be substantial. These restrictions do not prevent us from incurring indebtedness or our subsidiaries from incurring obligations that do not constitute indebtedness under the terms of the 5.375% Indenture, the 3.50% Indenture, and the First Lien Credit Agreement. To the extent that we incur additional indebtedness or such other obligations, the risk associated with our substantial indebtedness as described above under the risk factor “</w:t>
      </w:r>
      <w:r>
        <w:rPr>
          <w:rFonts w:ascii="Arial" w:cs="Arial" w:eastAsia="Arial" w:hAnsi="Arial"/>
          <w:sz w:val="16"/>
          <w:szCs w:val="16"/>
          <w:i w:val="1"/>
          <w:iCs w:val="1"/>
          <w:color w:val="auto"/>
        </w:rPr>
        <w:t>Our substantial indebtedness could materially</w:t>
      </w:r>
      <w:r>
        <w:rPr>
          <w:rFonts w:ascii="Arial" w:cs="Arial" w:eastAsia="Arial" w:hAnsi="Arial"/>
          <w:sz w:val="16"/>
          <w:szCs w:val="16"/>
          <w:color w:val="auto"/>
        </w:rPr>
        <w:t xml:space="preserve"> </w:t>
      </w:r>
      <w:r>
        <w:rPr>
          <w:rFonts w:ascii="Arial" w:cs="Arial" w:eastAsia="Arial" w:hAnsi="Arial"/>
          <w:sz w:val="16"/>
          <w:szCs w:val="16"/>
          <w:i w:val="1"/>
          <w:iCs w:val="1"/>
          <w:color w:val="auto"/>
        </w:rPr>
        <w:t>and adversely affect our ability to raise additional capital to fund our operations, limit our ability to react to changes in the economy or our industry and prevent us from making debt service payments</w:t>
      </w:r>
      <w:r>
        <w:rPr>
          <w:rFonts w:ascii="Arial" w:cs="Arial" w:eastAsia="Arial" w:hAnsi="Arial"/>
          <w:sz w:val="16"/>
          <w:szCs w:val="16"/>
          <w:color w:val="auto"/>
        </w:rPr>
        <w:t>,” including our potential inability to service our debt, will increase.</w:t>
      </w:r>
    </w:p>
    <w:p>
      <w:pPr>
        <w:spacing w:after="0" w:line="192"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As of December 31, 2020, we had $375.0 million available for additional borrowing under the Revolving Credit Facility portion of our Senior Facilities (without any letters of credit outstanding), all of which would be secured. In addition to the 5.375% Senior Notes, the 3.50% Senior Secured Notes and our borrowings under the Senior Facilities and the Receivables Financing Facility, the covenants under the 5.375% Indenture, the 3.50% Indenture, and the First Lien Credit Agreement and the covenants under any other of our existing or future debt instruments allow us to incur a significant amount of additional indebtedness and, subject to certain limitations, such additional indebtedness could be secured.</w:t>
      </w:r>
    </w:p>
    <w:p>
      <w:pPr>
        <w:spacing w:after="0" w:line="20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252" w:lineRule="exact"/>
        <w:rPr>
          <w:sz w:val="20"/>
          <w:szCs w:val="20"/>
          <w:color w:val="auto"/>
        </w:rPr>
      </w:pPr>
    </w:p>
    <w:p>
      <w:pPr>
        <w:ind w:left="660" w:right="8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financial and operating performance, which will be affected by prevailing economic, industry and competitive conditions and financial, business, legislative, regulatory and other factors, many of which are beyond our control;</w:t>
      </w:r>
    </w:p>
    <w:p>
      <w:pPr>
        <w:spacing w:after="0" w:line="62" w:lineRule="exact"/>
        <w:rPr>
          <w:rFonts w:ascii="Arial" w:cs="Arial" w:eastAsia="Arial" w:hAnsi="Arial"/>
          <w:sz w:val="18"/>
          <w:szCs w:val="18"/>
          <w:color w:val="auto"/>
        </w:rPr>
      </w:pPr>
    </w:p>
    <w:p>
      <w:pPr>
        <w:ind w:left="660" w:right="52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ability to refinance or restructure our existing debt obligations, which depends on among other things, the condition of the capital markets, our financial condition and the terms of existing or future debt agreements; and</w:t>
      </w:r>
    </w:p>
    <w:p>
      <w:pPr>
        <w:spacing w:after="0" w:line="62" w:lineRule="exact"/>
        <w:rPr>
          <w:rFonts w:ascii="Arial" w:cs="Arial" w:eastAsia="Arial" w:hAnsi="Arial"/>
          <w:sz w:val="18"/>
          <w:szCs w:val="18"/>
          <w:color w:val="auto"/>
        </w:rPr>
      </w:pPr>
    </w:p>
    <w:p>
      <w:pPr>
        <w:ind w:left="660" w:right="260" w:hanging="166"/>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ability to borrow under our Revolving Credit Facility, the availability of which depends on, among other things, our compliance with the covenants in the First Lien Credit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cannot assure you that our business will generate cash flow from operations, or that we will be able to draw under our Revolving Credit Facility, Receivables Financing Facility or otherwise, in an amount sufficient to fund our liquidity needs. If our cash flows and capital resources are insufficient to service our indebtedness and other liquidity needs,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assure you that we will be able to restructure or refinance any of our debt on commercially reasonable terms or at all. In addition, the terms of existing or future debt agreements, including the First Lien Credit Agreement and the 5.375% Indenture and the 3.50% Indenture,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w:t>
      </w:r>
    </w:p>
    <w:p>
      <w:pPr>
        <w:spacing w:after="0" w:line="198" w:lineRule="exact"/>
        <w:rPr>
          <w:sz w:val="20"/>
          <w:szCs w:val="20"/>
          <w:color w:val="auto"/>
        </w:rPr>
      </w:pPr>
    </w:p>
    <w:p>
      <w:pPr>
        <w:jc w:val="both"/>
        <w:ind w:right="220" w:firstLine="486"/>
        <w:spacing w:after="0" w:line="301" w:lineRule="auto"/>
        <w:rPr>
          <w:sz w:val="20"/>
          <w:szCs w:val="20"/>
          <w:color w:val="auto"/>
        </w:rPr>
      </w:pPr>
      <w:r>
        <w:rPr>
          <w:rFonts w:ascii="Arial" w:cs="Arial" w:eastAsia="Arial" w:hAnsi="Arial"/>
          <w:sz w:val="16"/>
          <w:szCs w:val="16"/>
          <w:color w:val="auto"/>
        </w:rPr>
        <w:t>If we cannot make scheduled payments on our indebtedness, we will be in default, and holders of the 5.375% Senior Notes and the 3.50% Senior Secured Notes and the lenders under the Senior Facilities could declare all outstanding principal and interest to be due and payable, the lenders under the Senior Facilities could terminate their commitments to loan money, our secured lenders (including the lenders under the Senior Facilities) and holders of the 3.50% Senior Secured Notes could foreclose against the assets securing their indebtedness and we could be forced into bankruptcy or liquidation.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52"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First Lien Credit Agreement and the Indentures contain, and any other existing or future indebtedness of ours would likely contain, a number of covenants that impose significant operating and financial restrictions on us, including restrictions on our subsidiaries’ ability to, among other things:</w:t>
      </w:r>
    </w:p>
    <w:p>
      <w:pPr>
        <w:spacing w:after="0" w:line="151" w:lineRule="exact"/>
        <w:rPr>
          <w:sz w:val="20"/>
          <w:szCs w:val="20"/>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shares;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substantially alter the businesses we conduct;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 addition, the Revolving Credit Facility requires us to comply with a net first lien leverage ratio under certain circumstances and the Receivables Financing Facility requires us to comply with a leverage ratio and an interest coverage ratio.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As a result of these covenants, we are limited in the manner in which we conduct our business, and we may be unable to engage in favorable business activities or finance future operations or capital needs. A failure to comply with the covenants in the First Lien Credit Agreement, the 5.375% Indenture, the 3.50% Indenture, the Receivables Financing Facility or any of our other existing or future indebtedness could result in an event of default under the applicable agreements governing such indebtedness, which, if not cured or waived, could have a material and adverse effect on our business, financial condition and results of operations. In the event of any such event of default, the lenders under the Senior Facilities and/or the Receivables Financing Facility, as applicable:</w:t>
      </w:r>
    </w:p>
    <w:p>
      <w:pPr>
        <w:spacing w:after="0" w:line="219" w:lineRule="exact"/>
        <w:rPr>
          <w:sz w:val="20"/>
          <w:szCs w:val="20"/>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117" w:lineRule="exact"/>
        <w:rPr>
          <w:rFonts w:ascii="Arial" w:cs="Arial" w:eastAsia="Arial" w:hAnsi="Arial"/>
          <w:sz w:val="18"/>
          <w:szCs w:val="18"/>
          <w:color w:val="auto"/>
        </w:rPr>
      </w:pPr>
    </w:p>
    <w:p>
      <w:pPr>
        <w:ind w:left="660" w:right="46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due and payable and terminate all commitments to extend further credit;</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could require us to apply our available cash to repay these borrowings; or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could effectively prevent us from making debt service payments on the 5.375% Senior Notes and the 3.50% Senior 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which could result in an event of default under the 5.375% Indenture and the 3.50% Indenture.</w:t>
      </w:r>
    </w:p>
    <w:p>
      <w:pPr>
        <w:spacing w:after="0" w:line="117"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Such actions by the lenders could cause cross defaults under our other indebtedness. If we were unable to repay those amounts, the lenders under the Senior Facilities and/or the Receivables Financing Facility and any of our other existing or future secured indebtedness could proceed against the collateral granted to them to secure the Senior Facilities, the Receivables Financing Facility or such other indebtedness. We have pledged substantially all of our assets as collateral under the Senior Facilities and have pledged certain of our accounts receivable as collateral under the Receivables Financing Facility.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any of our outstanding indebtedness under the Senior Facilities, the Receivables Financing Facility or our other indebtedness,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5.375% Senior Notes and the 3.50% Senior Secured Notes, were to be accelerated, there can be no assurance that our assets would be sufficient to repay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indebtedness in full.</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26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Borrowings under the Senior Facilities and the Receivables Financing Facility are at variable rates of interest and expose us to interest rate risk. As of December 31, 2020, on an as adjusted basis after giving effect to the February 2021 refinancing transactions and assuming the Revolving Credit Facility and the Receivables Financing Facility were each fully drawn, each 0.125% change in assumed blended interest rates would result in an approximately $3.4 million change in annual interest expense on indebtedness under the Senior Facilities and the Receivables Financing Facility.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phase-out of LIBOR could increase our interest expense and have a material adverse effect on us.</w:t>
      </w:r>
    </w:p>
    <w:p>
      <w:pPr>
        <w:spacing w:after="0" w:line="252"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Borrowings under our Senior Facilities and the Receivables Financing Facility use the London Interbank Offering Rate (“LIBOR”) as a benchmark for establishing the applicable interest rate. The Financial Conduct Authority of the United Kingdom has announced that it plans to phase out LIBOR by June 2023. It is unclear if LIBOR will cease to exist at that time or if new methods of calculating LIBOR will be established such that it continues to exist after June 2023. Although our borrowing arrangements provide for alternative base rates, those alternative base rates historically would often have led to increased interest rates, in some cases significantly higher, than those we paid based on LIBOR, and may similarly be higher in the future. Therefore, if LIBOR ceases to exist, the interest rates on our Senior Facilities and the Receivables Financing Facility will likely change.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consequences of the phase out of LIBOR cannot be entirely predicted at this time. Any alternative rate for calculating interest with respect to our outstanding indebtedness may not be as favorable or perform in the same manner as LIBOR and could lead to an increase in our interest expense or could impact our ability to refinance some or all of our existing indebtedness. In addition, the transition process may involve, among other things, increased volatility or illiquidity in financial markets, which could also have an adverse effect on us whether or not any replacement rate applicable to our borrowings is affected. Any such effects of the transition away from LIBOR, as well as other unforeseen impacts, may result in increased interest expense and other expenses, difficulties, complications or delays in connection with future financing efforts or otherwise have an adverse impact on our financial condition.</w:t>
      </w:r>
    </w:p>
    <w:p>
      <w:pPr>
        <w:spacing w:after="0" w:line="19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Any downgrade in our credit ratings could limit our ability to obtain future financing, increase our borrowing costs and adversely affect the market price of our existing debt securities or otherwise impair our business, financial condition and results of operations.</w:t>
      </w:r>
    </w:p>
    <w:p>
      <w:pPr>
        <w:spacing w:after="0" w:line="17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Nationally recognized credit rating organizations have issued credit ratings relating to our long-term debt. Our outstanding debt under the Senior Facilities, the 5.375% Senior Notes and the 3.50% Senior Secured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w:t>
      </w:r>
    </w:p>
    <w:p>
      <w:pPr>
        <w:spacing w:after="0" w:line="21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Any additional actual or anticipated changes or downgrades in our credit ratings, including any announcement that our ratings are under review for a downgrade, could:</w:t>
      </w:r>
    </w:p>
    <w:p>
      <w:pPr>
        <w:spacing w:after="0" w:line="197" w:lineRule="exact"/>
        <w:rPr>
          <w:sz w:val="20"/>
          <w:szCs w:val="20"/>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adversely affect the market price of some or all our outstanding debt securities or loans;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access to the capital markets or otherwise adversely affect the availability of other new financing on favorable terms, if at all;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new or more restrictive covenants in agreements governing the terms of any future indebtedness that we may incur;</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cost of borrowing;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our business, financial condition and results of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5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 The following factors could affect our stock price:</w:t>
      </w:r>
    </w:p>
    <w:p>
      <w:pPr>
        <w:spacing w:after="0" w:line="197" w:lineRule="exact"/>
        <w:rPr>
          <w:sz w:val="20"/>
          <w:szCs w:val="20"/>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660" w:right="80" w:hanging="166"/>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Non-GAAP Net Income, Non-GAAP Operating Profit, Adjusted EBITDA, Bookings, Annualized Recurring Revenue and Quarterly Net Revenue Retention Rate;</w:t>
      </w:r>
    </w:p>
    <w:p>
      <w:pPr>
        <w:spacing w:after="0" w:line="75"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revenue or earnings estimates, or changes in recommendations or withdrawal of research coverage, by equity research analysts;</w:t>
      </w:r>
    </w:p>
    <w:p>
      <w:pPr>
        <w:spacing w:after="0" w:line="140" w:lineRule="exact"/>
        <w:rPr>
          <w:rFonts w:ascii="Arial" w:cs="Arial" w:eastAsia="Arial" w:hAnsi="Arial"/>
          <w:sz w:val="16"/>
          <w:szCs w:val="16"/>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28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December 31, 2020, we had 201.8 million shares of common stock outstanding and approximately 21.3 million shares of common stock underlying outstanding options and restricted stock units under the Rackspace Technology, Inc. Equity Incentive Plan (the “2017 Incentive Plan”) and the Rackspace Technology, Inc. 2020 Equity Incentive Plan (the “2020 Incentive Plan”), and we have reserved an additional 22.7 million shares of common stock for issuance under the 2020 Incentive Plan and 11.1 million shares of common stock for issuance under the Employee Stock Purchase Plan (the "ESPP") and we may be required to issue additional shares of common stock to an affiliate of ABRY Partners, LLC and ABRY Partners II, LLC (collectively, "ABRY") under the merger agreement related to the acquisition of Datapipe. In addition, certain of our existing stockholders, including the Apollo Funds, Searchlight Capital Partners L.P ("Searchlight") and ABRY, have certain rights to require us to register the sale of common stock held by them including in connection with underwritten offerings. Additionally, we filed a registration statement in respect of all shares of common stock that we may issue under the 2017 Incentive Plan, the 2020 Incentive Plan and the ESPP. After registration, these shares can be freely sold in the public market upon issuance. Sales of significant amounts of stock in the public market upon expiration of applicable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w:t>
      </w:r>
    </w:p>
    <w:p>
      <w:pPr>
        <w:spacing w:after="0" w:line="252"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As a public company, we will continue to incur significant legal, accounting and other expenses. For example, we are required to comply with the requirements of Section 404(a) of the Sarbanes-Oxley Act beginning with our annual report for the year ended December 31, 2021, as well as rules and regulations subsequently implemented by the SEC and heightened auditing standards, and the Nasdaq Stock Market LLC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including with respect to compliance with the requirements of Section 404(b) of the Sarbanes-Oxley Act beginning with our annual report for the year ended December 31, 2021.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financial condition and results of operations. We cannot predict or estimate the amount of additional costs we may incur as a result of becoming a public company or the timing and materiality of such costs.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continue to be controlled by the Apollo Funds, and Apollo’s interests may conflict with our interests and the interests of other stockholders.</w:t>
      </w:r>
    </w:p>
    <w:p>
      <w:pPr>
        <w:spacing w:after="0" w:line="2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As of December 31, 2020, the Apollo Funds beneficially owned approximately 64% of the voting power of our outstanding common stock.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including the Apollo Funds, could conflict with or differ from our interests or the interests of our other stockholders. For example, the concentration of ownership held by the Apollo Funds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Funds continue to directly or indirectly beneficially own a significant amount of our equity, even if such amount is less than 50%, the Apollo Funds will continue to be able to substantially influence or effectively control our ability to enter into corporate transactions. The Apollo Funds also have a right to nominate a number of directors comprising a percentage of our board of directors in accordance with their beneficial ownership of the voting power of our outstanding common stock (rounded up to the nearest whole number), which currently represents at least a majority of our board of directors. In addition, we have an executive committee that serves at the discretion of our board of directors and includes two members nominated by the Apollo Funds, who are authorized to take actions (subject to certain exceptions) that they reasonably determine are appropriate.</w:t>
      </w:r>
    </w:p>
    <w:p>
      <w:pPr>
        <w:spacing w:after="0" w:line="20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Nasdaq’s rules and, as a result, qualify for and intend to rely on exemptions from certain corporate governance requirements.</w:t>
      </w:r>
    </w:p>
    <w:p>
      <w:pPr>
        <w:spacing w:after="0" w:line="197" w:lineRule="exact"/>
        <w:rPr>
          <w:sz w:val="20"/>
          <w:szCs w:val="20"/>
          <w:color w:val="auto"/>
        </w:rPr>
      </w:pPr>
    </w:p>
    <w:p>
      <w:pPr>
        <w:ind w:right="160" w:firstLine="551"/>
        <w:spacing w:after="0" w:line="243" w:lineRule="auto"/>
        <w:rPr>
          <w:sz w:val="20"/>
          <w:szCs w:val="20"/>
          <w:color w:val="auto"/>
        </w:rPr>
      </w:pPr>
      <w:r>
        <w:rPr>
          <w:rFonts w:ascii="Arial" w:cs="Arial" w:eastAsia="Arial" w:hAnsi="Arial"/>
          <w:sz w:val="18"/>
          <w:szCs w:val="18"/>
          <w:color w:val="auto"/>
        </w:rPr>
        <w:t>The Apollo Funds will continue to control a majority of the voting power of our outstanding voting stock, and as a result we will continue to be a controlled company within the meaning of Nasdaq’s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215" w:lineRule="exact"/>
        <w:rPr>
          <w:sz w:val="20"/>
          <w:szCs w:val="20"/>
          <w:color w:val="auto"/>
        </w:rPr>
      </w:pPr>
    </w:p>
    <w:p>
      <w:pPr>
        <w:ind w:left="600" w:hanging="106"/>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hanging="111"/>
        <w:spacing w:after="0"/>
        <w:tabs>
          <w:tab w:leader="none" w:pos="5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right="280" w:hanging="166"/>
        <w:spacing w:after="0" w:line="311" w:lineRule="auto"/>
        <w:tabs>
          <w:tab w:leader="none" w:pos="60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be composed entirely of independent directors or otherwise require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and</w:t>
      </w:r>
    </w:p>
    <w:p>
      <w:pPr>
        <w:spacing w:after="0" w:line="40" w:lineRule="exact"/>
        <w:rPr>
          <w:rFonts w:ascii="Arial" w:cs="Arial" w:eastAsia="Arial" w:hAnsi="Arial"/>
          <w:sz w:val="16"/>
          <w:szCs w:val="16"/>
          <w:color w:val="auto"/>
        </w:rPr>
      </w:pPr>
    </w:p>
    <w:p>
      <w:pPr>
        <w:ind w:left="600" w:hanging="106"/>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w:t>
      </w:r>
    </w:p>
    <w:p>
      <w:pPr>
        <w:spacing w:after="0" w:line="117" w:lineRule="exact"/>
        <w:rPr>
          <w:sz w:val="20"/>
          <w:szCs w:val="20"/>
          <w:color w:val="auto"/>
        </w:rPr>
      </w:pPr>
    </w:p>
    <w:p>
      <w:pPr>
        <w:ind w:right="40" w:firstLine="551"/>
        <w:spacing w:after="0" w:line="243" w:lineRule="auto"/>
        <w:rPr>
          <w:sz w:val="20"/>
          <w:szCs w:val="20"/>
          <w:color w:val="auto"/>
        </w:rPr>
      </w:pPr>
      <w:r>
        <w:rPr>
          <w:rFonts w:ascii="Arial" w:cs="Arial" w:eastAsia="Arial" w:hAnsi="Arial"/>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Nasdaq. There can be no assurances that we will remain a “controlled company” and, following the loss of such status, we may need to modify our board and committee compositions in order to be in compliance with applicable Nasdaq rules.</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9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Item 7 of Part II,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and the repayment of outstanding debt. Our Senior Facilities and the Indentures contain, and any future indebtedness likely will contain, restrictive covenants that impose significant operating and financial restrictions on us, including restrictions on our ability to pay dividends and make other restricted payments.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our stock price could decline.</w:t>
      </w:r>
    </w:p>
    <w:p>
      <w:pPr>
        <w:spacing w:after="0" w:line="275" w:lineRule="exact"/>
        <w:rPr>
          <w:sz w:val="20"/>
          <w:szCs w:val="20"/>
          <w:color w:val="auto"/>
        </w:rPr>
      </w:pPr>
    </w:p>
    <w:p>
      <w:pPr>
        <w:jc w:val="both"/>
        <w:ind w:right="80" w:firstLine="486"/>
        <w:spacing w:after="0" w:line="301"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1B – UNRESOLVED STAFF COMMENTS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2 – PROPERTIES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Space</w:t>
      </w:r>
    </w:p>
    <w:p>
      <w:pPr>
        <w:spacing w:after="0" w:line="25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lease our corporate headquarters facility in Windcrest, Texas, which is in the San Antonio, Texas area and consists of a 1.2 million square foot facility located on 67 acres of land. We are currently using approximately 0.7 million square feet of office space. In addition to our corporate headquarters, we lease office locations throughout the U.S., Europe, the Asia Pacific Region, Mexico and other locations throughout the world. To retain operational flexibility, we are increasingly utilizing shorter-term shared office facilities rather than entering into traditional longer-term office leases.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Centers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2020, we leased data centers located across the U.S., the U.K., Hong Kong, Australia and other locations throughout the world.</w:t>
      </w:r>
    </w:p>
    <w:p>
      <w:pPr>
        <w:spacing w:after="0" w:line="2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believe that our existing office space and data center facilities are adequate for our current needs and that suitable additional or alternative space will be available in the future to meet our anticipated needs.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3 – LEGAL PROCEEDINGS</w:t>
      </w:r>
    </w:p>
    <w:p>
      <w:pPr>
        <w:spacing w:after="0" w:line="256" w:lineRule="exact"/>
        <w:rPr>
          <w:sz w:val="20"/>
          <w:szCs w:val="20"/>
          <w:color w:val="auto"/>
        </w:rPr>
      </w:pPr>
    </w:p>
    <w:p>
      <w:pPr>
        <w:jc w:val="both"/>
        <w:ind w:right="52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5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Our common stock has been listed on the Nasdaq Stock Market, under the symbol "RXT" since August 5, 2020. Prior to that date, there was no public market for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5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As of February 19, 2021, there were 41 registered stockholders of record of our common stock. Because many of our shares of common stock are held by brokers and other institutions on behalf of stockholders, we are unable to estimate the total number of stockholders represented by these stockholders of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215"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Indentures and under other current and future indebtedness that we or they may incur. See Item 1A of Part I “Risk Factors—Risks Related to Ownership of our Common Stock” and Item 7 of Part II “Management’s Discussion and Analysis of Financial Condition and Results of Operations—Liquidity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5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12 - "Security Ownership of Certain Beneficial Owners and Management and Related Stockholder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August 5, 2020 (the date our common stock commenced trading on Nasdaq) and December 31, 2020 with the cumulative total return of (i) the Standard &amp; Poor's ("S&amp;P") 500 Index and (ii) the S&amp;P 500 Information Technology Index over the same period. All values assume the investment of $100 in our common stock and both of the other indices on August 5, 2020 and assumes the reinvestment of dividends. The graph uses the closing market price on August 5, 2020 of $16.39 per share as the initial value of our common stock. The comparisons shown below are based upon historical data. We caution that the stock price performance shown is not necessarily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391795</wp:posOffset>
            </wp:positionV>
            <wp:extent cx="5760720" cy="2966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072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Company/Index</w:t>
            </w:r>
          </w:p>
        </w:tc>
        <w:tc>
          <w:tcPr>
            <w:tcW w:w="120" w:type="dxa"/>
            <w:vAlign w:val="bottom"/>
            <w:vMerge w:val="restart"/>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August 5, 2020</w:t>
            </w:r>
          </w:p>
        </w:tc>
        <w:tc>
          <w:tcPr>
            <w:tcW w:w="120" w:type="dxa"/>
            <w:vAlign w:val="bottom"/>
            <w:vMerge w:val="restart"/>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August 31, 2020</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October 31, 2020</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w:t>
            </w: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Rackspace Technology, Inc.</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116.29</w:t>
            </w:r>
          </w:p>
        </w:tc>
        <w:tc>
          <w:tcPr>
            <w:tcW w:w="0" w:type="dxa"/>
            <w:vAlign w:val="bottom"/>
          </w:tcPr>
          <w:p>
            <w:pPr>
              <w:spacing w:after="0"/>
              <w:rPr>
                <w:sz w:val="1"/>
                <w:szCs w:val="1"/>
                <w:color w:val="auto"/>
              </w:rPr>
            </w:pPr>
          </w:p>
        </w:tc>
      </w:tr>
      <w:tr>
        <w:trPr>
          <w:trHeight w:val="213"/>
        </w:trPr>
        <w:tc>
          <w:tcPr>
            <w:tcW w:w="640" w:type="dxa"/>
            <w:vAlign w:val="bottom"/>
          </w:tcPr>
          <w:p>
            <w:pPr>
              <w:ind w:left="20"/>
              <w:spacing w:after="0"/>
              <w:rPr>
                <w:sz w:val="20"/>
                <w:szCs w:val="20"/>
                <w:color w:val="auto"/>
              </w:rPr>
            </w:pPr>
            <w:r>
              <w:rPr>
                <w:rFonts w:ascii="Arial" w:cs="Arial" w:eastAsia="Arial" w:hAnsi="Arial"/>
                <w:sz w:val="16"/>
                <w:szCs w:val="16"/>
                <w:color w:val="auto"/>
                <w:w w:val="94"/>
              </w:rPr>
              <w:t>S&amp;P 500</w:t>
            </w: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Index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108.83</w:t>
            </w:r>
          </w:p>
        </w:tc>
        <w:tc>
          <w:tcPr>
            <w:tcW w:w="1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112.87</w:t>
            </w:r>
          </w:p>
        </w:tc>
        <w:tc>
          <w:tcPr>
            <w:tcW w:w="0" w:type="dxa"/>
            <w:vAlign w:val="bottom"/>
          </w:tcPr>
          <w:p>
            <w:pPr>
              <w:spacing w:after="0"/>
              <w:rPr>
                <w:sz w:val="1"/>
                <w:szCs w:val="1"/>
                <w:color w:val="auto"/>
              </w:rPr>
            </w:pPr>
          </w:p>
        </w:tc>
      </w:tr>
      <w:tr>
        <w:trPr>
          <w:trHeight w:val="219"/>
        </w:trPr>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S&amp;P 500</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Information Technology Index</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5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 for an aggregate offering price of $703.5 million. All shares in the IPO were registered under the Securities Act pursuant to a Registration Statement on Form S-1 (File No. 333-239794), which was declared effective by the SEC on August 4, 2020. The managing underwriters of our IPO were Goldman Sachs &amp; Co. LLC, Citigroup Global Markets Inc. and J.P. Morgan Securities LLC. We incurred underwriting discounts and commissions of $36.9 million and offering expenses of $8.8 million. Thus, our net offering proceeds, after deducting underwriting discounts and commissions and other offering costs, was $657.8 million. No payments were made to our directors or officers or their associates, holders of 10% or more of any class of our equity securities or any affiliates.</w:t>
      </w:r>
    </w:p>
    <w:p>
      <w:pPr>
        <w:spacing w:after="0" w:line="22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net proceeds from the IPO were contributed by us as capital contributions indirectly through our subsidiaries to Rackspace Technology Global, Inc., our wholly-owned subsidiary ("Rackspace Technology Global"). We used a substantial portion of the net proceeds from the IPO to repurchase and cancel $601.0 million aggregate principal amount of our 8.625% Senior Notes due 2024 (the "8.625% Senior Notes"). The remaining amount of net proceeds were used for general corporate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 SELECTED FINANCIAL DATA</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selected financial data previously required by Item 301 of Regulation 10-K has been omitted in reliance on SEC Release No.33-10890.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7 - 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audited consolidated financial statements and the related notes included elsewhere in this Annual Report. References to “Rackspace Technology,” “we,” “our company,” “the company,” “us,” or “our” refer to Rackspace Technology, Inc. and its consolidated subsidiaries.</w:t>
      </w:r>
    </w:p>
    <w:p>
      <w:pPr>
        <w:spacing w:after="0" w:line="21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auto"/>
        </w:rPr>
        <w:t>The following discussion contains forward-looking statements that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and elsewhere in this Annual Report. You should carefully read the “Risk Factors” to gain an understanding of the important factors that could cause actual results to differ materially from our forward-looking statements. Please also see “Special Note Regarding Forward-Looking Statements” contained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a Fanatical Experience.</w:t>
      </w:r>
    </w:p>
    <w:p>
      <w:pPr>
        <w:spacing w:after="0" w:line="21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and workloads, irrespective of the underlying technology stack or deployment option. In this way, we empower our customers to harness the strength of the cloud.</w:t>
      </w:r>
    </w:p>
    <w:p>
      <w:pPr>
        <w:spacing w:after="0" w:line="214"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Our customers are served by a family of approximately 7,200 Rackers, including some of the most qualified architects and engineers in the world. Our Rackers are at the center of the customer experience — they maintain a hyper-focus on customer experience and satisfaction and are available to our customers 24x7x365 by phone, chat, email or web portal.</w:t>
      </w:r>
    </w:p>
    <w:p>
      <w:pPr>
        <w:spacing w:after="0" w:line="21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6"/>
          <w:szCs w:val="16"/>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large global enterprises, mid-market businesses and SMBs, which we define to be made up of customers with total revenue in excess of $1 billion, between $300 million and $1 billion and less than $300 million, respectively. As of December 31, 2020, our customer base included over 1,000 enterprises, over 1,000 mid-market businesses and over 114,000 SMBs.</w:t>
      </w:r>
    </w:p>
    <w:p>
      <w:pPr>
        <w:spacing w:after="0" w:line="18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 November 3, 2016, Rackspace Hosting, Inc. (now named Rackspace Technology Global, Inc., or “Rackspace Technology Global”) was acquired by Inception Parent, Inc., an indirect wholly-owned subsidiary of the company (“Inception Parent”). Pursuant to the Merger Agreement, dated as of August 26, 2016, Rackspace Technology Global merged with a wholly-owned subsidiary of Inception Parent, with Rackspace Technology Global surviving as a wholly-owned subsidiary of Inception Parent (the "Rackspace Acquisition"). Since the Rackspace Acquisition, we have made significant changes to our business model, including through acquisitions, divestitures, corporate transformation initiatives and significant investments to adapt to changing customer needs and competitive market dynamics. See Item 1 of Part I, Business, - Overview - "Our Transformation."</w:t>
      </w:r>
    </w:p>
    <w:p>
      <w:pPr>
        <w:spacing w:after="0" w:line="191"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8 of Part II, Financial Statements and Supplementary Data - Note 19,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Multicloud Services offerings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public cloud services within our Multicloud Services, our Apps &amp; Cross Platform and our OpenStack Public Cloud offerings. Contracts for these arrangements typically operate on a month-to-month basis and can be canceled at any time without penalty.</w:t>
      </w:r>
    </w:p>
    <w:p>
      <w:pPr>
        <w:spacing w:after="0" w:line="19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spacing w:after="0" w:line="214"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On May 14, 2018, we acquired 100% of RelationEdge, LLC ("RelationEdge"), a full-service Salesforce Platinum Consulting Partner and digital agency that helps clients engage with their customers from lead to loyalty by improving business processes, leveraging technology and integrating creative digital marketing, for net cash consideration of $65 million, with a majority of the purchase price allocated to goodwill. RelationEdge was integrated into our Apps &amp; Cross Platform segment and contributed $16 million in revenue to our results in 2018 for the seven and a half months following its acquisition. RelationEdge’s results of operations subsequent to the May 14, 2018 acquisition date are included in the accompanying consolidated financial statements.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November 15, 2019, we acquired 100% of Onica, an AWS managed service provider of cloud-native consulting and managed services, including strategic advisory, architecture and engineering and application development services, for net cash consideration of $316 million, of which $62 million was allocated to amortizable intangible assets. Onica was integrated into our Multicloud Services segment and contributed $21 million in revenue to our results in 2019 for the month and a half following its acquisition. Onica’s results of operations subsequent to the November 15, 2019 acquisition date are included in the accompanying consolidated financial statements.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Item 8 of Part II, Financial Statements and Supplementary Data - Note 15, "Acquisitions" for more detail of these acquisitions.</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On August 7, 2020, we completed the IPO, in which we issued and sold 33,500,000 shares of our common stock at a public offering price of $21.00 per share. We received proceeds of $666.6 million from sales of shares in the IPO, after deducting underwriters' discounts and commissions of $36.9 million, but before deducting offering expenses of $8.8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For a description of subsequent events, see Item 8 of Part II, Financial Statements and Supplementary Data - Note 1, "Company Overview, Basis of Presentation, and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recent outbreak of a novel strain of coronavirus, now referred to as COVID-19, has spread globally, including within the United States and resulted in The World Health Organization declaring the outbreak a "pandemic" in March 2020. The effects of COVID-19 are rapidly evolving, and the full impact and duration of the virus are unknown. Managing COVID-19 has severely impacted healthcare systems and businesses worldwide. The effects of COVID-19 and the response to the virus have negatively impacted overall economic conditions. To date, COVID-19 has not adversely affected our results of operations or financial condition in any material respect;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If the pandemic or the resulting economic downturn continues to worsen, we could experience service disruption, loss of customers or higher levels of doubtful trade accounts receivable, which could have an adverse effect on our results of operations and cash flows. At this point, we are focused on the health and safety of our employees, customers and partners and, among other things, have implemented a work-from-home policy and are limiting contact between our employees and customers while continuing to deliver a Fanatical Experience. To date, the impact on our business has been limited as most of our services are already delivered remotely or capable of being delivered</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remotely and we have a diverse customer base. In addition, our mitigation efforts, including offering our customers contract extensions in exchange for better payment terms and obtaining improved payment terms from our vendors, have generally been successful since the start of the pandemic. The full extent to which COVID-19 may impact our financial condition or results of operations over the medium to long term, however, remains uncertain. Due to our recurring revenue business model, the effect of COVID-19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Accounting Change on Results of Operations</w:t>
      </w:r>
    </w:p>
    <w:p>
      <w:pPr>
        <w:spacing w:after="0" w:line="252"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adopted Accounting Standard Codification (“ASC”) No. 606 (Revenue from Contracts with Customers) as of January 1, 2019 using the full retrospective method, which required us to restate each prior period presented. As the consolidated financial statements prior to the Rackspace Acquisition date were presented on a different accounting basis than the consolidated financial statements subsequent to the Rackspace Acquisition, ASC 606 was only applied to the periods subsequent to the Rackspace Acquisition date. Our results reflect the impact of the transition on our balance sheet as of January 1, 2018, the earliest period presented, and retrospective adjustments to our consolidated statements of operations and cash flows for the year ended December 31, 2018. The most significant impact of the adoption of ASC 606 on our results of operations is related to the capitalization of costs to obtain and fulfill a contract with a customer, such as sales commissions and implementation and set up related expenses, and their amortization over the period the related services are delivered to customers, whereas under previous guidance we expensed such costs as they were incurred. As a result, our loss before income taxes and Adjusted EBITDA were both positively impacted by $32.8 million, $4.9 million and $7.9 million in 2018, 2019 and 2020, respectively. We also adopted ASC No. 842 (Leases) as of January 1, 2019 using the modified retrospective method, recording the impact of the transition on our balance sheet as of January 1, 2019. The impact of our adoption of ASC 842 resulted in a positive $1.9 million and $3.4 million impact on our loss before income taxes for the years ended 2019 and 2020, respectively, and a negative $8.9 million and $3.1 million impact on our Adjusted EBITDA for the years ended 2019 and 2020, respectively. 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below for our presentation and reconciliation of Adjusted EBITDA.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SAP and VMWare. We believe we are unique in our ability to serve customers across major technology stacks and deployment options, all while delivering a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 See Item 1 of Part I, Business, - Overview - "Our Transformation."</w:t>
      </w:r>
    </w:p>
    <w:p>
      <w:pPr>
        <w:spacing w:after="0" w:line="193" w:lineRule="exact"/>
        <w:rPr>
          <w:sz w:val="20"/>
          <w:szCs w:val="20"/>
          <w:color w:val="auto"/>
        </w:rPr>
      </w:pPr>
    </w:p>
    <w:p>
      <w:pPr>
        <w:ind w:right="60" w:firstLine="486"/>
        <w:spacing w:after="0" w:line="279" w:lineRule="auto"/>
        <w:rPr>
          <w:sz w:val="20"/>
          <w:szCs w:val="20"/>
          <w:color w:val="auto"/>
        </w:rPr>
      </w:pPr>
      <w:r>
        <w:rPr>
          <w:rFonts w:ascii="Arial" w:cs="Arial" w:eastAsia="Arial" w:hAnsi="Arial"/>
          <w:sz w:val="16"/>
          <w:szCs w:val="16"/>
          <w:color w:val="auto"/>
        </w:rPr>
        <w:t>Annualized Recurring Revenue (“ARR”), which we believe is an important indicator of our market differentiation and future revenue opportunity from recurring customer contracts, was $2,374.3 million, $2,411.6 million and $2,711.1 million for the years ended December 31, 2018, 2019 and 2020, respectively. See “</w:t>
      </w:r>
      <w:r>
        <w:rPr>
          <w:rFonts w:ascii="Arial" w:cs="Arial" w:eastAsia="Arial" w:hAnsi="Arial"/>
          <w:sz w:val="16"/>
          <w:szCs w:val="16"/>
          <w:i w:val="1"/>
          <w:iCs w:val="1"/>
          <w:color w:val="auto"/>
        </w:rPr>
        <w:t>Key Operating Metrics</w:t>
      </w:r>
      <w:r>
        <w:rPr>
          <w:rFonts w:ascii="Arial" w:cs="Arial" w:eastAsia="Arial" w:hAnsi="Arial"/>
          <w:sz w:val="16"/>
          <w:szCs w:val="16"/>
          <w:color w:val="auto"/>
        </w:rPr>
        <w:t>.” We also believe that many of our prospective customers will need external support for their cloud transformations, which are non-recurring projects excluded from ARR provided through our professional services, and that our hybrid, platform-neutral approach, and ability to deliver a Fanatical Experience to customers, will continue to be key to our success in attracting and retaining customers over time.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Service Blocks model provides for customizable services consumption, enabling us to deliver IT services in a recurring and scalable way. These offerings differentiate us from legacy IT service providers that operate under long-term fixed and project-based fee structures often tethered to their existing technologies with less automation.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240" w:firstLine="486"/>
        <w:spacing w:after="0" w:line="271" w:lineRule="auto"/>
        <w:rPr>
          <w:sz w:val="20"/>
          <w:szCs w:val="20"/>
          <w:color w:val="auto"/>
        </w:rPr>
      </w:pPr>
      <w:r>
        <w:rPr>
          <w:rFonts w:ascii="Arial" w:cs="Arial" w:eastAsia="Arial" w:hAnsi="Arial"/>
          <w:sz w:val="17"/>
          <w:szCs w:val="17"/>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As a result, we have recently experienced and expect to continue to experience changes in our capital expenditures requirements.</w:t>
      </w:r>
    </w:p>
    <w:p>
      <w:pPr>
        <w:spacing w:after="0" w:line="205"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Our capital expenditures equaled 14%, 9% and 8% of our revenue for the years ended December 31, 2018 2019 and 2020, respectively. While there is some variability in capital expenditures from quarter to quarter due to timing of purchases, we expect to maintain current capital intensity levels over the longer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Transformation</w:t>
      </w:r>
    </w:p>
    <w:p>
      <w:pPr>
        <w:spacing w:after="0" w:line="25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Since the Rackspace Acquisition, we have invested in multiple high growth service offerings, including multicloud services, professional services, managed security and data services. In this process, we established one of the broadest partner ecosystems across the technology industry. We have also invested heavily in proprietary technology and automation tools for both us and our customers. We invested in a professional services-driven go-to-market, providing holistic multicloud solutions to meet our customers’ objectives which aim to evolve those solutions over the full lifecycle of their cloud journey. Several experienced professionals joined our management team in mid-2019, including Kevin Jones (CEO) and Subroto Mukerji (COO). In October 2020, we announced the hiring of our new CFO, Amar Maletira. Our efforts have enabled us to improve our underlying operating cost efficiencies and expand our revenue opportunities. This transformation has benefited our financial model as well. Today, we benefit from a subscription-based model (including both long-term and month-to-month subscriptions) that accounted for 95% of our revenue in 2020. Over 90% of our revenue in 2020 came from our Core Segments, which we expect to continue to drive our growth. For example, on a constant currency basis, assuming the RelationEdge and Onica acquisitions were consummated on January 1, 2018, we estimate that our constant currency Core Revenue would have increased by 9% in 2020 compared to 2019, and by 5% in 2019 compared to 2018. Additionally, our capital intensity, which we define as total capital expenditures as a percentage of total revenue, has decreased from 16% for the twelve months ended September 30, 2016, to 8%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Acquisitions</w:t>
      </w:r>
    </w:p>
    <w:p>
      <w:pPr>
        <w:spacing w:after="0" w:line="25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have completed and substantially integrated four acquisitions since 2017, including Onica, an AWS cloud services company that we acquired in the fourth quarter of 2019. See Item 8 of Part II, Financial Statements and Supplementary Data - Note 15, "Acquisitions." We routinely evaluate potential acquisitions that align with our growth strategy. Our acquisitions in any period may impact the comparability of our results with prior and subsequent periods. The integration of acquisitions also requires dedication of substantial time and resources, and we may never fully realize synergies and other benefits that we expect. Acquisition purchase price accounting, which may require significant judgment, and amortization and depreciation of acquired assets, may result in our recording post-acquisition costs that are higher or lower than the underlying, steady state operating costs of the acquired business. Additionally, the terms of any such acquisition, particularly with respect to the treatment of deferred revenue, may adversely impact our post-acquisition recognition of revenue from the acquired business. Additionally, our acquired businesses or assets may not perform as we expect, which could adversely affect our results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and discussion present and summarize our key operating performance indicators, which management uses as measures of our current and future business and financial performance: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 except %)</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2020</w:t>
            </w:r>
          </w:p>
        </w:tc>
      </w:tr>
      <w:tr>
        <w:trPr>
          <w:trHeight w:val="21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gridSpan w:val="2"/>
            <w:shd w:val="clear" w:color="auto" w:fill="CCEEFF"/>
          </w:tcPr>
          <w:p>
            <w:pPr>
              <w:ind w:left="1460"/>
              <w:spacing w:after="0"/>
              <w:rPr>
                <w:sz w:val="20"/>
                <w:szCs w:val="20"/>
                <w:color w:val="auto"/>
              </w:rPr>
            </w:pPr>
            <w:r>
              <w:rPr>
                <w:rFonts w:ascii="Arial" w:cs="Arial" w:eastAsia="Arial" w:hAnsi="Arial"/>
                <w:sz w:val="16"/>
                <w:szCs w:val="16"/>
                <w:color w:val="auto"/>
              </w:rPr>
              <w:t>700.7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1,126.1</w:t>
            </w:r>
          </w:p>
        </w:tc>
      </w:tr>
      <w:tr>
        <w:trPr>
          <w:trHeight w:val="210"/>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Annualized Recurring Revenue (ARR)</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2,374.3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gridSpan w:val="2"/>
          </w:tcPr>
          <w:p>
            <w:pPr>
              <w:ind w:left="1360"/>
              <w:spacing w:after="0"/>
              <w:rPr>
                <w:sz w:val="20"/>
                <w:szCs w:val="20"/>
                <w:color w:val="auto"/>
              </w:rPr>
            </w:pPr>
            <w:r>
              <w:rPr>
                <w:rFonts w:ascii="Arial" w:cs="Arial" w:eastAsia="Arial" w:hAnsi="Arial"/>
                <w:sz w:val="16"/>
                <w:szCs w:val="16"/>
                <w:color w:val="auto"/>
                <w:w w:val="97"/>
              </w:rPr>
              <w:t>2,411.6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2,711.1</w:t>
            </w:r>
          </w:p>
        </w:tc>
      </w:tr>
      <w:tr>
        <w:trPr>
          <w:trHeight w:val="357"/>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07"/>
        </w:trPr>
        <w:tc>
          <w:tcPr>
            <w:tcW w:w="4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2020</w:t>
            </w: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 Quarterly Net Revenue Retention Rate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First Quarter</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1460"/>
              <w:spacing w:after="0"/>
              <w:rPr>
                <w:sz w:val="20"/>
                <w:szCs w:val="20"/>
                <w:color w:val="auto"/>
              </w:rPr>
            </w:pPr>
            <w:r>
              <w:rPr>
                <w:rFonts w:ascii="Arial" w:cs="Arial" w:eastAsia="Arial" w:hAnsi="Arial"/>
                <w:sz w:val="16"/>
                <w:szCs w:val="16"/>
                <w:color w:val="auto"/>
                <w:w w:val="98"/>
              </w:rPr>
              <w:t>99 %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1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Second Quarter</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460"/>
              <w:spacing w:after="0"/>
              <w:rPr>
                <w:sz w:val="20"/>
                <w:szCs w:val="20"/>
                <w:color w:val="auto"/>
              </w:rPr>
            </w:pPr>
            <w:r>
              <w:rPr>
                <w:rFonts w:ascii="Arial" w:cs="Arial" w:eastAsia="Arial" w:hAnsi="Arial"/>
                <w:sz w:val="16"/>
                <w:szCs w:val="16"/>
                <w:color w:val="auto"/>
                <w:w w:val="98"/>
              </w:rPr>
              <w:t>98 %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Third Quarter</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1460"/>
              <w:spacing w:after="0"/>
              <w:rPr>
                <w:sz w:val="20"/>
                <w:szCs w:val="20"/>
                <w:color w:val="auto"/>
              </w:rPr>
            </w:pPr>
            <w:r>
              <w:rPr>
                <w:rFonts w:ascii="Arial" w:cs="Arial" w:eastAsia="Arial" w:hAnsi="Arial"/>
                <w:sz w:val="16"/>
                <w:szCs w:val="16"/>
                <w:color w:val="auto"/>
                <w:w w:val="98"/>
              </w:rPr>
              <w:t>99 %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Fourth Quarter</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460"/>
              <w:spacing w:after="0"/>
              <w:rPr>
                <w:sz w:val="20"/>
                <w:szCs w:val="20"/>
                <w:color w:val="auto"/>
              </w:rPr>
            </w:pPr>
            <w:r>
              <w:rPr>
                <w:rFonts w:ascii="Arial" w:cs="Arial" w:eastAsia="Arial" w:hAnsi="Arial"/>
                <w:sz w:val="16"/>
                <w:szCs w:val="16"/>
                <w:color w:val="auto"/>
                <w:w w:val="98"/>
              </w:rPr>
              <w:t>98 %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Quarterly Net Revenue Retention Rate</w:t>
            </w: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First Quarter</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460"/>
              <w:spacing w:after="0"/>
              <w:rPr>
                <w:sz w:val="20"/>
                <w:szCs w:val="20"/>
                <w:color w:val="auto"/>
              </w:rPr>
            </w:pPr>
            <w:r>
              <w:rPr>
                <w:rFonts w:ascii="Arial" w:cs="Arial" w:eastAsia="Arial" w:hAnsi="Arial"/>
                <w:sz w:val="16"/>
                <w:szCs w:val="16"/>
                <w:color w:val="auto"/>
                <w:w w:val="98"/>
              </w:rPr>
              <w:t>98 %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Second Quarter</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1460"/>
              <w:spacing w:after="0"/>
              <w:rPr>
                <w:sz w:val="20"/>
                <w:szCs w:val="20"/>
                <w:color w:val="auto"/>
              </w:rPr>
            </w:pPr>
            <w:r>
              <w:rPr>
                <w:rFonts w:ascii="Arial" w:cs="Arial" w:eastAsia="Arial" w:hAnsi="Arial"/>
                <w:sz w:val="16"/>
                <w:szCs w:val="16"/>
                <w:color w:val="auto"/>
                <w:w w:val="98"/>
              </w:rPr>
              <w:t>98 %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19"/>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Third Quarter</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460"/>
              <w:spacing w:after="0"/>
              <w:rPr>
                <w:sz w:val="20"/>
                <w:szCs w:val="20"/>
                <w:color w:val="auto"/>
              </w:rPr>
            </w:pPr>
            <w:r>
              <w:rPr>
                <w:rFonts w:ascii="Arial" w:cs="Arial" w:eastAsia="Arial" w:hAnsi="Arial"/>
                <w:sz w:val="16"/>
                <w:szCs w:val="16"/>
                <w:color w:val="auto"/>
                <w:w w:val="98"/>
              </w:rPr>
              <w:t>99 %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Fourth Quarter</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1460"/>
              <w:spacing w:after="0"/>
              <w:rPr>
                <w:sz w:val="20"/>
                <w:szCs w:val="20"/>
                <w:color w:val="auto"/>
              </w:rPr>
            </w:pPr>
            <w:r>
              <w:rPr>
                <w:rFonts w:ascii="Arial" w:cs="Arial" w:eastAsia="Arial" w:hAnsi="Arial"/>
                <w:sz w:val="16"/>
                <w:szCs w:val="16"/>
                <w:color w:val="auto"/>
                <w:w w:val="98"/>
              </w:rPr>
              <w:t>98 %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 titled metrics presented by other companies.</w:t>
      </w:r>
    </w:p>
    <w:p>
      <w:pPr>
        <w:spacing w:after="0" w:line="21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Our Bookings were $597.5 million, $700.7 million and $1,126.1 million for the years ended December 31, 2018, 2019 and 2020, respectively. The increase in Bookings was attributable to the execution of several initiatives focused on enhancing growth, including an investment in sales, an improvement in sales productivity, an increase in the number of enterprise customers and an increase in the number of new deals with large contract values.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239"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We calculate Annualized Recurring Revenue, or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21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For the avoidance of doubt, ARR for any period ending December 31 is calculated by annualizing our actual revenue from existing recurring customer contracts for the fourth quarter in that year. Our calculation of ARR may differ from similarly titled metrics presented by other companies.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ARR was $2,374.3 million, $2,411.6 million and $2,711.1 million for the years ended December 31, 2018, 2019 and 2020,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Net Revenue Retention Rate</w:t>
      </w:r>
    </w:p>
    <w:p>
      <w:pPr>
        <w:spacing w:after="0" w:line="198"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Our Quarterly Net Revenue Retention Rate, which we use to measure our success in retaining and growing revenue from our existing customers, compares sequential quarterly revenue from the same cohort of customers. We calculate our Quarterly Net Revenue Retention Rate for a given quarterly period as the revenue from the cohort of customers for the latest reported fiscal quarter (the numerator), divided by revenue from such customers for the immediately preceding fiscal quarter (denominator). Existing customer revenue for the earlier of the two fiscal quarters is calculated on a constant currency basis, applying the average exchange rate for the latest reported fiscal quarter to the immediately preceding fiscal quarter, to eliminate the effects of foreign currency fluctuations. The numerator and denominator only include revenue from customers that we served and from which we recognized revenue in the first month of the earliest of the two quarters being compared. Our calculation of Quarterly Net Revenue Retention Rate for any fiscal quarter includes the positive revenue impacts of selling new services to existing customers and the negative revenue impacts of attrition among this cohort of customers. Our calculation of Quarterly Net Revenue Retention Rate may differ from similarly titled metrics presented by other companies.</w:t>
      </w:r>
    </w:p>
    <w:p>
      <w:pPr>
        <w:spacing w:after="0" w:line="19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Throughout the Annual Report, we present our Quarterly Net Revenue Retention Rate on a consolidated basis and also on a Core basis, referred to as “Core Quarterly Net Revenue Retention Rate.”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depreciation of servers, software and other systems infrastructure and personnel costs (including salaries, bonuses, benefits and share-based compensation) for engineers, developers and other employees involved in the delivery of services to our customers. Cost of revenue also includes data center rent and other infrastructure maintenance and support costs, including software license costs and utilities. Cost of revenue is driven mainly by demand for our services, our service mix and the cost of labor in a given geography.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our recurring SG&amp;A costs to increase on account of the expansion of accounting, legal, investor relations and other functions, incremental insurance coverage and other services needed to operate as a public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8 of Part II, Financial Statements and Supplementary Data - Note 13,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2020</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20.7 %</w:t>
            </w:r>
          </w:p>
        </w:tc>
      </w:tr>
      <w:tr>
        <w:trPr>
          <w:trHeight w:val="212"/>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(75.7)%</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Gain (loss) on extinguishment of debt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50.4 %</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155.1 %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140.3 %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Revenue increased $269 million, or 11.0%, to $2,707 million in 2020 from $2,438 million in 2019. Revenue was positively impacted by the acquisition of Onica in November 2019 as well as new customer acquisition and growing customer spend in our Multicloud Services and Apps &amp; Cross Platform segments, as discussed below.</w:t>
      </w:r>
    </w:p>
    <w:p>
      <w:pPr>
        <w:spacing w:after="0" w:line="21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increased 10.9% year-over-year. On a constant currency basis, assuming the Onica acquisition was consummated on January 1, 2019, we estimate that our constant currency revenue would have increased by 6.0% year-over-year. Although such estimate of constant currency revenue is based on assumptions that management believes are reasonable, it is not necessarily indicative of the constant currency revenue that would have been achieved had such acquisition occurred on January 1, 2019. The following table presents revenue growth by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r>
      <w:tr>
        <w:trPr>
          <w:trHeight w:val="213"/>
        </w:trPr>
        <w:tc>
          <w:tcPr>
            <w:tcW w:w="4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(20.1)%</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Multicloud Services revenue in 2020 increased 17%, on an actual and constant currency basis, from 2019, reflecting the positive impact of the November 2019 acquisition of Onica. Underlying growth was driven by both the acquisition of new customers and increased spend by existing customers, partially offset by cancellations by existing customers.</w:t>
      </w:r>
    </w:p>
    <w:p>
      <w:pPr>
        <w:spacing w:after="0" w:line="211"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Apps &amp; Cross Platform revenue in 2020 increased 5%, on an actual and constant currency basis, from 2019, due to growth in our offerings for management of productivity and collaboration applications, partially offset by a decrease in professional services revenue.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OpenStack Public Cloud revenue in 2020 decreased 20%, on an actual and constant currency basis, from 2019 due to customer churn.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Cost of revenue increased $296 million, or 21%, to $1,723 million in 2020 from $1,427 million in 2019, primarily due to an increase in usage charges for third-party infrastructure associated with growth in these offerings and the impact of an increased volume of larger, multi-year customer contracts which typically have a larger infrastructure component and lower margins. Personnel costs also increased, primarily due to the addition of former Onica employees and an increase in share-based compensation expense related to restricted stock granted to all eligible employees upon completion of the IPO, partially offset by a reduction in non-equity incentive bonus expense. The increase in third-party infrastructure and personnel costs was partially offset by a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We also had year-over-year expense reductions in data center and license expenses as a result of initiatives to lower our cost structure, which included the consolidation of data center facilities and optimizing our vendor license spending.</w:t>
      </w:r>
    </w:p>
    <w:p>
      <w:pPr>
        <w:spacing w:after="0" w:line="19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a percentage of revenue, cost of revenue increased 510 basis points in 2020 to 63.6% from 58.5% in 2019, driven by a 1,030 basis point increase in usage charges for third-party infrastructure, partially offset by a 270 basis point decrease related to data center and license expenses and a 240 basis point reduction in depreciation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consolidated gross profit was $984 million in 2020, a decrease of $27 million from $1,011 million in 2019. Our Non-GAAP Gross Profit was $1,026 million in 2020, a decrease of $13 million from $1,039 million in 2019. Non-GAAP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36.4% in 2020, a decrease of 510 basis points from 41.5% in</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table below presents our segment non-GAAP gross profit and gross margin for the periods indicated, and the change in gross profit between periods: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34.3 %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7"/>
        </w:trPr>
        <w:tc>
          <w:tcPr>
            <w:tcW w:w="406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1,026.0</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360"/>
              <w:spacing w:after="0" w:line="230"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80" w:hanging="454"/>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w:t>
      </w:r>
    </w:p>
    <w:p>
      <w:pPr>
        <w:spacing w:after="0" w:line="32" w:lineRule="exact"/>
        <w:rPr>
          <w:rFonts w:ascii="Arial" w:cs="Arial" w:eastAsia="Arial" w:hAnsi="Arial"/>
          <w:sz w:val="16"/>
          <w:szCs w:val="16"/>
          <w:color w:val="auto"/>
        </w:rPr>
      </w:pPr>
    </w:p>
    <w:p>
      <w:pPr>
        <w:ind w:left="480" w:hanging="454"/>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45" w:lineRule="exact"/>
        <w:rPr>
          <w:rFonts w:ascii="Arial" w:cs="Arial" w:eastAsia="Arial" w:hAnsi="Arial"/>
          <w:sz w:val="16"/>
          <w:szCs w:val="16"/>
          <w:color w:val="auto"/>
        </w:rPr>
      </w:pPr>
    </w:p>
    <w:p>
      <w:pPr>
        <w:ind w:left="480" w:right="600" w:hanging="454"/>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23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Multicloud Services non-GAAP gross profit increased by 5% in 2020 from 2019. Segment non-GAAP gross profit as a percentage of segment revenue decreased by 450 basis points, reflecting a 26% increase in segment cost of revenue and a 17% increase in segment revenue. The increase in costs was mainly driven by higher third-party infrastructure costs and the addition of former Onica employees’ personnel costs. Partially offsetting the increase was lower depreciation and data center costs.</w:t>
      </w:r>
    </w:p>
    <w:p>
      <w:pPr>
        <w:spacing w:after="0" w:line="21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Apps &amp; Cross Platform non-GAAP gross profit decreased by 3% in 2020 from 2019. Segment non-GAAP gross profit as a percentage of segment revenue decreased by 290 basis points, reflecting a 10% increase in segment cost of revenue and a 5% increase in segment revenue. The increase in cost of revenue was driven by the segment’s higher business volume as well as investments to support more service-oriented offerings and higher third-party infrastructure costs.</w:t>
      </w:r>
    </w:p>
    <w:p>
      <w:pPr>
        <w:spacing w:after="0" w:line="21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OpenStack Public Cloud non-GAAP gross profit decreased 31% in 2020 from 2019 due to customer churn. Segment non-GAAP gross profit as a percentage of segment revenue decreased by 720 basis points, reflecting a 20% decrease in segment revenue, partially offset by a 8% decrease in segment cost of revenue.</w:t>
      </w:r>
    </w:p>
    <w:p>
      <w:pPr>
        <w:spacing w:after="0" w:line="21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aggregate amount of costs reflected in consolidated gross profit but excluded from segment non-GAAP gross profit was $41.6 million in 2020, an increase of $13.4 million from $28.2 million in 2019, reflecting higher restructuring and transformation expenses, share-based compensation and other compensation expense, partially offset by lower purchase accounting adjustments. For more information about our segment non-GAAP gross profit, see Item 8 of Part II, Financial Statements and Supplementary Data - Note 19, "Segment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Selling, general and administrative expenses increased $48 million, or 5%, to $960 million in 2020 from $912 million in 2019, due to costs related to business transformation initiatives, integrating Onica, and costs incurred related to the IPO, including incremental costs to operate as a public company, partially offset by a reduction in management consulting fees as the agreements were terminated in connection with the IPO. Personnel costs increased due to higher commissions expense, driven by bookings growth, and share-based compensation expense, partially offset by lower severance expense and non-equity incentive bonus expense in 2020. Additionally, travel costs declined as a result of COVID-19 travel restrictions.</w:t>
      </w:r>
    </w:p>
    <w:p>
      <w:pPr>
        <w:spacing w:after="0" w:line="188"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decreased 200 basis points, to 35.4% in 2020 from 37.4% in 2019, for the reasons discussed above, including a 150 basis points reduction in personnel costs, and further impacted by our revenue growth while other SG&amp;A expenses decreased.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w:t>
      </w:r>
    </w:p>
    <w:p>
      <w:pPr>
        <w:spacing w:after="0" w:line="252"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In March 2019, we recorded a $2 million gain related to the payment of a promissory note receivable that was issued in conjunction with the sale of our Mailgun business in February 2017. See Item 8 of Part II, Financial Statements and Supplementary Data - Note 14, "Divestitures</w:t>
      </w:r>
      <w:r>
        <w:rPr>
          <w:rFonts w:ascii="Arial" w:cs="Arial" w:eastAsia="Arial" w:hAnsi="Arial"/>
          <w:sz w:val="18"/>
          <w:szCs w:val="18"/>
          <w:b w:val="1"/>
          <w:bCs w:val="1"/>
          <w:color w:val="auto"/>
        </w:rPr>
        <w:t>,</w:t>
      </w:r>
      <w:r>
        <w:rPr>
          <w:rFonts w:ascii="Arial" w:cs="Arial" w:eastAsia="Arial" w:hAnsi="Arial"/>
          <w:sz w:val="18"/>
          <w:szCs w:val="18"/>
          <w:color w:val="auto"/>
        </w:rPr>
        <w:t>" included elsewhere in this Annual Report for more information on this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Interest expense decreased $62 million to $268 million in 2020 from $330 million in 2019 primarily due to the January 2020 designation of certain of our interest rate swap agreements as cash flow hedges, as further discussed in Item 8 of Part II, Financial Statements and Supplementary Data - Note 16, "Derivatives." In 2019, we recorded $52 million of interest expense related to the change in the fair value of interest rate swaps compared to $14 million recorded to interest expense in 2020. Also contributing to the decrease in interest expense was the reduction in our total debt balance largely due to the repayment of $1,120 million aggregate principal amount of 8.625% Senior Notes during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252" w:lineRule="exact"/>
        <w:rPr>
          <w:sz w:val="20"/>
          <w:szCs w:val="20"/>
          <w:color w:val="auto"/>
        </w:rPr>
      </w:pPr>
    </w:p>
    <w:p>
      <w:pPr>
        <w:ind w:right="540" w:firstLine="486"/>
        <w:spacing w:after="0" w:line="263" w:lineRule="auto"/>
        <w:rPr>
          <w:sz w:val="20"/>
          <w:szCs w:val="20"/>
          <w:color w:val="auto"/>
        </w:rPr>
      </w:pPr>
      <w:r>
        <w:rPr>
          <w:rFonts w:ascii="Arial" w:cs="Arial" w:eastAsia="Arial" w:hAnsi="Arial"/>
          <w:sz w:val="18"/>
          <w:szCs w:val="18"/>
          <w:color w:val="auto"/>
        </w:rPr>
        <w:t>Gain on investments was $1 million in 2020 compared to $100 million in 2019, driven by the realized gain on our investment in CrowdStrike Holdings, Inc. ("CrowdStrike") of $97 million, as further discussed in Item 8 of Part II, Financial Statements and Supplementary Data - Note 6,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Extinguishment of Debt</w:t>
      </w:r>
    </w:p>
    <w:p>
      <w:pPr>
        <w:spacing w:after="0" w:line="252" w:lineRule="exact"/>
        <w:rPr>
          <w:sz w:val="20"/>
          <w:szCs w:val="20"/>
          <w:color w:val="auto"/>
        </w:rPr>
      </w:pPr>
    </w:p>
    <w:p>
      <w:pPr>
        <w:jc w:val="both"/>
        <w:ind w:right="280" w:firstLine="486"/>
        <w:spacing w:after="0" w:line="286" w:lineRule="auto"/>
        <w:rPr>
          <w:sz w:val="20"/>
          <w:szCs w:val="20"/>
          <w:color w:val="auto"/>
        </w:rPr>
      </w:pPr>
      <w:r>
        <w:rPr>
          <w:rFonts w:ascii="Arial" w:cs="Arial" w:eastAsia="Arial" w:hAnsi="Arial"/>
          <w:sz w:val="17"/>
          <w:szCs w:val="17"/>
          <w:color w:val="auto"/>
        </w:rPr>
        <w:t>In 2020 we recorded a $72 million loss on debt extinguishment related to the repayment of $1,120 million aggregate principal amount of 8.625% Senior Notes. We recorded a $10 million gain on debt extinguishment in 2019 related to repurchases of $77 million principal amount of 8.625% Senior Notes. See Item 8 of Part II, Financial Statements and Supplementary Data - Note 7, "Debt"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had $3 million of other income in 2020 compared to $3 million of other expense in 2019 primarily related to foreign currency transaction gains, partially offset by changes in the fair value of foreign currency derivatives, as further discussed in Item 8 of Part II, Financial Statements and Supplementary Data - Note 16,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income tax benefit increased by $46 million to $66 million in 2020 from $20 million in 2019. Our effective tax rate increased from 16.4% in 2019 to 21.2% in 2020. The increase in the effective tax rate year-over-year and the difference between the effective tax rate for 2020 and the statutory rate are primarily due to the geographic distribution of profits and changes in income tax reserves, as well as executive compensation that is nondeductible under Internal Revenue Code ("IRC") Section 162(m) as a result of the IPO.</w:t>
      </w:r>
    </w:p>
    <w:p>
      <w:pPr>
        <w:spacing w:after="0" w:line="21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benefit for income taxes, see Item 8 of Part II, Financial Statements and Supplementary Data - Note 13, "Taxes."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2019</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Gain on sale</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2"/>
        </w:trPr>
        <w:tc>
          <w:tcPr>
            <w:tcW w:w="3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142.8 %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17.4 %</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Gain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extinguishment of debt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12"/>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(75.6)%</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2"/>
        </w:trPr>
        <w:tc>
          <w:tcPr>
            <w:tcW w:w="324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(78.3)%</w:t>
            </w: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160" w:firstLine="486"/>
        <w:spacing w:after="0" w:line="262" w:lineRule="auto"/>
        <w:rPr>
          <w:sz w:val="20"/>
          <w:szCs w:val="20"/>
          <w:color w:val="auto"/>
        </w:rPr>
      </w:pPr>
      <w:r>
        <w:rPr>
          <w:rFonts w:ascii="Arial" w:cs="Arial" w:eastAsia="Arial" w:hAnsi="Arial"/>
          <w:sz w:val="17"/>
          <w:szCs w:val="17"/>
          <w:color w:val="auto"/>
        </w:rPr>
        <w:t>Revenue decreased $15 million, or 0.6%, to $2,438 million in 2019 from $2,453 million in 2018. Revenue was negatively impacted by $22 million from foreign currency translation effects in 2019, due to a stronger U.S. dollar relative to other foreign currencies, primarily the British pound sterling. Conversely, revenue was positively impacted by the acquisitions of RelationEdge in May 2018 and Onica in November 2019 as well as new customer acquisition and growing customer spend in our Multicloud Services and Apps &amp; Cross Platform segments, as discussed below.</w:t>
      </w:r>
    </w:p>
    <w:p>
      <w:pPr>
        <w:spacing w:after="0" w:line="199"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After removing the impact of foreign currency fluctuations, on a constant currency basis, revenue increased 0.3% year-over-year. On a constant currency basis, assuming the RelationEdge and Onica acquisitions were consummated on January 1, 2018, we estimate that our constant currency revenue would have increased by 1.6% year-over-year. Although such estimate of constant currency revenue is based on assumptions that management believes are reasonable, it is not necessarily indicative of the constant currency revenue that would have been achieved had such acquisition occurred on January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2018. The following table presents revenue growth by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10.4 %</w:t>
            </w:r>
          </w:p>
        </w:tc>
      </w:tr>
      <w:tr>
        <w:trPr>
          <w:trHeight w:val="213"/>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(19.6)%</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80" w:firstLine="486"/>
        <w:spacing w:after="0" w:line="248" w:lineRule="auto"/>
        <w:rPr>
          <w:sz w:val="20"/>
          <w:szCs w:val="20"/>
          <w:color w:val="auto"/>
        </w:rPr>
      </w:pPr>
      <w:r>
        <w:rPr>
          <w:rFonts w:ascii="Arial" w:cs="Arial" w:eastAsia="Arial" w:hAnsi="Arial"/>
          <w:sz w:val="18"/>
          <w:szCs w:val="18"/>
          <w:color w:val="auto"/>
        </w:rPr>
        <w:t>Multicloud Services revenue in 2019 increased 2% on an actual basis, or 3% on a constant currency basis, from 2018, reflecting the positive impact of the November 2019 acquisition of Onica, which contributed $21 million to 2019 revenue. Underlying growth was driven by both the acquisition of new customers and increased spend by existing customers, partially offset by cancellations by existing customers.</w:t>
      </w:r>
    </w:p>
    <w:p>
      <w:pPr>
        <w:spacing w:after="0" w:line="20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Apps &amp; Cross Platform revenue in 2019 increased 10%, on an actual and constant currency basis, from 2018, due to the favorable full year impact of RelationEdge, which we acquired in May 2018, and growth in our offerings for managed security, professional services and management of productivity and collaboration applications.</w:t>
      </w:r>
    </w:p>
    <w:p>
      <w:pPr>
        <w:spacing w:after="0" w:line="211"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OpenStack Public Cloud revenue in 2019 decreased 20%, on an actual and constant currency basis, from 2018 due to customer churn. While we expect revenue from this business to continue to decline, we also saw the quarterly year-over-year rate of decline stabilize during 2019 as many large OpenStack Public Cloud customers terminated their OpenStack Public Cloud contracts with us and our remaining customer base for this offering was composed of smaller customers who tend to churn at lower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Cost of revenue decreased $19 million, or 1%, to $1,427 million in 2019 from $1,446 million in 2018, primarily driven by a decrease in depreciation expense, partially offset by an increase in infrastructure expenses related to offerings on third-party clouds. The decrease in depreciation expense was primarily due to certain property, equipment and software reaching the end of its useful life for depreciation purposes and a decrease in our overall depreciable asset base as a result of the shift towards faster-growing, value-added service offerings which have significantly lower capital requirements than our legacy capital-intensive revenue streams. The increase in infrastructure expenses related to offerings on third-party clouds was due to growth in these offerings and the impact of an increased volume of larger, multi-year customer contracts which typically have a larger infrastructure component and lower margins. The remaining decrease in cost of revenue was driven by the execution of various initiatives in 2019 to lower our cost structure, such as consolidating data center facilities and optimizing our vendor license spending, which resulted in year-over-year decreases in these expenses. Personnel costs were largely flat as an increase in non-equity incentive compensation expense was offset by expense recorded in the prior year related to our obligations to settle share-based awards in connection with the Rackspace Acquisition.</w:t>
      </w:r>
    </w:p>
    <w:p>
      <w:pPr>
        <w:spacing w:after="0" w:line="195"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As a percentage of revenue, cost of revenue decreased 40 basis points in 2019 to 58.5% from 58.9% in 2018, driven by a 450 basis point decrease related to depreciation expense, partially offset by a 410 basis point increase largely related to infrastructure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5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consolidated gross profit was $1,011 million in 2019, an increase of $4 million from $1,007 million in 2018. Our Non-GAAP Gross Profit was $1,039 million in 2019, an increase of $10 million from $1,029 million in 2018. Non-GAAP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41.5% in 2019, an increase of 40 basis points from 41.1% in</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table below presents our segment non-GAAP gross profit and gross margin for the periods indicated, and the change in gross profit between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89"/>
              </w:rPr>
              <w:t>38.1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37.0 %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37.2 %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399"/>
              <w:spacing w:after="0"/>
              <w:rPr>
                <w:sz w:val="20"/>
                <w:szCs w:val="20"/>
                <w:color w:val="auto"/>
              </w:rPr>
            </w:pPr>
            <w:r>
              <w:rPr>
                <w:rFonts w:ascii="Arial" w:cs="Arial" w:eastAsia="Arial" w:hAnsi="Arial"/>
                <w:sz w:val="16"/>
                <w:szCs w:val="16"/>
                <w:color w:val="auto"/>
                <w:w w:val="89"/>
              </w:rPr>
              <w:t>11.4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w w:val="90"/>
              </w:rPr>
              <w:t>(39.0)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7"/>
        </w:trPr>
        <w:tc>
          <w:tcPr>
            <w:tcW w:w="406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1,028.9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1,039.4</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left="399"/>
              <w:spacing w:after="0"/>
              <w:rPr>
                <w:sz w:val="20"/>
                <w:szCs w:val="20"/>
                <w:color w:val="auto"/>
              </w:rPr>
            </w:pPr>
            <w:r>
              <w:rPr>
                <w:rFonts w:ascii="Arial" w:cs="Arial" w:eastAsia="Arial" w:hAnsi="Arial"/>
                <w:sz w:val="16"/>
                <w:szCs w:val="16"/>
                <w:color w:val="auto"/>
                <w:w w:val="89"/>
              </w:rPr>
              <w:t>10.5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1,007.1</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80" w:right="80" w:hanging="454"/>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45" w:lineRule="exact"/>
        <w:rPr>
          <w:rFonts w:ascii="Arial" w:cs="Arial" w:eastAsia="Arial" w:hAnsi="Arial"/>
          <w:sz w:val="16"/>
          <w:szCs w:val="16"/>
          <w:color w:val="auto"/>
        </w:rPr>
      </w:pPr>
    </w:p>
    <w:p>
      <w:pPr>
        <w:ind w:left="480" w:right="600" w:hanging="454"/>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23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Multicloud Services non-GAAP gross profit increased by 5% in 2019 from 2018. Segment non-GAAP gross profit as a percentage of segment revenue increased by 150 basis points, reflecting a 2% increase in segment revenue and a 1% decrease in segment cost of revenue. The decrease in costs reflects savings obtained as a result of lower personnel costs, reflecting our prior period integration and transformation efforts. The shift in capital intensity described above resulted in lower depreciation and data center costs, offset by higher third-party infrastructure costs.</w:t>
      </w:r>
    </w:p>
    <w:p>
      <w:pPr>
        <w:spacing w:after="0" w:line="198"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Apps &amp; Cross Platform non-GAAP gross profit increased 11% in 2019 from 2018. Segment non-GAAP gross profit as a percentage of segment revenue remained unchanged at 37%, reflecting proportional increases in segment revenue and cost of revenue. The increase in cost of revenue was driven by the segment’s higher business volume, reflecting the favorable full year impact of the RelationEdge acquisition.</w:t>
      </w:r>
    </w:p>
    <w:p>
      <w:pPr>
        <w:spacing w:after="0" w:line="19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OpenStack Public Cloud non-GAAP gross profit decreased 21% in 2019 from 2018 due to customer churn. Segment non-GAAP gross profit as a percentage of segment revenue remained unchanged at 51%, reflecting proportional decreases in revenue and costs.</w:t>
      </w:r>
    </w:p>
    <w:p>
      <w:pPr>
        <w:spacing w:after="0" w:line="19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aggregate amount of costs reflected in consolidated gross profit but excluded from segment non-GAAP gross profit was $28.2 million in 2019, an increase of $6.4 million from $21.8 million in 2018, reflecting higher restructuring and transformation costs that more than offset the decrease from cash-settled equity awards. For more information about our segment non-GAAP gross profit, see Item 8 of Part II, Financial Statements and Supplementary Data - Note 19,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Selling, general and administrative expenses decreased $38 million, or 4%, to $912 million in 2019 from $949 million in 2018. Contributing to this decrease was a decline in expenses for research and development activities as our business shifts towards providing cloud-centric, value-added services, such as our offerings on third-party clouds, application management and professional services that require fewer research and development activities to develop and support as compared to our historical, legacy offerings such as the OpenStack Public Cloud. Additionally, personnel costs declined in certain administrative functions due to a decrease in employee count driven, in part, by transformation and outsourcing initiatives. We also incurred lower expense related to our obligations to settle share-based awards in connection with the Rackspace Acquisition, a reduction in marketing activity spend and a decrease in expenses related to cost savings initiatives and closing and integrating our recent acquisitions. These decreases were partially offset by incremental amortization expense in 2019 related to sales commissions capitalized in accordance with ASC 606 and higher severance and share-based compensation expense.</w:t>
      </w:r>
    </w:p>
    <w:p>
      <w:pPr>
        <w:spacing w:after="0" w:line="20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As a percentage of revenue, selling, general and administrative expenses decreased 130 basis points, to 37.4% in 2019 from 38.7% in 2018, for the reasons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3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a result of our 2018 annual goodwill impairment test performed during the fourth quarter of 2018, we determined that the carrying amount of our Multicloud Services reporting unit, exceeded its fair value and recorded a goodwill impairment charge of $295 million. The impairment was driven by a significant decrease in forecasted revenue and cash flows and a lower long-term growth rate, as current and forecasted industry trends reflect lower demand for traditional managed hosting services. There was no such impairment in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w:t>
      </w:r>
    </w:p>
    <w:p>
      <w:pPr>
        <w:spacing w:after="0" w:line="239" w:lineRule="exact"/>
        <w:rPr>
          <w:sz w:val="20"/>
          <w:szCs w:val="20"/>
          <w:color w:val="auto"/>
        </w:rPr>
      </w:pPr>
    </w:p>
    <w:p>
      <w:pPr>
        <w:jc w:val="both"/>
        <w:ind w:right="580" w:firstLine="486"/>
        <w:spacing w:after="0" w:line="263" w:lineRule="auto"/>
        <w:rPr>
          <w:sz w:val="20"/>
          <w:szCs w:val="20"/>
          <w:color w:val="auto"/>
        </w:rPr>
      </w:pPr>
      <w:r>
        <w:rPr>
          <w:rFonts w:ascii="Arial" w:cs="Arial" w:eastAsia="Arial" w:hAnsi="Arial"/>
          <w:sz w:val="18"/>
          <w:szCs w:val="18"/>
          <w:color w:val="auto"/>
        </w:rPr>
        <w:t>In March 2019, we recorded a $2 million gain related to the payment of a promissory note receivable that was issued in conjunction with the divestiture of our Mailgun business in 2017. See Item 8 of Part II, Financial Statements and Supplementary Data - Note 14, "Divestitures</w:t>
      </w:r>
      <w:r>
        <w:rPr>
          <w:rFonts w:ascii="Arial" w:cs="Arial" w:eastAsia="Arial" w:hAnsi="Arial"/>
          <w:sz w:val="18"/>
          <w:szCs w:val="18"/>
          <w:b w:val="1"/>
          <w:bCs w:val="1"/>
          <w:color w:val="auto"/>
        </w:rPr>
        <w:t>,</w:t>
      </w:r>
      <w:r>
        <w:rPr>
          <w:rFonts w:ascii="Arial" w:cs="Arial" w:eastAsia="Arial" w:hAnsi="Arial"/>
          <w:sz w:val="18"/>
          <w:szCs w:val="18"/>
          <w:color w:val="auto"/>
        </w:rPr>
        <w:t>" included elsewhere in this Annual Report for more information on this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Interest expense increased $49 million to $330 million in 2019 from $281 million in 2018, primarily due to changes in the fair value of interest rate swaps, as further discussed in Item 8 of Part II, Financial Statements and Supplementary Data - Note 16, "Derivatives."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Investments, Net</w:t>
      </w:r>
    </w:p>
    <w:p>
      <w:pPr>
        <w:spacing w:after="0" w:line="239"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Gain on investments was $5 million in 2018 compared to $100 million in 2019, driven by a $97 million realized gain related to the sale of our CrowdStrike investment in 2019, as further discussed in Item 8 of Part II, Financial Statements and Supplementary Data - Note 6,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23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recorded a $1 million and $10 million gain on debt extinguishment in 2018 and 2019, respectively, related to the repurchase of $3 million and $77 million principal amount of our 8.625% Senior Notes in 2018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had $13 million of other income in 2018 compared to $3 million of other expense in 2019 primarily related to changes in the fair value of foreign currency derivatives, as further discussed in Item 8 of Part II, Financial Statements and Supplementary Data- Note 16, "Derivatives," and to a lesser extent, an increase in foreign currency transaction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39" w:lineRule="exact"/>
        <w:rPr>
          <w:sz w:val="20"/>
          <w:szCs w:val="20"/>
          <w:color w:val="auto"/>
        </w:rPr>
      </w:pPr>
    </w:p>
    <w:p>
      <w:pPr>
        <w:ind w:right="220" w:firstLine="486"/>
        <w:spacing w:after="0" w:line="243" w:lineRule="auto"/>
        <w:rPr>
          <w:sz w:val="20"/>
          <w:szCs w:val="20"/>
          <w:color w:val="auto"/>
        </w:rPr>
      </w:pPr>
      <w:r>
        <w:rPr>
          <w:rFonts w:ascii="Arial" w:cs="Arial" w:eastAsia="Arial" w:hAnsi="Arial"/>
          <w:sz w:val="18"/>
          <w:szCs w:val="18"/>
          <w:color w:val="auto"/>
        </w:rPr>
        <w:t>Our income tax benefit decreased by $10 million to $20 million in 2019 from $30 million in 2018. Our effective tax rate increased from 6.0% in 2018 to 16.4% in 2019. The effective tax rate for 2019 was impacted by the current year global intangible low-taxed income (“GILTI”) inclusion, the impact of changes in income tax rates, changes in valuation allowances, research and development credits, changes to income tax reserves and other permanently nondeductible items.</w:t>
      </w:r>
    </w:p>
    <w:p>
      <w:pPr>
        <w:spacing w:after="0" w:line="215"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benefit for income taxes, see Item 8 of Part II, Financial Statements and Supplementary Data - Note 13, "Taxes."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240" w:type="dxa"/>
            <w:vAlign w:val="bottom"/>
          </w:tcPr>
          <w:p>
            <w:pPr>
              <w:spacing w:after="0"/>
              <w:rPr>
                <w:sz w:val="16"/>
                <w:szCs w:val="16"/>
                <w:color w:val="auto"/>
              </w:rPr>
            </w:pPr>
          </w:p>
        </w:tc>
        <w:tc>
          <w:tcPr>
            <w:tcW w:w="4120" w:type="dxa"/>
            <w:vAlign w:val="bottom"/>
            <w:gridSpan w:val="12"/>
            <w:vMerge w:val="restart"/>
          </w:tcPr>
          <w:p>
            <w:pPr>
              <w:ind w:left="860"/>
              <w:spacing w:after="0"/>
              <w:rPr>
                <w:sz w:val="20"/>
                <w:szCs w:val="20"/>
                <w:color w:val="auto"/>
              </w:rPr>
            </w:pPr>
            <w:r>
              <w:rPr>
                <w:rFonts w:ascii="Arial" w:cs="Arial" w:eastAsia="Arial" w:hAnsi="Arial"/>
                <w:sz w:val="16"/>
                <w:szCs w:val="16"/>
                <w:b w:val="1"/>
                <w:bCs w:val="1"/>
                <w:color w:val="auto"/>
              </w:rPr>
              <w:t>Year Ended December 31, 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vMerge w:val="restart"/>
          </w:tcPr>
          <w:p>
            <w:pPr>
              <w:jc w:val="right"/>
              <w:ind w:right="11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December 31, 2019</w:t>
            </w:r>
          </w:p>
        </w:tc>
        <w:tc>
          <w:tcPr>
            <w:tcW w:w="12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1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6"/>
              </w:rPr>
              <w:t>Revenue</w:t>
            </w:r>
          </w:p>
        </w:tc>
        <w:tc>
          <w:tcPr>
            <w:tcW w:w="120" w:type="dxa"/>
            <w:vAlign w:val="bottom"/>
            <w:gridSpan w:val="2"/>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Revenue 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Actual</w:t>
            </w:r>
          </w:p>
        </w:tc>
        <w:tc>
          <w:tcPr>
            <w:tcW w:w="100" w:type="dxa"/>
            <w:vAlign w:val="bottom"/>
            <w:gridSpan w:val="2"/>
            <w:vMerge w:val="restart"/>
          </w:tcPr>
          <w:p>
            <w:pPr>
              <w:spacing w:after="0"/>
              <w:rPr>
                <w:sz w:val="13"/>
                <w:szCs w:val="13"/>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8"/>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2,141.5</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2,139.7</w:t>
            </w:r>
          </w:p>
        </w:tc>
        <w:tc>
          <w:tcPr>
            <w:tcW w:w="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16.9 %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336.5</w:t>
            </w:r>
          </w:p>
        </w:tc>
        <w:tc>
          <w:tcPr>
            <w:tcW w:w="4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5.4 %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40" w:type="dxa"/>
            <w:vAlign w:val="bottom"/>
            <w:tcBorders>
              <w:bottom w:val="single" w:sz="8" w:color="auto"/>
            </w:tcBorders>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2,438.1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2,707.1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3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2,705.0</w:t>
            </w:r>
          </w:p>
        </w:tc>
        <w:tc>
          <w:tcPr>
            <w:tcW w:w="4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11.0 %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24"/>
                <w:szCs w:val="24"/>
                <w:color w:val="auto"/>
              </w:rPr>
            </w:pPr>
          </w:p>
        </w:tc>
        <w:tc>
          <w:tcPr>
            <w:tcW w:w="3000" w:type="dxa"/>
            <w:vAlign w:val="bottom"/>
            <w:gridSpan w:val="10"/>
            <w:vMerge w:val="restart"/>
          </w:tcPr>
          <w:p>
            <w:pPr>
              <w:jc w:val="center"/>
              <w:ind w:left="759"/>
              <w:spacing w:after="0"/>
              <w:rPr>
                <w:sz w:val="20"/>
                <w:szCs w:val="20"/>
                <w:color w:val="auto"/>
              </w:rPr>
            </w:pPr>
            <w:r>
              <w:rPr>
                <w:rFonts w:ascii="Arial" w:cs="Arial" w:eastAsia="Arial" w:hAnsi="Arial"/>
                <w:sz w:val="16"/>
                <w:szCs w:val="16"/>
                <w:b w:val="1"/>
                <w:bCs w:val="1"/>
                <w:color w:val="auto"/>
                <w:w w:val="91"/>
              </w:rPr>
              <w:t>Year Ended December 31, 2019</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5"/>
            <w:vMerge w:val="restart"/>
          </w:tcPr>
          <w:p>
            <w:pPr>
              <w:jc w:val="right"/>
              <w:ind w:right="1019"/>
              <w:spacing w:after="0"/>
              <w:rPr>
                <w:sz w:val="20"/>
                <w:szCs w:val="20"/>
                <w:color w:val="auto"/>
              </w:rPr>
            </w:pPr>
            <w:r>
              <w:rPr>
                <w:rFonts w:ascii="Arial" w:cs="Arial" w:eastAsia="Arial" w:hAnsi="Arial"/>
                <w:sz w:val="16"/>
                <w:szCs w:val="16"/>
                <w:b w:val="1"/>
                <w:bCs w:val="1"/>
                <w:color w:val="auto"/>
              </w:rPr>
              <w:t>% 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10"/>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Revenue</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right="6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w w:val="88"/>
              </w:rPr>
              <w:t>Revenue in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gridSpan w:val="2"/>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4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1"/>
              </w:rPr>
              <w:t>Constant Currency</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1,832.6</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1,851.0</w:t>
            </w: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320.3</w:t>
            </w:r>
          </w:p>
        </w:tc>
        <w:tc>
          <w:tcPr>
            <w:tcW w:w="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10.1 %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2,452.8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2,438.1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c>
          <w:tcPr>
            <w:tcW w:w="2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2,460.3</w:t>
            </w:r>
          </w:p>
        </w:tc>
        <w:tc>
          <w:tcPr>
            <w:tcW w:w="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60" w:hanging="534"/>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39" w:lineRule="exact"/>
        <w:rPr>
          <w:sz w:val="20"/>
          <w:szCs w:val="20"/>
          <w:color w:val="auto"/>
        </w:rPr>
      </w:pPr>
    </w:p>
    <w:p>
      <w:pPr>
        <w:ind w:right="20" w:firstLine="486"/>
        <w:spacing w:after="0" w:line="259" w:lineRule="auto"/>
        <w:rPr>
          <w:sz w:val="20"/>
          <w:szCs w:val="20"/>
          <w:color w:val="auto"/>
        </w:rPr>
      </w:pPr>
      <w:r>
        <w:rPr>
          <w:rFonts w:ascii="Arial" w:cs="Arial" w:eastAsia="Arial" w:hAnsi="Arial"/>
          <w:sz w:val="17"/>
          <w:szCs w:val="17"/>
          <w:color w:val="auto"/>
        </w:rPr>
        <w:t>Our principal measure of segment profitability is segment non-GAAP gross profit. We also present Non-GAAP Gross Profit in this MD&amp;A, which is the aggregate of segment non-GAAP gross profit,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our Non-GAAP Gross Profit to our total consolidated gross profit, see “G</w:t>
      </w:r>
      <w:r>
        <w:rPr>
          <w:rFonts w:ascii="Arial" w:cs="Arial" w:eastAsia="Arial" w:hAnsi="Arial"/>
          <w:sz w:val="17"/>
          <w:szCs w:val="17"/>
          <w:i w:val="1"/>
          <w:iCs w:val="1"/>
          <w:color w:val="auto"/>
        </w:rPr>
        <w:t>ross Profit and Non-GAAP Gross Profit</w:t>
      </w:r>
      <w:r>
        <w:rPr>
          <w:rFonts w:ascii="Arial" w:cs="Arial" w:eastAsia="Arial" w:hAnsi="Arial"/>
          <w:sz w:val="17"/>
          <w:szCs w:val="17"/>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3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are also may not be indicative of, or related to, our core operating results.</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Non-GAAP Net Income (Loss) as net income (loss)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1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define Non-GAAP Operating Profit as net income (loss), plus interest expense and income taxes, further adjusted to exclude the impact of non-cash charges for share-based compensation and cash charges related to the settlement of our Predecessor’s equity plan, transaction-related costs and adjustments, restructuring and transformation charges, management fees, the amortization of acquired intangible assets and certain other non-operating, non-recurring or non-core gains and losses.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define Adjusted EBITDA as Non-GAAP Operating Profit plus depreciation and amortization.</w:t>
      </w:r>
    </w:p>
    <w:p>
      <w:pPr>
        <w:spacing w:after="0" w:line="25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Non-GAAP Operating Profit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21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following table presents a reconciliation of Non-GAAP Net Income (Loss), Non-GAAP Operating Profit and Adjusted EBITDA to our net loss for the periods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Cash settled equity and special bonuses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gain on divestiture and investments </w:t>
            </w:r>
            <w:r>
              <w:rPr>
                <w:rFonts w:ascii="Arial" w:cs="Arial" w:eastAsia="Arial" w:hAnsi="Arial"/>
                <w:sz w:val="21"/>
                <w:szCs w:val="21"/>
                <w:color w:val="auto"/>
                <w:vertAlign w:val="superscript"/>
              </w:rPr>
              <w:t>(e)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(gain) loss on extinguishment of debt </w:t>
            </w:r>
            <w:r>
              <w:rPr>
                <w:rFonts w:ascii="Arial" w:cs="Arial" w:eastAsia="Arial" w:hAnsi="Arial"/>
                <w:sz w:val="21"/>
                <w:szCs w:val="21"/>
                <w:color w:val="auto"/>
                <w:vertAlign w:val="superscript"/>
              </w:rPr>
              <w:t>(f)</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16"/>
        </w:trPr>
        <w:tc>
          <w:tcPr>
            <w:tcW w:w="6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(g)</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r>
      <w:tr>
        <w:trPr>
          <w:trHeight w:val="210"/>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Net Income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268.4</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r>
      <w:tr>
        <w:trPr>
          <w:trHeight w:val="210"/>
        </w:trPr>
        <w:tc>
          <w:tcPr>
            <w:tcW w:w="6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466.2</w:t>
            </w: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r>
      <w:tr>
        <w:trPr>
          <w:trHeight w:val="209"/>
        </w:trPr>
        <w:tc>
          <w:tcPr>
            <w:tcW w:w="624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815.8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742.8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762.8</w:t>
            </w:r>
          </w:p>
        </w:tc>
      </w:tr>
      <w:tr>
        <w:trPr>
          <w:trHeight w:val="21"/>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480" w:right="220" w:hanging="339"/>
        <w:spacing w:after="0" w:line="238"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expense related to the cash settlement of unvested equity awards that were outstanding at the consummation of the Rackspace Acquisition (amounting to $26 million and $3 million for the years ended December 31, 2018 and 2019 and zero for 2020), retention bonuses, mainly relating to restructuring and integration projects, and, beginning in 2019, senior executive signing bonuses and relocation costs. The year ended December 31, 2020 also includes $13 million for one-time cash bonuses related to successful completion of the IPO.</w:t>
      </w:r>
    </w:p>
    <w:p>
      <w:pPr>
        <w:spacing w:after="0" w:line="26" w:lineRule="exact"/>
        <w:rPr>
          <w:rFonts w:ascii="Arial" w:cs="Arial" w:eastAsia="Arial" w:hAnsi="Arial"/>
          <w:sz w:val="16"/>
          <w:szCs w:val="16"/>
          <w:color w:val="auto"/>
        </w:rPr>
      </w:pPr>
    </w:p>
    <w:p>
      <w:pPr>
        <w:ind w:left="480" w:right="160" w:hanging="344"/>
        <w:spacing w:after="0" w:line="238"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the acquisitions of RelationEdge in 2018 and Onica in the fourth quarter of 2019 and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26" w:lineRule="exact"/>
        <w:rPr>
          <w:rFonts w:ascii="Arial" w:cs="Arial" w:eastAsia="Arial" w:hAnsi="Arial"/>
          <w:sz w:val="16"/>
          <w:szCs w:val="16"/>
          <w:color w:val="auto"/>
        </w:rPr>
      </w:pPr>
    </w:p>
    <w:p>
      <w:pPr>
        <w:ind w:left="480" w:right="300" w:hanging="339"/>
        <w:spacing w:after="0" w:line="243"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spacing w:after="0" w:line="21" w:lineRule="exact"/>
        <w:rPr>
          <w:rFonts w:ascii="Arial" w:cs="Arial" w:eastAsia="Arial" w:hAnsi="Arial"/>
          <w:sz w:val="16"/>
          <w:szCs w:val="16"/>
          <w:color w:val="auto"/>
        </w:rPr>
      </w:pPr>
    </w:p>
    <w:p>
      <w:pPr>
        <w:ind w:left="480" w:right="60" w:hanging="344"/>
        <w:spacing w:after="0" w:line="258"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9" w:lineRule="exact"/>
        <w:rPr>
          <w:rFonts w:ascii="Arial" w:cs="Arial" w:eastAsia="Arial" w:hAnsi="Arial"/>
          <w:sz w:val="16"/>
          <w:szCs w:val="16"/>
          <w:color w:val="auto"/>
        </w:rPr>
      </w:pPr>
    </w:p>
    <w:p>
      <w:pPr>
        <w:ind w:left="480" w:hanging="339"/>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 including our investment in CrowdStrike realized in 2019.</w:t>
      </w:r>
    </w:p>
    <w:p>
      <w:pPr>
        <w:spacing w:after="0" w:line="45" w:lineRule="exact"/>
        <w:rPr>
          <w:rFonts w:ascii="Arial" w:cs="Arial" w:eastAsia="Arial" w:hAnsi="Arial"/>
          <w:sz w:val="16"/>
          <w:szCs w:val="16"/>
          <w:color w:val="auto"/>
        </w:rPr>
      </w:pPr>
    </w:p>
    <w:p>
      <w:pPr>
        <w:ind w:left="480" w:hanging="33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gains and losses on our repurchases of 8.625% Senior Notes.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46" w:lineRule="exact"/>
        <w:rPr>
          <w:sz w:val="20"/>
          <w:szCs w:val="20"/>
          <w:color w:val="auto"/>
        </w:rPr>
      </w:pPr>
    </w:p>
    <w:p>
      <w:pPr>
        <w:ind w:left="480" w:right="260" w:hanging="326"/>
        <w:spacing w:after="0" w:line="252" w:lineRule="auto"/>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For 2018, 2019 and 2020, we used a structural non-GAAP tax rate of 27%, 26% and 26%, respectively, which reflects the removal of the tax effect of non-GAAP pre-tax adjustments and non-recurring tax adjustments on a year-over-year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00" w:lineRule="exact"/>
        <w:rPr>
          <w:rFonts w:ascii="Arial" w:cs="Arial" w:eastAsia="Arial" w:hAnsi="Arial"/>
          <w:sz w:val="15"/>
          <w:szCs w:val="15"/>
          <w:color w:val="auto"/>
        </w:rPr>
      </w:pPr>
    </w:p>
    <w:p>
      <w:pPr>
        <w:spacing w:after="0" w:line="390" w:lineRule="exact"/>
        <w:rPr>
          <w:rFonts w:ascii="Arial" w:cs="Arial" w:eastAsia="Arial" w:hAnsi="Arial"/>
          <w:sz w:val="15"/>
          <w:szCs w:val="15"/>
          <w:color w:val="auto"/>
        </w:rPr>
      </w:pPr>
    </w:p>
    <w:p>
      <w:pPr>
        <w:ind w:left="5540" w:hanging="111"/>
        <w:spacing w:after="0"/>
        <w:tabs>
          <w:tab w:leader="none" w:pos="5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Per Share (EPS)</w:t>
      </w:r>
    </w:p>
    <w:p>
      <w:pPr>
        <w:spacing w:after="0" w:line="25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define Non-GAAP EPS as Non-GAAP Net Income divided by our GAAP average number of shares outstanding for the period on a diluted basis, after giving effect to the twelve-for-one stock split that was approved and effected on July 20, 2020 (the "Stock Split"), and further adjusted for the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55"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151.3</w:t>
            </w:r>
          </w:p>
        </w:tc>
      </w:tr>
      <w:tr>
        <w:trPr>
          <w:trHeight w:val="219"/>
        </w:trPr>
        <w:tc>
          <w:tcPr>
            <w:tcW w:w="7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19"/>
        </w:trPr>
        <w:tc>
          <w:tcPr>
            <w:tcW w:w="79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796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(0.62)</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79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7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35"/>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60" w:hanging="454"/>
        <w:spacing w:after="0" w:line="235" w:lineRule="auto"/>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or purchase under the ESPP, as well as contingent shares associated with our acquisition of Datapipe Parent, Inc. Certain of our potential common share equivalents are contingent on Apollo achieving pre-established performance targets based on a multiple of their invested capital ("MOIC"), which are included in the denominator for the entire period if such shares would be issuable as of the end of the reporting period assuming the end of the reporting period was the end of the contingency period.</w:t>
      </w:r>
    </w:p>
    <w:p>
      <w:pPr>
        <w:spacing w:after="0" w:line="26" w:lineRule="exact"/>
        <w:rPr>
          <w:rFonts w:ascii="Arial" w:cs="Arial" w:eastAsia="Arial" w:hAnsi="Arial"/>
          <w:sz w:val="16"/>
          <w:szCs w:val="16"/>
          <w:color w:val="auto"/>
        </w:rPr>
      </w:pPr>
    </w:p>
    <w:p>
      <w:pPr>
        <w:ind w:left="480" w:right="260" w:hanging="454"/>
        <w:spacing w:after="0" w:line="258" w:lineRule="auto"/>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hanging="111"/>
        <w:spacing w:after="0"/>
        <w:tabs>
          <w:tab w:leader="none" w:pos="5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our Revolving Credit Facility or Receivables Financing Facility. As of December 31, 2020, the Revolving Credit Facility provided for up to $375 million of borrowings, none of which was drawn as of December 31, 2020. As of December 31, 2020, $65 million was borrowed and outstanding under the Receivables Financing Facility. Of this balance, approximately $15 million was classified as current debt due to a borrowing base deficit under the facility subsequent to December 31, 2020. The amount of incremental borrowing capacity available under the Receivables Financing Facility fluctuates based on the eligibility of receivables held at a given time.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the Receivables Financing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19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Indentures, if applicable), for cash or other consideration.</w:t>
      </w:r>
    </w:p>
    <w:p>
      <w:pPr>
        <w:spacing w:after="0" w:line="21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August 7, 2020, we completed the IPO, in which we issued and sold 33,500,000 shares of our common stock at a public offering price of $21.00 per share. We received net proceeds of $667 million from sales of shares in the IPO, after deducting underwriters' discounts and commissions of</w:t>
      </w:r>
    </w:p>
    <w:p>
      <w:pPr>
        <w:jc w:val="both"/>
        <w:spacing w:after="0" w:line="255" w:lineRule="auto"/>
        <w:rPr>
          <w:sz w:val="20"/>
          <w:szCs w:val="20"/>
          <w:color w:val="auto"/>
        </w:rPr>
      </w:pPr>
      <w:r>
        <w:rPr>
          <w:rFonts w:ascii="Arial" w:cs="Arial" w:eastAsia="Arial" w:hAnsi="Arial"/>
          <w:sz w:val="18"/>
          <w:szCs w:val="18"/>
          <w:color w:val="auto"/>
        </w:rPr>
        <w:t>$37 million, but before deducting offering expenses of $9 million. We used a portion of the net proceeds from the IPO to repurchase $601 million aggregate principal amount of the 8.625% Senior Notes for aggregate cash of $647 million, including related premiums, fees and expenses. The remaining amount of net proceeds will be used for general corporate purposes.</w:t>
      </w:r>
    </w:p>
    <w:p>
      <w:pPr>
        <w:spacing w:after="0" w:line="217"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On December 1, 2020 we issued $550 million aggregate principal amount of the 5.375% Senior Notes and used a portion of the proceeds to repurchase $259 million aggregate principal amount of the 8.625% Senior Notes and pay related premiums, fees and expenses. On December 16, 2020, we used the remaining net proceeds from the issuance of the 5.375% Senior Notes, together with cash on hand, to redeem and cancel the remaining $260 million aggregate principal amount of outstanding 8.625% Senior Notes and paid related premiums, fees and expenses. See “</w:t>
      </w:r>
      <w:r>
        <w:rPr>
          <w:rFonts w:ascii="Arial" w:cs="Arial" w:eastAsia="Arial" w:hAnsi="Arial"/>
          <w:sz w:val="16"/>
          <w:szCs w:val="16"/>
          <w:i w:val="1"/>
          <w:iCs w:val="1"/>
          <w:color w:val="auto"/>
        </w:rPr>
        <w:t>8.625% Senior Notes</w:t>
      </w:r>
      <w:r>
        <w:rPr>
          <w:rFonts w:ascii="Arial" w:cs="Arial" w:eastAsia="Arial" w:hAnsi="Arial"/>
          <w:sz w:val="16"/>
          <w:szCs w:val="16"/>
          <w:color w:val="auto"/>
        </w:rPr>
        <w:t>” and "</w:t>
      </w:r>
      <w:r>
        <w:rPr>
          <w:rFonts w:ascii="Arial" w:cs="Arial" w:eastAsia="Arial" w:hAnsi="Arial"/>
          <w:sz w:val="16"/>
          <w:szCs w:val="16"/>
          <w:i w:val="1"/>
          <w:iCs w:val="1"/>
          <w:color w:val="auto"/>
        </w:rPr>
        <w:t>5.375% Senior Notes</w:t>
      </w:r>
      <w:r>
        <w:rPr>
          <w:rFonts w:ascii="Arial" w:cs="Arial" w:eastAsia="Arial" w:hAnsi="Arial"/>
          <w:sz w:val="16"/>
          <w:szCs w:val="16"/>
          <w:color w:val="auto"/>
        </w:rPr>
        <w:t>" below for more information on repurchases and issuances of debt completed during the year ended December 31, 2020.</w:t>
      </w:r>
    </w:p>
    <w:p>
      <w:pPr>
        <w:spacing w:after="0" w:line="18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December 31, 2020, we held $105 million in cash and cash equivalents (not including $3 million in restricted cash, which is included in "Other non-current assets"), of which $69 million was held by foreign entities.</w:t>
      </w:r>
    </w:p>
    <w:p>
      <w:pPr>
        <w:spacing w:after="0" w:line="19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have entered into installment payment arrangements with certain equipment and software vendors, along with sale-leaseback arrangements for equipment and certain property leases that are considered financing obligations. We had $123 million outstanding with respect to these arrangements as of December 31, 2020. We may choose to utilize these various sources of funding in future periods. Refer to Item 8 of Part II, Financial Statements and Supplementary Data - Note 9, "Financing Obligations" for more information regarding financing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also lease certain equipment and real estate under operating and finance lease agreements. In June 2020, we entered into lease amendments for two of our data centers to, among other items, extend the lease term. Both lease amendments were deemed a lease modification, which resulted in a change of classification from operating leases to finance leases of $220 million. We had $579 million outstanding with respect to operating and finance lease agreements as of December 31, 2020. We may choose to utilize such leasing arrangements in future periods. Refer to Item 8 of Part II, Financial Statements and Supplementary Data - Note 8, "Leases" for more information regarding our operating and finance leases.</w:t>
      </w:r>
    </w:p>
    <w:p>
      <w:pPr>
        <w:spacing w:after="0" w:line="203"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As of December 31, 2020, we had $3,346 million aggregate principal amount outstanding under our Term Loan Facility and 5.375% Senior Notes, with $375 million of borrowing capacity available under the Revolving Credit Facility. Additionally, at December 31, 2020, we had $65 million principal outstanding under the Receivables Financing Facility. Our liquidity requirements are significant, primarily due to debt service requirements.</w:t>
      </w:r>
    </w:p>
    <w:p>
      <w:pPr>
        <w:spacing w:after="0" w:line="176"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On February 9, 2021, we issued $550.0 million of 3.50% Senior Secured Notes that will mature on February 15, 2028 and bear interest at a fixed rate of 3.50% per year, payable semi-annually on each February 15 and August 15 through maturity. The 3.50% Senior Secured Notes are not subject to registration rights.</w:t>
      </w:r>
    </w:p>
    <w:p>
      <w:pPr>
        <w:spacing w:after="0" w:line="211"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On February 9, 2021, we amended and restated the First Lien Credit Agreement, which included a new seven-year $2,300.0 million senior secured first lien term loan facility (the "New Term Loan Facility") and the Revolving Credit Facility. We borrowed the entire $2,300.0 million New Term Loan Facility and used the borrowings under the New Term Loan Facility, together with the proceeds from the issuance of the 3.50% Senior Secured Notes described above, to repay all borrowings under our existing Term Loan Facility, to pay related fees and expenses and for general corporate purposes. The New Term Loan Facility will mature on February 15, 2028. We may request one or more incremental term loan facilities up to a specified dollar amount plus additional amounts, subject to compliance with applicable leverage ratios and certain terms and conditions.</w:t>
      </w:r>
    </w:p>
    <w:p>
      <w:pPr>
        <w:spacing w:after="0" w:line="20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Borrowings under the New Term Loan Facility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or (b) a base rate determined by reference to the highest of (i) the federal funds rate plus 0.50%, (ii) the prime rate of Citibank, N.A. and (iii) the one-month adjusted LIBOR plus 1.00%. The applicable margin for the New Term Loan Facility is 2.75% for LIBOR loans and 1.75% for base rate loans. Interest is due at the end of each interest period elected, not exceeding 90 days, for LIBOR loans and at the end of every calendar quarter for base rate loans.</w:t>
      </w:r>
    </w:p>
    <w:p>
      <w:pPr>
        <w:spacing w:after="0" w:line="219"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Beginning June 30, 2021, we will also be required to make quarterly amortization payments on the New Term Loan Facility in an annual amount equal to 1.0% of the original principal amount of the New Term Loan Facility, with the balance due at maturity on February 15, 2028.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Facilities</w:t>
      </w:r>
    </w:p>
    <w:p>
      <w:pPr>
        <w:spacing w:after="0" w:line="252"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On November 3, 2016, in conjunction with the Rackspace Acquisition, we entered into the First Lien Credit Agreement with Citibank, N.A. (“Citi”) as the administrative agent. The Senior Facilities originally included the Term Loan Facility in the amount of $2,000 million, which was fully drawn at closing of the Rackspace Acquisition, and an undrawn Revolving Credit Facility of $225 million (together, the "Senior Facilities"). We may request additional Revolving Credit Facility commitments, and had the right to request additional Term Loan Facility commitments, in each case, up to a specified dollar amount plus additional amounts, subject to compliance with applicable leverage ratios and certain terms and conditions. The proceeds of the Term Loan Facility were used to partially finance the Rackspace Acquisition. The Term Loan Facility was set to mature on November 3, 2023 and the Revolving Credit Facility was originally set to mature on November 3, 2021. On August 7, 2020, we increased the size of the Revolving Credit Facility to $375 million from $225 million and extended the maturity date of the Revolving Credit Facility to August 7, 2025.</w:t>
      </w:r>
    </w:p>
    <w:p>
      <w:pPr>
        <w:spacing w:after="0" w:line="20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On June 21, 2017, we amended the terms of the First Lien Credit Agreement to reprice the Term Loan Facility, decreasing the applicable margin to 3.00% for “LIBOR” loans and 2.00% for base rate loans. We also raised an additional $100 million of incremental borrowings under the Term Loan Facility on the same terms as the repriced Term Loan Facility. The proceeds of the $100 million incremental term loans were used for general corporate purposes, including permitted acquisitions, capital expenditures and transaction costs.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On November 15, 2017, in connection with the Datapipe Acquisition, we raised an additional $800 million of incremental borrowings under the Term Loan Facility. The proceeds of the $800 million incremental term loans were used to finance a portion of the Datapipe Acquisition, repay certain of Datapipe’s existing debt obligations and pay related fees and expenses.</w:t>
      </w:r>
    </w:p>
    <w:p>
      <w:pPr>
        <w:spacing w:after="0" w:line="21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1.00% floor in the case of the Term Loan Facility (and, effective upon August 7, 2020, also in the case of the Revolving Credit Facility), or (b) a base rate determined by reference to the highest of (i) the federal funds rate plus 0.50%, (ii) the prime rate of Citi and (iii) the one-month adjusted LIBOR plus 1.00%. Interest is due at the end of each interest period elected, not exceeding 90 days, for LIBOR loans and at the end of every calendar quarter for base rate loans. We were required to make quarterly amortization payments on the Term Loan Facility in an annual amount equal to 1.0% of the original principal amount, including incremental borrowings since the Rackspace Acquisition, or $7 million per quarter, with the balance due at maturity.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2020, the interest rate on the Term Loan Facility was 4.00%, and the outstanding principal balance was $2,796 million.</w:t>
      </w:r>
    </w:p>
    <w:p>
      <w:pPr>
        <w:spacing w:after="0" w:line="26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Revolving Credit Facility has historically had an applicable margin of 4.00% for LIBOR loans and 3.00% for base rate loans and is subject to step-downs based on the net first lien leverage ratio. In connection with the amendment to the First Lien Credit Agreement, on August 7, 2020, we reduced the applicable margin for the Revolving Credit Facility to 3.00% for LIBOR loans and 2.00% for base rate loans, with a 1.00% LIBOR “floor” applicable to LIBOR loans. The Revolving Credit Facility also includes a commitment fee equal to 0.50% per annum in respect of the unused commitments that is due quarterly. This fee is subject to one step-down based on the net first lien leverage ratio. The amendment on August 7, 2020 also extended the maturity date with respect to the Revolving Credit Facility from November 3, 2021 to August 7, 2025.</w:t>
      </w:r>
    </w:p>
    <w:p>
      <w:pPr>
        <w:spacing w:after="0" w:line="20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addition to the quarterly amortization payments discussed above, our Senior Facilities require us to make certain mandatory prepayments, including using (i) a portion of annual excess cash flow, as defined in the First Lien Credit Agreement, to prepay the New Term Loan Facility, (ii) net cash proceeds of certain non-ordinary assets sales or dispositions of property to prepay the New Term Loan Facility and (iii) net cash proceeds of any issuance or incurrence of debt not permitted under the Senior Facilities to prepay the New Term Loan Facility. We can make voluntary prepayments at any time without penalty, subject to customary breakage costs.</w:t>
      </w:r>
    </w:p>
    <w:p>
      <w:pPr>
        <w:spacing w:after="0" w:line="21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Item 8 of Part II, Financial Statements and Supplementary Data - Note 16, "Derivatives" for more information on the interest rate swap agreements.</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Over the course of 2020, we borrowed and repaid an aggregate $245 million under the Revolving Credit Facility. As of December 31, 2020, we had no outstanding borrowings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w:t>
      </w:r>
    </w:p>
    <w:p>
      <w:pPr>
        <w:spacing w:after="0" w:line="252"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On November 3, 2016, in conjunction with the Rackspace Acquisition, we completed the issuance of $1,200 million aggregate principal amount of 8.625% Senior Notes to qualified institutional buyers pursuant to Rule 144A under the Securities Act and outside the United States to non-U.S. persons pursuant to Regulation S under the Securities Act. The 8.625% Senior Notes were set to mature on November 15, 2024 and bore interest at a fixed rate of 8.625% per year, payable semi-annually on each May 15 and November 15 through maturity. The proceeds of the 8.625% Senior Notes were used to partially finance the Rackspace Acquisition. The 8.625% Senior Notes were not subject to registration rights.</w:t>
      </w:r>
    </w:p>
    <w:p>
      <w:pPr>
        <w:spacing w:after="0" w:line="203"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In December 2018, we repurchased and surrendered for cancellation $3 million aggregate principal amount of 8.625% Senior Notes for $2 million, including accrued interest and excluding related fees and expenses. During 2019, we repurchased and surrendered for cancellation $77 million aggregate principal amount of 8.625% Senior Notes for $67 million, including accrued interest of $1 million and excluding related fees and expenses.</w:t>
      </w:r>
    </w:p>
    <w:p>
      <w:pPr>
        <w:spacing w:after="0" w:line="176"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Between August and December 2020, Rackspace Technology Global repurchased or redeemed and cancelled the remaining aggregate principal amount of the $1,120 million outstanding 8.625% Senior Notes and paid related premiums, fees and accrued and unpaid interest for aggregate cash of $1,192 million.</w:t>
      </w:r>
    </w:p>
    <w:p>
      <w:pPr>
        <w:spacing w:after="0" w:line="21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funded the repurchases and redemptions with proceeds from the IPO and the issuance of the 5.375% Senior Notes. As of December 31, 2020, no 8.625% Senior Notes remained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w:t>
      </w:r>
    </w:p>
    <w:p>
      <w:pPr>
        <w:spacing w:after="0" w:line="252"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proceeds of the 5.375% Senior Notes were used to fund the repurchase or redemption of all of our outstanding 8.625% Senior Notes and to pay related fees and expenses. The 5.375% Senior Notes are not subject to registration rights.</w:t>
      </w:r>
    </w:p>
    <w:p>
      <w:pPr>
        <w:spacing w:after="0" w:line="18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to the extent of the collateral securing the Senior Facilities. The 5.375% Indenture describes certain terms and conditions under which other current and future domestic subsidiaries are required to become guarantors of the 5.375% Senior Notes.</w:t>
      </w:r>
    </w:p>
    <w:p>
      <w:pPr>
        <w:spacing w:after="0" w:line="21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Indenture and accrued and unpaid interest, if any, to but excluding the redemption date; from December 1, 2023 to December 1, 2024, at a redemption price equal to 102.688% of the principal amount, plus accrued and unpaid interest, if any, to but excluding the redemption date; from December 1, 2024 to December 1,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up to 40%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$550 million aggregate principal amount of the 5.375% Senior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New Term Loan Facility is not subject to a financial maintenance covenant. As of December 31, 2020, our Revolving Credit Facility included a financial maintenance covenant that limits the borrower's net first lien leverage ratio to a maximum of 5.00 to 1.00. This ratio was modified from the historical 3.50 to 1.00 ratio on August 7, 2020 in the amendment of the First Lien Credit Agreement.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0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Indentures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w:t>
      </w:r>
    </w:p>
    <w:p>
      <w:pPr>
        <w:spacing w:after="0" w:line="21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we were in compliance with all covenants under the Senior Facilities and the 5.375%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Financing Facility</w:t>
      </w:r>
    </w:p>
    <w:p>
      <w:pPr>
        <w:spacing w:after="0" w:line="25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On March 19, 2020, Rackspace US, Inc. (“Rackspace US”), a Delaware corporation and our wholly-owned indirect subsidiary, entered into the Receivables Financing Facility. Under the Receivables Financing Facility, (i) certain of our subsidiaries sell or otherwise convey certain trade receivables and related rights (the “Conveyed Receivables”) to Rackspace US and (ii) Rackspace US then sells, contributes or otherwise conveys certain Conveyed Receivables to our wholly owned bankruptcy-remote subsidiary (the “SPV”).</w:t>
      </w:r>
    </w:p>
    <w:p>
      <w:pPr>
        <w:spacing w:after="0" w:line="214"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The SPV may thereafter make borrowings from the lenders under the Receivables Financing Facility, which borrowings will be secured by the Conveyed Receivables. An affiliate of the administrative agent under the Receivables Financing Facility, in its capacity as a lender, has committed an amount up to $100 million under the Receivables Financing Facility. Rackspace US services and administers the Conveyed Receivables on behalf of the SPV. Rackspace Technology Global provides a performance guaranty to the administrative agent on behalf of the secured parties in respect of the obligations of the subsidiaries originating the receivables and Rackspace US, as servicer, including, without limitation, obligations to pay the purchase price and indemnity obligations.</w:t>
      </w:r>
    </w:p>
    <w:p>
      <w:pPr>
        <w:spacing w:after="0" w:line="21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scheduled termination date of the Receivables Financing Facility is March 21, 2022, subject to earlier termination due to a termination event described in the agreement governing the Receivables Financing Facility.</w:t>
      </w:r>
    </w:p>
    <w:p>
      <w:pPr>
        <w:spacing w:after="0" w:line="19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Advances bear interest based on an index rate plus a margin. As of December 31, 2020, the interest rate on borrowings under the Receivables Financing Facility was 2.37%. The SPV is also required to pay a monthly commitment fee to each lender based on the amount of such lender’s outstanding commitment. The Receivables Financing Facility contains representations and warranties, affirmative and negative covenants and events of default that are customary for financings of this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December 31, 2020, $65 million was borrowed and outstanding under the Receivables Financing Facility. Subsequent to December 31, 2020, the SPV repaid a portion of the Receivables Financing Facility in the amount of $15 million to cover a borrowing base deficit of approximately $14 million. The Receivables Financing Facility requires us to comply with a leverage ratio and an interest coverage ratio. We were in compliance with all applicable covenants under the Receivables Financing Facility as of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12"/>
        </w:trPr>
        <w:tc>
          <w:tcPr>
            <w:tcW w:w="564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Customer gear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16"/>
        </w:trPr>
        <w:tc>
          <w:tcPr>
            <w:tcW w:w="564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Data center build outs </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564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Office build outs </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64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 xml:space="preserve">Capitalized software and other projects </w:t>
            </w:r>
            <w:r>
              <w:rPr>
                <w:rFonts w:ascii="Arial" w:cs="Arial" w:eastAsia="Arial" w:hAnsi="Arial"/>
                <w:sz w:val="21"/>
                <w:szCs w:val="21"/>
                <w:color w:val="auto"/>
                <w:vertAlign w:val="superscript"/>
              </w:rPr>
              <w:t>(4)</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234"/>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20" w:right="280" w:hanging="412"/>
        <w:spacing w:after="0" w:line="238" w:lineRule="auto"/>
        <w:tabs>
          <w:tab w:leader="none" w:pos="3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servers, firewalls, load balancers, cabinets, backup libraries, storage arrays and drives and certain software that is essential to the functionality of customer gear, which we provide.</w:t>
      </w:r>
    </w:p>
    <w:p>
      <w:pPr>
        <w:ind w:left="420" w:right="860" w:hanging="412"/>
        <w:spacing w:after="0" w:line="237" w:lineRule="auto"/>
        <w:tabs>
          <w:tab w:leader="none" w:pos="3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generators, uninterruptible power supplies, power distribution units, mechanical and electrical plants, chillers, raised floor, network cabling, other infrastructure gear and other data center building improvements.</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building improvements, raised floor, furniture and equipment.</w:t>
      </w:r>
    </w:p>
    <w:p>
      <w:pPr>
        <w:spacing w:after="0" w:line="5" w:lineRule="exact"/>
        <w:rPr>
          <w:rFonts w:ascii="Arial" w:cs="Arial" w:eastAsia="Arial" w:hAnsi="Arial"/>
          <w:sz w:val="16"/>
          <w:szCs w:val="16"/>
          <w:color w:val="auto"/>
        </w:rPr>
      </w:pPr>
    </w:p>
    <w:p>
      <w:pPr>
        <w:ind w:left="420" w:right="460" w:hanging="412"/>
        <w:spacing w:after="0" w:line="257" w:lineRule="auto"/>
        <w:tabs>
          <w:tab w:leader="none" w:pos="3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salaries and payroll-related costs of employees and consultants who devote time to the development of certain internal-use software projects, purchased software licenses and other projects that meet the criteria for capitalization.</w:t>
      </w:r>
    </w:p>
    <w:p>
      <w:pPr>
        <w:spacing w:after="0" w:line="208" w:lineRule="exact"/>
        <w:rPr>
          <w:sz w:val="20"/>
          <w:szCs w:val="20"/>
          <w:color w:val="auto"/>
        </w:rPr>
      </w:pPr>
    </w:p>
    <w:p>
      <w:pPr>
        <w:ind w:right="20" w:firstLine="486"/>
        <w:spacing w:after="0" w:line="324" w:lineRule="auto"/>
        <w:rPr>
          <w:sz w:val="20"/>
          <w:szCs w:val="20"/>
          <w:color w:val="auto"/>
        </w:rPr>
      </w:pPr>
      <w:r>
        <w:rPr>
          <w:rFonts w:ascii="Arial" w:cs="Arial" w:eastAsia="Arial" w:hAnsi="Arial"/>
          <w:sz w:val="16"/>
          <w:szCs w:val="16"/>
          <w:color w:val="auto"/>
        </w:rPr>
        <w:t>Capital expenditures were $225 million in 2020, compared to $210 million in 2019, an increase of $15 million. The majority of the increase is due to the refresh of certain data center equipment within our normal maintenance cycle and multi-year agreements for software and customer licenses.</w:t>
      </w:r>
    </w:p>
    <w:p>
      <w:pPr>
        <w:spacing w:after="0" w:line="15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Capital expenditures were $210 million in 2019, compared to $348 million in 2018, a decrease of $138 million, primarily due to the non-recurrence in 2019 of several other factors driving higher capital expenditures in 2018. In 2018, there was incremental capital spend related to Datapipe customers, higher spend to deploy customer environments, reflecting the changed mix of Bookings, higher customer demand for new devices due to the launch of a new server line, investments in customer experience and product capabilities and integration efforts in certain data centers. Capital expenditures in 2018 also included $61 million in upfront purchases of certain software licenses and equipment under installment payment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6"/>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180" w:type="dxa"/>
            <w:vAlign w:val="bottom"/>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(386.5)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Net cash provided by operating activities for 2020 decreased $176 million, or 60%, from 2019. This decrease was due to a $400 million increase in operating expense payments, largely for third-party infrastructure costs, and a $70 million increase in employee-related payments, both reflecting the impact of the Onica acquisition. These variances were partially offset by a $261 million increase in cash collections, primarily reflecting higher revenue levels resulting from the acquisition of Onica, a $20 million decrease in debt interest payments and a $19 million decrease in obligations to settle share-based awards in connection with the Rackspace Acquisition, as the final payment was made during the three months ended March 31, 2019.</w:t>
      </w:r>
    </w:p>
    <w:p>
      <w:pPr>
        <w:spacing w:after="0" w:line="18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Net cash provided by operating activities for 2019 decreased $137 million, or 32%, from 2018. This decrease was driven by lower cash collections in 2019 due to lower revenue, coupled with higher cash payments for operating expenses. These higher cash payments were primarily due to increased infrastructure expense for third-party clouds reflecting growth in offerings utilizing those third-party clouds. Other significant changes between periods included a $43 million decrease in employee-related payments due to a decline in headcount and a $27 million decrease in payments related to our obligations to settle share-based awards in connection with the Rackspace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1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Net cash used in investing activities for 2020 decreased $258 million, or 67%, from 2019, mainly due to lower cash payments for acquisitions. Cash paid for the acquisition of Onica in 2019 was $316 million compared to $10 million paid for the acquisition of Bright Skies GmbH ("Bright Skies") in 2020. In addition, there was an $82 million decrease in cash purchases of property, equipment and software, as we increased our usage of financing arrangements in place of upfront cash payments to procure capital assets. The impact of these decreases was partially offset by the receipt of $110 million in proceeds related to the sale of equity investments in 2019, including $107 million from the sale of our CrowdStrike investment, and the receipt of $17 million in proceeds in 2019 related to the repayment of a promissory note receivable issued in conjunction with the 2017 sale of our Mailgun business.</w:t>
      </w:r>
    </w:p>
    <w:p>
      <w:pPr>
        <w:spacing w:after="0" w:line="19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Net cash used in investing activities for 2019 increased $38 million, or 11%, from 2018, mainly due to higher cash payments for acquisitions. Cash paid for the acquisition of RelationEdge in 2018 was $65 million compared to $316 million paid for the acquisition of Onica in 2019. This was partially offset by a $96 million decrease in cash purchases of property, equipment and software and the receipt of $110 million in proceeds related to the sale of equity investments in 2019, including $107 million from the sale of our CrowdStrike investment. In addition, we received $17 million in proceeds in 2019 related to the repayment of a promissory note receivable issued in conjunction with the 2017 sale of our Mailgun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or Used in Financing Activities</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1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Net cash provided by financing activities was $30 million for 2020 compared to net cash used in financing activities of $79 million for 2019. The change was primarily driven by net proceeds of $658 million from the IPO, which was comprised of $667 million in proceeds from the issuance of common stock, net of $9 million in offering fees paid. In addition, we received proceeds of $31 million from employee stock plans and borrowed $65 million under our Receivables Financing Facility in 2020. These net cash inflows were offset by net repayments on senior notes of $627 million, reflecting the repurchase of our 8.625% Senior Notes and issuance of 5.375% Senior Notes, compared to $66 million in 8.625% Senior Notes repurchases in 2019. In addition, there was a $42 million decrease in proceeds from other financing obligations and a $32 million increase in payments for other financing obligations in 2020 from 2019.</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Net cash used in financing activities for 2019 increased $26 million, or 47%, from 2018. The change was primarily driven by $66 million in repurchases of our 8.625% Senior Notes in 2019, an increase of $20 million in principal payments for financing obligations, and equity-related cash activity, which included $3 million of proceeds in 2018 compared to $5 million of payments in 2019. This was partially offset by $63 million in proceeds received in 2019 in conjunction with financing obligations related to equipment sale-leaseback arrangements. Additionally, we borrowed a total gross amount of $225 million under the Revolving Credit Facility over the course of the fourth quarter of 2019, primarily in connection with the closing of the Onica Acquisition. As of December 31, 2019, we had fully repaid these borrowings with a combination of the proceeds received from financing obligations, proceeds received from the sale of our CrowdStrike investment and internally-generated cash.</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These entities are typically established for the purpose of facilitating off-balance sheet arrangements or other contractually narrow or limited purposes.</w:t>
      </w:r>
    </w:p>
    <w:p>
      <w:pPr>
        <w:spacing w:after="0" w:line="211"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Item 8 of Part II, Financial Statements and Supplementary Data - Note 10, "Commitments and Contingencies" for more information related to these indemnification arrangements.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requires us to make judgments and estimates that affect the reported amounts of assets, liabilities, revenue, costs and expenses and related disclosures. We consider accounting policies that require significant management judgment and estimates to be critical accounting policies. We review our estimates and judgments on an ongoing basis, including those related to business combinations, revenue recognition, allowance for doubtful accounts,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acquired (“identifiable assets”) and liabilities assumed based on their estimated fair values. The excess of the fair value of purchase consideration over the fair values of these identifiable assets and liabilities is recorded as goodwill. When determining the fair values of identifiable assets acquired and liabilities assumed, including contingent consideration when applicable, management makes significant estimates and assumptions.</w:t>
      </w:r>
    </w:p>
    <w:p>
      <w:pPr>
        <w:spacing w:after="0" w:line="20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Critical estimates in valuing certain intangible assets include but are not limited to discount rates and future expected cash flows from customer relationships and developed technology. The fair value of equity and contingent consideration includes estimates and judgments related to the discount rates and future discounted cash flows based on management’s internal forecasts, timing of achievement of milestones and probability-weighted scenarios. Management’s estimates of fair value are based upon assumptions believed to be reasonable, but which are inherently uncertain and unpredictable and, as a result, may differ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Other estimates associated with the accounting for acquisitions may change as additional information becomes available regarding the identifiable assets acquired and liabilities assumed.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w:t>
      </w:r>
    </w:p>
    <w:p>
      <w:pPr>
        <w:spacing w:after="0" w:line="21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w:t>
      </w:r>
    </w:p>
    <w:p>
      <w:pPr>
        <w:spacing w:after="0" w:line="19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Our largest source of revenue relates to fees associated with certain arrangements within our Multicloud Services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Apps &amp; Cross Platform and OpenStack Public Cloud segments and public cloud service offerings within our Multicloud Services segment typically operate on a month-to-month basis and can be canceled at any time without penalty.</w:t>
      </w:r>
    </w:p>
    <w:p>
      <w:pPr>
        <w:spacing w:after="0" w:line="21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w:t>
      </w:r>
    </w:p>
    <w:p>
      <w:pPr>
        <w:spacing w:after="0" w:line="19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standalone selling price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w:t>
      </w:r>
    </w:p>
    <w:p>
      <w:pPr>
        <w:spacing w:after="0" w:line="192" w:lineRule="exact"/>
        <w:rPr>
          <w:sz w:val="20"/>
          <w:szCs w:val="20"/>
          <w:color w:val="auto"/>
        </w:rPr>
      </w:pPr>
    </w:p>
    <w:p>
      <w:pPr>
        <w:jc w:val="both"/>
        <w:ind w:right="120" w:firstLine="486"/>
        <w:spacing w:after="0" w:line="311" w:lineRule="auto"/>
        <w:rPr>
          <w:sz w:val="20"/>
          <w:szCs w:val="20"/>
          <w:color w:val="auto"/>
        </w:rPr>
      </w:pPr>
      <w:r>
        <w:rPr>
          <w:rFonts w:ascii="Arial" w:cs="Arial" w:eastAsia="Arial" w:hAnsi="Arial"/>
          <w:sz w:val="16"/>
          <w:szCs w:val="16"/>
          <w:color w:val="auto"/>
        </w:rPr>
        <w:t>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w:t>
      </w:r>
    </w:p>
    <w:p>
      <w:pPr>
        <w:spacing w:after="0" w:line="176"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Revenue recognition for revenue generated from arrangements in which we resell third-party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Accounts Receivable and Allowance for Doubtful Accounts</w:t>
      </w:r>
    </w:p>
    <w:p>
      <w:pPr>
        <w:spacing w:after="0" w:line="252"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We record an allowance for doubtful accounts on trade accounts receivable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Equipment and Software and Definite-Lived Intangible Assets</w:t>
      </w:r>
    </w:p>
    <w:p>
      <w:pPr>
        <w:spacing w:after="0" w:line="25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w:t>
      </w:r>
    </w:p>
    <w:p>
      <w:pPr>
        <w:spacing w:after="0" w:line="20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w:t>
      </w:r>
    </w:p>
    <w:p>
      <w:pPr>
        <w:spacing w:after="0" w:line="21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252"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5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w:t>
      </w:r>
    </w:p>
    <w:p>
      <w:pPr>
        <w:spacing w:after="0" w:line="20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three reporting units: Multicloud Services, Apps &amp; Cross Platform and OpenStack Public Cloud.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estimate the fair values of our reporting units and the Rackspace trade name using the discounted cash flow method and relief-from-royalty method, respectively. These calculations require the use of significant estimates and assumptions, such as: (i) the forecasted royalty rate; (ii) the estimation of future revenue and projected margins, which are dependent on internal cash flow forecasts; (iii) estimation of the terminal growth rates and capital spending; and (iv) determination of discount rates. The discount rates used are based on our weighted average cost of capital and are adjusted for risks and uncertainties inherent in our business and in our estimation of future cash flows.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4"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As a result of our annual goodwill impairment test performed during the fourth quarter of 2018, we determined that the carrying amount of our Multicloud Services reporting unit exceeded its fair value and recorded a goodwill impairment charge of $295 million, resulting in a decrease of approximately 16% in the goodwill allocated to this reporting unit. The impairment was driven by a significant decrease in forecasted revenue and cash flows and a lower long-term growth rate, as current and forecasted industry trends reflected lower demand for traditional managed hosting services. The results of our goodwill impairment test for the years ended December 31, 2019 and 2020 did not indicate any impairments of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account for share-based awards under the recognition and measurement provisions of ASC 718 (Compensation—Stock Compensation). Share-based compensation cost is measured at the grant date based on the fair value of the underlying common stock and is recognized as expense over the requisite service period. The fair value of stock options with vesting conditions dependent upon market performance is determined using a Monte Carlo simulation. Determining the grant date fair value of share-based awards with performance vesting conditions and the probability of such awards vesting requires judgment.</w:t>
      </w:r>
    </w:p>
    <w:p>
      <w:pPr>
        <w:spacing w:after="0" w:line="215"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color w:val="auto"/>
        </w:rPr>
        <w:t>Prior to the completion of our IPO on August 7, 2020, there had been no public market for our common stock since the Rackspace Acquisition in 2016. The estimated fair value of our common stock was determined by our board of directors as of the grant date of each option grant, with input from management, including consideration of our most recent third-party valuations of our common stock, which were completed periodically throughout the fiscal year.</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third-party valuation specialists used the Income Approach to estimate the value of our equity. Within the Income Approach, the valuation specialists relied upon the Discounted Cash Flow (“DCF”) method, which focused on our estimated expected cash flow available for distribution to the equityholders. The DCF calculation was prepared based on detailed revenue and expense projections prepared by management as part of its annual budgeting process and reflected the financial and operational facts and circumstances specific to our company. Significant assumptions impacting the DCF calculation also included expected future capital expenditures, our long-term growth rate, and the applicable discount rate. For purposes of capturing the dilution from outstanding options, the valuation utilized the Option-Pricing Method (“OPM”). The OPM depended on key assumptions regarding the volatility and time to a liquidity event but did not require explicit estimates of the possible future outcomes. The input and assumptions used in this calculation were total equity value, time to liquidity, expected volatility and dividends, which were all determined by management. A discount for lack of marketability was not applied as its impact was already reflected in the equity value through the discount rate, given that there were no differential rights attributable to different shareholders (as we have only one class of shares). These estimates were complex, involved a number of variables, uncertainties and assumptions and the application of management’s judgment, as they were inherently subjective.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w:t>
      </w:r>
    </w:p>
    <w:p>
      <w:pPr>
        <w:spacing w:after="0" w:line="198" w:lineRule="exact"/>
        <w:rPr>
          <w:sz w:val="20"/>
          <w:szCs w:val="20"/>
          <w:color w:val="auto"/>
        </w:rPr>
      </w:pPr>
    </w:p>
    <w:p>
      <w:pPr>
        <w:ind w:right="40" w:firstLine="486"/>
        <w:spacing w:after="0" w:line="276" w:lineRule="auto"/>
        <w:rPr>
          <w:sz w:val="20"/>
          <w:szCs w:val="20"/>
          <w:color w:val="auto"/>
        </w:rPr>
      </w:pPr>
      <w:r>
        <w:rPr>
          <w:rFonts w:ascii="Arial" w:cs="Arial" w:eastAsia="Arial" w:hAnsi="Arial"/>
          <w:sz w:val="16"/>
          <w:szCs w:val="16"/>
          <w:color w:val="auto"/>
        </w:rPr>
        <w:t>Our effective tax rates may differ from the statutory rate for various reasons, including differences due to the tax impact of foreign operations, research and development tax credits, state taxes, contingency reserves for uncertain tax positions, certain benefits realized related to share-based compensation, executive compensation that is nondeductible under IRC Section 162(m), changes in the valuation of our deferred tax assets or liabilities, or from changes in tax laws, regulations, accounting principles or interpretations thereof. In addition, we are subject to the continuous examination of our income tax returns by the U.S. Internal Revenue Service (the “IRS”), Her Majesty’s Revenue and Customer and other tax authorities. We regularly assess the likelihood of adverse outcomes resulting from these examinations to determine the adequacy of our provision for income taxes.</w:t>
      </w:r>
    </w:p>
    <w:p>
      <w:pPr>
        <w:spacing w:after="0" w:line="189"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w:t>
      </w:r>
    </w:p>
    <w:p>
      <w:pPr>
        <w:spacing w:after="0" w:line="20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For a description of accounting pronouncements recently adopted and issued, see Item 8 of Part II, Financial Statements and Supplementary Data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are exposed to interest rate risk associated with fluctuations in interest rates on our floating-rate debt under our Senior Facilities, which includes our $375 million Revolving Credit Facility, $2,796 million outstanding under the Term Loan Facility, and our $65 million Receivables Financing Facility. As of December 31, 2020, there were no outstanding borrowings under the Revolving Credit Facility and therefore our only variable-rate debt outstanding was the $2,796 million outstanding under the Term Loan Facility and $65 million outstanding under the Receivables Financing Facility. As of December 31, 2020, assuming the Revolving Credit Facility was fully drawn, each 0.125% change in assumed blended interest rates would result in a $4 million change in annual interest expense on indebtedness under the Senior Facilities and the Receivables Financing Facility.</w:t>
      </w:r>
    </w:p>
    <w:p>
      <w:pPr>
        <w:spacing w:after="0" w:line="19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 December 2016, we entered into seven floating-to-fixed interest rate swap agreements to manage our risk from interest rate fluctuations associated with the floating-rate Term Loan Facility. The remaining three swap agreements in effect as of December 31,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1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December 31, 2020, two swaps agreements, with an aggregate notional amount of $300 million, were effective. The remaining swap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During 2020, we recognized foreign currency transaction gains of $6 million within "Other income (expense), net" in our Consolidated Statements of Comprehensive Loss. As we grow our international operations, our exposure to foreign currency translation and transaction risk could become more significant.</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in the past and may in the future enter into foreign currency hedging instruments to limit our exposure to foreign currency risk.</w:t>
      </w:r>
    </w:p>
    <w:p>
      <w:pPr>
        <w:spacing w:after="0" w:line="264"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November 2017, we entered into three forward contracts. Under the terms of these contracts, we sold a total of £120 million at an average rate of 1.34378 British pound sterling to U.S. dollar and received $161.3 million. These contracts settled on November 30, 2018 and we received a final net payment of $7.9 million.</w:t>
      </w:r>
    </w:p>
    <w:p>
      <w:pPr>
        <w:spacing w:after="0" w:line="211"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11"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settled at various dates throughout the year, which resulted in the company making aggregate payments of $5.4 million. As of December 31, 2020, there was no notional amount outstanding related to these contracts.</w:t>
      </w:r>
    </w:p>
    <w:p>
      <w:pPr>
        <w:spacing w:after="0" w:line="192"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5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are a large consumer of power. During 2020, we expensed approximately $40 million that was paid to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and London areas that allow us to procure power either on a fixed price or on a variable price basis.</w:t>
      </w:r>
    </w:p>
    <w:p>
      <w:pPr>
        <w:spacing w:after="0" w:line="198"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color w:val="auto"/>
        </w:rPr>
        <w:t>See Item 8 of Part II, Financial Statements and Supplementary Data - Note 16, "Derivatives," for more information on interest rate swaps, foreign currency hedging contracts, and fixed power contracts.</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Report of Independent Registered Public Accounting Firm</w:t>
              </w:r>
            </w:hyperlink>
          </w:p>
        </w:tc>
        <w:tc>
          <w:tcPr>
            <w:tcW w:w="6400" w:type="dxa"/>
            <w:vAlign w:val="bottom"/>
          </w:tcPr>
          <w:p>
            <w:pPr>
              <w:jc w:val="right"/>
              <w:ind w:right="19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86</w:t>
              </w:r>
            </w:hyperlink>
          </w:p>
        </w:tc>
      </w:tr>
      <w:tr>
        <w:trPr>
          <w:trHeight w:val="230"/>
        </w:trPr>
        <w:tc>
          <w:tcPr>
            <w:tcW w:w="4840" w:type="dxa"/>
            <w:vAlign w:val="bottom"/>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Consolidated Balance Sheets</w:t>
              </w:r>
            </w:hyperlink>
          </w:p>
        </w:tc>
        <w:tc>
          <w:tcPr>
            <w:tcW w:w="6400" w:type="dxa"/>
            <w:vAlign w:val="bottom"/>
          </w:tcPr>
          <w:p>
            <w:pPr>
              <w:jc w:val="right"/>
              <w:ind w:right="19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88</w:t>
              </w:r>
            </w:hyperlink>
          </w:p>
        </w:tc>
      </w:tr>
      <w:tr>
        <w:trPr>
          <w:trHeight w:val="229"/>
        </w:trPr>
        <w:tc>
          <w:tcPr>
            <w:tcW w:w="4840" w:type="dxa"/>
            <w:vAlign w:val="bottom"/>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Consolidated Statements of Comprehensive Loss</w:t>
              </w:r>
            </w:hyperlink>
          </w:p>
        </w:tc>
        <w:tc>
          <w:tcPr>
            <w:tcW w:w="6400" w:type="dxa"/>
            <w:vAlign w:val="bottom"/>
          </w:tcPr>
          <w:p>
            <w:pPr>
              <w:jc w:val="right"/>
              <w:ind w:right="19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89</w:t>
              </w:r>
            </w:hyperlink>
          </w:p>
        </w:tc>
      </w:tr>
      <w:tr>
        <w:trPr>
          <w:trHeight w:val="229"/>
        </w:trPr>
        <w:tc>
          <w:tcPr>
            <w:tcW w:w="4840" w:type="dxa"/>
            <w:vAlign w:val="bottom"/>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Consolidated Statements of Cash Flows</w:t>
              </w:r>
            </w:hyperlink>
          </w:p>
        </w:tc>
        <w:tc>
          <w:tcPr>
            <w:tcW w:w="6400" w:type="dxa"/>
            <w:vAlign w:val="bottom"/>
          </w:tcPr>
          <w:p>
            <w:pPr>
              <w:jc w:val="right"/>
              <w:ind w:right="19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90</w:t>
              </w:r>
            </w:hyperlink>
          </w:p>
        </w:tc>
      </w:tr>
      <w:tr>
        <w:trPr>
          <w:trHeight w:val="230"/>
        </w:trPr>
        <w:tc>
          <w:tcPr>
            <w:tcW w:w="4840" w:type="dxa"/>
            <w:vAlign w:val="bottom"/>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Consolidated Statements of Stockholders' Equity</w:t>
              </w:r>
            </w:hyperlink>
          </w:p>
        </w:tc>
        <w:tc>
          <w:tcPr>
            <w:tcW w:w="6400" w:type="dxa"/>
            <w:vAlign w:val="bottom"/>
          </w:tcPr>
          <w:p>
            <w:pPr>
              <w:jc w:val="right"/>
              <w:ind w:right="19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92</w:t>
              </w:r>
            </w:hyperlink>
          </w:p>
        </w:tc>
      </w:tr>
      <w:tr>
        <w:trPr>
          <w:trHeight w:val="230"/>
        </w:trPr>
        <w:tc>
          <w:tcPr>
            <w:tcW w:w="4840" w:type="dxa"/>
            <w:vAlign w:val="bottom"/>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Notes to the Consolidated Financial Statements</w:t>
              </w:r>
            </w:hyperlink>
          </w:p>
        </w:tc>
        <w:tc>
          <w:tcPr>
            <w:tcW w:w="6400" w:type="dxa"/>
            <w:vAlign w:val="bottom"/>
          </w:tcPr>
          <w:p>
            <w:pPr>
              <w:jc w:val="right"/>
              <w:ind w:right="19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r>
      <w:tr>
        <w:trPr>
          <w:trHeight w:val="918"/>
        </w:trPr>
        <w:tc>
          <w:tcPr>
            <w:tcW w:w="4840" w:type="dxa"/>
            <w:vAlign w:val="bottom"/>
          </w:tcPr>
          <w:p>
            <w:pPr>
              <w:spacing w:after="0"/>
              <w:rPr>
                <w:sz w:val="24"/>
                <w:szCs w:val="24"/>
                <w:color w:val="auto"/>
              </w:rPr>
            </w:pPr>
          </w:p>
        </w:tc>
        <w:tc>
          <w:tcPr>
            <w:tcW w:w="6400" w:type="dxa"/>
            <w:vAlign w:val="bottom"/>
          </w:tcPr>
          <w:p>
            <w:pPr>
              <w:jc w:val="right"/>
              <w:ind w:right="5330"/>
              <w:spacing w:after="0"/>
              <w:rPr>
                <w:sz w:val="20"/>
                <w:szCs w:val="20"/>
                <w:color w:val="auto"/>
              </w:rPr>
            </w:pPr>
            <w:r>
              <w:rPr>
                <w:rFonts w:ascii="Arial" w:cs="Arial" w:eastAsia="Arial" w:hAnsi="Arial"/>
                <w:sz w:val="18"/>
                <w:szCs w:val="18"/>
                <w:color w:val="auto"/>
              </w:rPr>
              <w:t>-85-</w:t>
            </w:r>
          </w:p>
        </w:tc>
      </w:tr>
      <w:tr>
        <w:trPr>
          <w:trHeight w:val="115"/>
        </w:trPr>
        <w:tc>
          <w:tcPr>
            <w:tcW w:w="484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Rackspace Technology,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audited the accompanying consolidated balance sheets of Rackspace Technology, Inc. and its subsidiaries (the “Company”) as of December 31, 2020 and 2019, and the related consolidated statements of comprehensive loss, of stockholders’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described in Notes 1 and 5 to the consolidated financial statements, the Company’s consolidated net goodwill balance was $2,761.1 million as of December 31, 2020. Goodwill represents the excess of the purchase price over the fair value of identifiable net assets of businesses acquired. Goodwill is tested for impairment at the reporting unit level. Management conducts impairment testing on an annual basis as of October 1st or more frequently if events or circumstances indicate a potential impairment. Management compared the fair values of each of the Company’s reporting units to their respective carrying amounts. Impairment is measured as the excess of a reporting unit’s carrying amount over its fair value, not to exceed the carrying amount of goodwill for that reporting unit. Management estimates the fair value of the reporting units using the income approach, specifically the discounted cash flow method. This requires the use of significant estimates and assumptions, including future revenues, projected margins and capital spending, terminal growth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is a critical audit matter are the significant judgment by management when developing the fair value measurements of the reporting units, which in turn led to a high degree of auditor judgment, subjectivity, and effort in performing audit procedures and evaluating audit evidence related to management’s significant assumptions related to future revenues, projected margins and capital spending, terminal growth rates, and discount rates. In addition, the audit effort involved the use of professionals with specialized skill and knowledge.</w:t>
      </w:r>
    </w:p>
    <w:p>
      <w:pPr>
        <w:spacing w:after="0" w:line="216"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of the reporting units, (ii) evaluating the appropriateness of the discounted cash flow models, (iii) testing the completeness and accuracy of underlying data used in the models, and</w:t>
      </w:r>
    </w:p>
    <w:p>
      <w:pPr>
        <w:ind w:right="100" w:firstLine="8"/>
        <w:spacing w:after="0" w:line="274" w:lineRule="auto"/>
        <w:tabs>
          <w:tab w:leader="none" w:pos="3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evaluating the significant assumptions used by management related to future revenues, projected margins and capital spending, terminal growth rates, and discount rates. Evaluating management’s assumptions related to future revenues and projected margins and capital spending involved evaluating whether the assumptions used by management were reasonable considering the current and past performance of the reporting units, third-party industry data, and whether these assumptions were consistent with evidence obtained in other areas of the audit. Professionals with specialized skill and knowledge were used to assist in the evaluation of the Company’s discounted cash flow models and the terminal growth rates and discount rates assumptions.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Trade Name Impairment Assessment</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described in Notes 1 and 5 to the consolidated financial statements, the Company’s consolidated indefinite-lived intangible asset balance was $250.0 million as of December 31, 2020. The Company’s indefinite-lived intangible asset consists of the Rackspace trade name. Management conducts an impairment test as of October 1st of each year, or more frequently if events or circumstances indicate a potential impairment. Management estimates the fair value of the indefinite-lived trade name using the income approach, specifically the relief-from-royalty method. The relief-from-royalty model requires significant judgment, including estimation of future revenues, the royalty rate and discount rate.</w:t>
      </w: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indefinite-lived trade name impairment assessment is a critical audit matter are the significant judgment by management when developing the fair value measurement of its indefinite-lived trade name, which in turn led to a high degree of auditor judgment, subjectivity, and effort in performing audit procedures and evaluating audit evidence related to management’s significant assumptions related to future revenues, the royalty rate and discount rate. In addition, the audit effort involved the use of professionals with specialized skill and knowledge.</w:t>
      </w:r>
    </w:p>
    <w:p>
      <w:pPr>
        <w:spacing w:after="0" w:line="21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estimates, (ii) evaluating the appropriateness of the relief-from-royalty model, (iii) testing the completeness and accuracy of underlying data used in the model, and (iv) evaluating the significant assumptions used by management related to future revenues, royalty rate and discount rate. Evaluating management’s assumptions related to future revenues involved evaluating whether the assumptions used by management were reasonable considering the current and past performance of the Company, third-party industry data, and whether the assumptions were consistent with evidence obtained in other areas of the audit. Professionals with specialized skill and knowledge were used to assist in the evaluation of the Company’s relief-from-royalty model and the royalty rate and discount rate assumptions.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rPr>
          <w:sz w:val="20"/>
          <w:szCs w:val="20"/>
          <w:color w:val="auto"/>
        </w:rPr>
      </w:pPr>
      <w:r>
        <w:rPr>
          <w:rFonts w:ascii="Arial" w:cs="Arial" w:eastAsia="Arial" w:hAnsi="Arial"/>
          <w:sz w:val="18"/>
          <w:szCs w:val="18"/>
          <w:color w:val="auto"/>
        </w:rPr>
        <w:t>February 26,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$17.0 and $28.3,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06"/>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884.6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3,319.3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07"/>
        </w:trPr>
        <w:tc>
          <w:tcPr>
            <w:tcW w:w="822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5,373.6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4,994.1</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2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$0.01 par value per share: 1,495.0 shares authorized; 165.4 and 201.8 shares issued and outstanding,</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822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r>
      <w:tr>
        <w:trPr>
          <w:trHeight w:val="213"/>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r>
      <w:tr>
        <w:trPr>
          <w:trHeight w:val="213"/>
        </w:trPr>
        <w:tc>
          <w:tcPr>
            <w:tcW w:w="6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(959.7)</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operations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Gain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extinguishment of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13"/>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r>
      <w:tr>
        <w:trPr>
          <w:trHeight w:val="207"/>
        </w:trPr>
        <w:tc>
          <w:tcPr>
            <w:tcW w:w="624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3"/>
        </w:trPr>
        <w:tc>
          <w:tcPr>
            <w:tcW w:w="6240" w:type="dxa"/>
            <w:vAlign w:val="bottom"/>
          </w:tcPr>
          <w:p>
            <w:pPr>
              <w:ind w:left="48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(470.6)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(245.8)</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Unrealized loss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Amount reclassified from accumulated other comprehensive income (loss) to earnings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6"/>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33"/>
        </w:trPr>
        <w:tc>
          <w:tcPr>
            <w:tcW w:w="6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Comprehensive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89"/>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(245.8)</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466.2</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(Gain) loss on extinguishment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Gain on investments,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r>
      <w:tr>
        <w:trPr>
          <w:trHeight w:val="213"/>
        </w:trPr>
        <w:tc>
          <w:tcPr>
            <w:tcW w:w="646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19"/>
        </w:trPr>
        <w:tc>
          <w:tcPr>
            <w:tcW w:w="6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646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6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13"/>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64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Proceeds from sales of investments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646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657.8</w:t>
            </w:r>
          </w:p>
        </w:tc>
      </w:tr>
      <w:tr>
        <w:trPr>
          <w:trHeight w:val="216"/>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Shares of common stock withheld for employee taxes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Cash settlement of share-based awards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(1,450.6)</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debt issuance costs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Principal payments of capital leases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Proceeds from financing obligations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06"/>
        </w:trPr>
        <w:tc>
          <w:tcPr>
            <w:tcW w:w="6460" w:type="dxa"/>
            <w:vAlign w:val="bottom"/>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6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6"/>
        </w:trPr>
        <w:tc>
          <w:tcPr>
            <w:tcW w:w="6460" w:type="dxa"/>
            <w:vAlign w:val="bottom"/>
          </w:tcPr>
          <w:p>
            <w:pPr>
              <w:ind w:left="56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64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06"/>
        </w:trPr>
        <w:tc>
          <w:tcPr>
            <w:tcW w:w="6460" w:type="dxa"/>
            <w:vAlign w:val="bottom"/>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r>
      <w:tr>
        <w:trPr>
          <w:trHeight w:val="24"/>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265.3</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Acquisition of property and equipment by capital leases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 by finance leases</w:t>
            </w: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(decrease) in property, equipment and software accrued in liabilities</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3"/>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00" w:type="dxa"/>
            <w:vAlign w:val="bottom"/>
            <w:tcBorders>
              <w:bottom w:val="single" w:sz="8" w:color="CCEEFF"/>
            </w:tcBorders>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166"/>
        </w:trPr>
        <w:tc>
          <w:tcPr>
            <w:tcW w:w="6460" w:type="dxa"/>
            <w:vAlign w:val="bottom"/>
          </w:tcPr>
          <w:p>
            <w:pPr>
              <w:ind w:left="120"/>
              <w:spacing w:after="0" w:line="166" w:lineRule="exact"/>
              <w:rPr>
                <w:sz w:val="20"/>
                <w:szCs w:val="20"/>
                <w:color w:val="auto"/>
              </w:rPr>
            </w:pPr>
            <w:r>
              <w:rPr>
                <w:rFonts w:ascii="Arial" w:cs="Arial" w:eastAsia="Arial" w:hAnsi="Arial"/>
                <w:sz w:val="16"/>
                <w:szCs w:val="16"/>
                <w:color w:val="auto"/>
              </w:rPr>
              <w:t>Non-cash increase in buildings within property, equipment and software, net due to lease</w:t>
            </w: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09"/>
        </w:trPr>
        <w:tc>
          <w:tcPr>
            <w:tcW w:w="6460" w:type="dxa"/>
            <w:vAlign w:val="bottom"/>
          </w:tcPr>
          <w:p>
            <w:pPr>
              <w:ind w:left="120"/>
              <w:spacing w:after="0"/>
              <w:rPr>
                <w:sz w:val="20"/>
                <w:szCs w:val="20"/>
                <w:color w:val="auto"/>
              </w:rPr>
            </w:pPr>
            <w:r>
              <w:rPr>
                <w:rFonts w:ascii="Arial" w:cs="Arial" w:eastAsia="Arial" w:hAnsi="Arial"/>
                <w:sz w:val="16"/>
                <w:szCs w:val="16"/>
                <w:color w:val="auto"/>
              </w:rPr>
              <w:t>modification</w:t>
            </w:r>
          </w:p>
        </w:tc>
        <w:tc>
          <w:tcPr>
            <w:tcW w:w="6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issuance costs included in accrued liabilities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62"/>
        </w:trPr>
        <w:tc>
          <w:tcPr>
            <w:tcW w:w="6460" w:type="dxa"/>
            <w:vAlign w:val="bottom"/>
          </w:tcPr>
          <w:p>
            <w:pPr>
              <w:ind w:left="140"/>
              <w:spacing w:after="0" w:line="162" w:lineRule="exact"/>
              <w:rPr>
                <w:sz w:val="20"/>
                <w:szCs w:val="20"/>
                <w:color w:val="auto"/>
              </w:rPr>
            </w:pPr>
            <w:r>
              <w:rPr>
                <w:rFonts w:ascii="Arial" w:cs="Arial" w:eastAsia="Arial" w:hAnsi="Arial"/>
                <w:sz w:val="16"/>
                <w:szCs w:val="16"/>
                <w:color w:val="auto"/>
              </w:rPr>
              <w:t>Additional finance obligations for build-to-suit leases and other non-cash investing and</w:t>
            </w: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4"/>
                <w:szCs w:val="14"/>
                <w:color w:val="auto"/>
              </w:rPr>
            </w:pPr>
          </w:p>
        </w:tc>
        <w:tc>
          <w:tcPr>
            <w:tcW w:w="60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3"/>
        </w:trPr>
        <w:tc>
          <w:tcPr>
            <w:tcW w:w="6460" w:type="dxa"/>
            <w:vAlign w:val="bottom"/>
          </w:tcPr>
          <w:p>
            <w:pPr>
              <w:ind w:left="140"/>
              <w:spacing w:after="0"/>
              <w:rPr>
                <w:sz w:val="20"/>
                <w:szCs w:val="20"/>
                <w:color w:val="auto"/>
              </w:rPr>
            </w:pPr>
            <w:r>
              <w:rPr>
                <w:rFonts w:ascii="Arial" w:cs="Arial" w:eastAsia="Arial" w:hAnsi="Arial"/>
                <w:sz w:val="16"/>
                <w:szCs w:val="16"/>
                <w:color w:val="auto"/>
              </w:rPr>
              <w:t xml:space="preserve">financing activities </w:t>
            </w:r>
            <w:r>
              <w:rPr>
                <w:rFonts w:ascii="Arial" w:cs="Arial" w:eastAsia="Arial" w:hAnsi="Arial"/>
                <w:sz w:val="21"/>
                <w:szCs w:val="21"/>
                <w:color w:val="auto"/>
                <w:vertAlign w:val="superscript"/>
              </w:rPr>
              <w:t>(1)</w:t>
            </w:r>
          </w:p>
        </w:tc>
        <w:tc>
          <w:tcPr>
            <w:tcW w:w="60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500" w:right="460" w:hanging="492"/>
        <w:spacing w:after="0" w:line="275" w:lineRule="auto"/>
        <w:tabs>
          <w:tab w:leader="none" w:pos="4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additional finance obligations for build-to-suit arrangements for the year ended December 31, 2018 only, and other non-cash investing and financing activities for all years presented.</w:t>
      </w:r>
    </w:p>
    <w:p>
      <w:pPr>
        <w:spacing w:after="0" w:line="19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3"/>
        </w:trPr>
        <w:tc>
          <w:tcPr>
            <w:tcW w:w="626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2"/>
              </w:rPr>
              <w:t>Total cash, cash equivalents, and restricted cash shown in the statement of cash flows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1,373.0</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(470.6)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74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effect of adopting ASC 842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66"/>
        </w:trPr>
        <w:tc>
          <w:tcPr>
            <w:tcW w:w="3940" w:type="dxa"/>
            <w:vAlign w:val="bottom"/>
          </w:tcPr>
          <w:p>
            <w:pPr>
              <w:ind w:left="140"/>
              <w:spacing w:after="0" w:line="166" w:lineRule="exact"/>
              <w:rPr>
                <w:sz w:val="20"/>
                <w:szCs w:val="20"/>
                <w:color w:val="auto"/>
              </w:rPr>
            </w:pPr>
            <w:r>
              <w:rPr>
                <w:rFonts w:ascii="Arial" w:cs="Arial" w:eastAsia="Arial" w:hAnsi="Arial"/>
                <w:sz w:val="16"/>
                <w:szCs w:val="16"/>
                <w:color w:val="auto"/>
                <w:w w:val="91"/>
              </w:rPr>
              <w:t>Exercise of stock options and release of stock awards, net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Arial" w:cs="Arial" w:eastAsia="Arial" w:hAnsi="Arial"/>
                <w:sz w:val="16"/>
                <w:szCs w:val="16"/>
                <w:color w:val="auto"/>
              </w:rPr>
              <w:t>of shares withheld</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Cash settlement of share-based awards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166"/>
        </w:trPr>
        <w:tc>
          <w:tcPr>
            <w:tcW w:w="3940" w:type="dxa"/>
            <w:vAlign w:val="bottom"/>
          </w:tcPr>
          <w:p>
            <w:pPr>
              <w:ind w:left="140"/>
              <w:spacing w:after="0" w:line="166" w:lineRule="exact"/>
              <w:rPr>
                <w:sz w:val="20"/>
                <w:szCs w:val="20"/>
                <w:color w:val="auto"/>
              </w:rPr>
            </w:pPr>
            <w:r>
              <w:rPr>
                <w:rFonts w:ascii="Arial" w:cs="Arial" w:eastAsia="Arial" w:hAnsi="Arial"/>
                <w:sz w:val="16"/>
                <w:szCs w:val="16"/>
                <w:color w:val="auto"/>
                <w:w w:val="91"/>
              </w:rPr>
              <w:t>Exercise of stock options and release of stock awards, net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Arial" w:cs="Arial" w:eastAsia="Arial" w:hAnsi="Arial"/>
                <w:sz w:val="16"/>
                <w:szCs w:val="16"/>
                <w:color w:val="auto"/>
              </w:rPr>
              <w:t>of shares withheld</w:t>
            </w: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Issuance of shares from Employee Stock Purchase Plans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Rackspace Technology, Inc. ("Rackspace Technology") (formerly known as Rackspace Corp. until its legal name change on June 11, 2020 and formerly known as Inception Topco, Inc. until its legal name change on March 31, 2020), is a Delaware corporation controlled by investment funds affiliated with Apollo Global Management, Inc. and its subsidiaries ("Apollo"). Rackspace Technology was formed on July 21, 2016 but had no assets, liabilities or operating results until November 3, 2016 (the "Closing Date")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0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On July 20, 2020, the board of directors of the company approved and effected a twelve-for-one stock split of the company’s common stock (the "Stock Split"). All common stock share and per-share data, excluding par value per share, included in the accompanying consolidated financial statements give effect to the Stock Split and have been adjusted retroactively for all periods presented.</w:t>
      </w:r>
    </w:p>
    <w:p>
      <w:pPr>
        <w:spacing w:after="0" w:line="19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On August 7, 2020, we completed our initial public offering (the "IPO"), in which we issued and sold 33,500,000 shares of our common stock at a public offering price of $21.00 per share. We received net proceeds of $666.6 million from sales of shares in the IPO, after deducting underwriters' discounts and commissions of $36.9 million, but before deducting offering expenses of $8.8 million.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accompanying consolidated financial statements include the accounts of Rackspace Technology, Inc.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March 2020, the World Health Organization declared COVID-19 a global pandemic. The effects of COVID-19 are rapidly evolving,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spread of the outbreak and its impact on our customers, vendors and employees and its impact on our sales cycles as well as industry events, all of which are uncertain and cannot be predicted. In addition, we face a greater degree of uncertainty in making estimates and assumptions needed to prepare our consolidated financial statements and footnotes.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Our cash is comprised of bank deposits, overnight sweep accounts and money market funds and is held with high-credit quality U.S. and foreign financial institutions. We consider all highly liquid investments, such as money market funds, with original maturities of three months or less when acquired to be cash equivalents.</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Restricted cash, included in "Other non-current assets" in our Consolidated Balance Sheets, represents collateral for letters of credit. Restricted cash was $3.3 million and $3.4 million as of December 31, 2019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and Definite-Lived Intangible Assets</w:t>
      </w:r>
    </w:p>
    <w:p>
      <w:pPr>
        <w:spacing w:after="0" w:line="25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spacing w:after="0" w:line="205"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$1.0 million, $1.2 million and $0.8 million for the years ended December 31, 2018, 2019 and 2020, respectively.</w:t>
      </w:r>
    </w:p>
    <w:p>
      <w:pPr>
        <w:spacing w:after="0" w:line="176" w:lineRule="exact"/>
        <w:rPr>
          <w:sz w:val="20"/>
          <w:szCs w:val="20"/>
          <w:color w:val="auto"/>
        </w:rPr>
      </w:pPr>
    </w:p>
    <w:p>
      <w:pPr>
        <w:jc w:val="both"/>
        <w:ind w:right="420" w:firstLine="486"/>
        <w:spacing w:after="0" w:line="286" w:lineRule="auto"/>
        <w:rPr>
          <w:sz w:val="20"/>
          <w:szCs w:val="20"/>
          <w:color w:val="auto"/>
        </w:rPr>
      </w:pPr>
      <w:r>
        <w:rPr>
          <w:rFonts w:ascii="Arial" w:cs="Arial" w:eastAsia="Arial" w:hAnsi="Arial"/>
          <w:sz w:val="17"/>
          <w:szCs w:val="17"/>
          <w:color w:val="auto"/>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estimated useful lives used for property, equipment and software: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Classification</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Estimated Useful Lives</w:t>
            </w:r>
          </w:p>
        </w:tc>
      </w:tr>
      <w:tr>
        <w:trPr>
          <w:trHeight w:val="213"/>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5 years</w:t>
            </w: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Software</w:t>
            </w:r>
          </w:p>
        </w:tc>
        <w:tc>
          <w:tcPr>
            <w:tcW w:w="224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Buildings and leasehold improvements</w:t>
            </w:r>
          </w:p>
        </w:tc>
        <w:tc>
          <w:tcPr>
            <w:tcW w:w="2240" w:type="dxa"/>
            <w:vAlign w:val="bottom"/>
          </w:tcPr>
          <w:p>
            <w:pPr>
              <w:jc w:val="right"/>
              <w:spacing w:after="0"/>
              <w:rPr>
                <w:sz w:val="20"/>
                <w:szCs w:val="20"/>
                <w:color w:val="auto"/>
              </w:rPr>
            </w:pPr>
            <w:r>
              <w:rPr>
                <w:rFonts w:ascii="Arial" w:cs="Arial" w:eastAsia="Arial" w:hAnsi="Arial"/>
                <w:sz w:val="16"/>
                <w:szCs w:val="16"/>
                <w:color w:val="auto"/>
              </w:rPr>
              <w:t>2 to 39 years</w:t>
            </w:r>
          </w:p>
        </w:tc>
      </w:tr>
    </w:tbl>
    <w:p>
      <w:pPr>
        <w:spacing w:after="0" w:line="34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cost of assets and related accumulated depreciation and amortization are written off upon retirement or disposal and any resulting gain or loss is credited or charged to income or expense.</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expenses" on our Consolidated Statements of Comprehensive Loss. See Note 15, "Acquisitions" for information on the useful lives of recently acquired definite-lived intangible assets.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52" w:lineRule="exact"/>
        <w:rPr>
          <w:sz w:val="20"/>
          <w:szCs w:val="20"/>
          <w:color w:val="auto"/>
        </w:rPr>
      </w:pPr>
    </w:p>
    <w:p>
      <w:pPr>
        <w:ind w:right="360" w:firstLine="486"/>
        <w:spacing w:after="0" w:line="296"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w:t>
      </w:r>
    </w:p>
    <w:p>
      <w:pPr>
        <w:spacing w:after="0" w:line="188"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three reporting units: Multicloud Services, Apps &amp; Cross Platform, and OpenStack Public Cloud.</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Beginning in 2018, we early adopted new accounting guidance that eliminated the second step from the goodwill impairment test. For the goodwill impairment tests completed during the years ended December 31, 2018, 2019 and 2020, we compared the fair values of each of our reporting units to their respective carrying amounts. The fair values of each of our reporting units were derived using the income approach, specifically the discounted cash flow method. Under the new guidance, goodwill impairment is measured as the excess of a reporting unit’s carrying amount over its fair value, not to exceed the carrying amount of goodwill for that reporting unit.</w:t>
      </w:r>
    </w:p>
    <w:p>
      <w:pPr>
        <w:spacing w:after="0" w:line="21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results of our goodwill impairment test for the year ended December 31, 2018, indicated an impairment of goodwill within our Multicloud Services reporting unit, and we recorded a charge of $295.0 million within "Impairment of goodwill" in our Consolidated Statements of Comprehensive Loss. See Note 5, "Goodwill and Intangible Assets" for more information. The results of our goodwill impairment tests for the years ended December 31, 2019 and 2020 did not indicate any impairments of goodwill.</w:t>
      </w:r>
    </w:p>
    <w:p>
      <w:pPr>
        <w:spacing w:after="0" w:line="21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The results of our indefinite-lived asset impairment tests for the years ended December 31, 2018, 2019 and 2020 did not indicate any impairments of the Rackspace trade name.</w:t>
      </w:r>
    </w:p>
    <w:p>
      <w:pPr>
        <w:spacing w:after="0" w:line="214"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evaluation of goodwill and other indefinite-lived intangible assets for impairment is judgmental in nature and requires the use of significant estimates and assumptions, including estimation of the royalty rate, estimation of future revenue and projected margins, which are dependent on internal cash flow forecasts, estimation of the terminal growth rates and capital spending, and determination of discount rates. The discount rates used are based on our weighted average cost of capital and are adjusted for risks and uncertainties inherent in our business and in our estimation of future cash flows.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by which the carrying value exceeds the fair value of the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On January 1, 2019, we adopted Accounting Standards Codification No. 842, Leases ("ASC 842") using the modified retrospective method, with the cumulative-effect adjustment recorded to the opening balance of retained earnings as of the January 1, 2019 adoption date. We also elected the transition option under ASC 842 whereby prior periods have not been retrospectively adjusted in the consolidated financial statements.</w:t>
      </w:r>
    </w:p>
    <w:p>
      <w:pPr>
        <w:spacing w:after="0" w:line="19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 conveyed to us if we obtain the rights to direct the use of and to obtain substantially all of the economic benefits from using the underlying asset.</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classify leases with contractual terms greater than 12 months as either operating or finance. Finance leases are generally those leases that allow us to substantially utilize an asset over its estimated life. Our finance leases primarily consist of equipment and certain data center facilities. All other leases are categorized as operating leases, which primarily consist of certain data centers and office space. Our leases generally have terms ranging from 1 to 20 years for data centers, 2 to 5 years for equipment and 1 to 10 years for office space.</w:t>
      </w:r>
    </w:p>
    <w:p>
      <w:pPr>
        <w:spacing w:after="0" w:line="21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Lease liabilities are recognized based on the present value of lease payments, reduced by lease incentives, at the lease commencement date. We use an incremental borrowing rate to determine the present value of lease payments as the interest rate implicit in most of our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spacing w:after="0" w:line="219"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Lease assets are recognized based on the related lease liabilities, plus any prepaid lease payments and initial direct costs from executing the leasing arrangement. Operating and finance lease assets are included in "Operating right-of-use assets" and "Property, equipment and software, net," respectively, in our Consolidated Balance Sheets.</w:t>
      </w:r>
    </w:p>
    <w:p>
      <w:pPr>
        <w:spacing w:after="0" w:line="21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We will remeasure our lease liability and adjust the related right-of-use asset upon the occurrence of the following: lease modifications not accounted for as a separate contract; a triggering event that changes the certainty of the lessee exercising an option to renew or terminate the lease, or purchase the underlying asset; or the resolution of a contingency upon which any variable lease payments are based such that those payments become fixed.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spacing w:after="0" w:line="19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Variable payments related to a lease are expensed as incurred. These costs often relate to payments for a proportionate share of real estate taxes, insurance, common area maintenance, and other operating costs in addition to base rent.</w:t>
      </w:r>
    </w:p>
    <w:p>
      <w:pPr>
        <w:spacing w:after="0" w:line="19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lease certain data center facilities that are build-to-suit arrangements, for which construction had been completed prior to or was in process upon the adoption of ASC 842, effective January 1, 2019. For purposes of applying ASC 842’s transition provisions, we elected to first assess lease classification for each applicable build-to-suit lease arrangement at lease inception under previous lease accounting guidance ("ASC 840"), and then apply ASC 842’s transition provisions based on those assessments. We derecognized the assets and liabilities associated with these arrangements for transitional purposes and recognized lease assets and lease liabilities for either operating or finance leases corresponding to the operating or capital lease classification designations determined in our ASC 840 reassessments. In addition, we lease certain properties that were deemed failed sale-leasebacks under ASC 840. We continue to account for these arrangements as failed sale-leasebacks under ASC 842. Refer to the "Financing Obligations" section below for further discussion.</w:t>
      </w:r>
    </w:p>
    <w:p>
      <w:pPr>
        <w:spacing w:after="0" w:line="21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spacing w:after="0" w:line="211"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We are deemed a lessor in certain hosting arrangements where our equipment is located in a customer’s data center. We account for these arrangements as either sales-type or direct finance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From time to time, we enter into installment payment arrangements with certain equipment and software vendors. These arrangements are generally non-interest bearing, and require the calculation of an imputed interest rate.</w:t>
      </w:r>
    </w:p>
    <w:p>
      <w:pPr>
        <w:spacing w:after="0" w:line="19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9, "Financing Obligations" for disclosure of future minimum payments under vendor financing and failed sale-leaseback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of our revenue is from contracts with customers. We account for a contract when it has approval and commitment from all parties, the rights of the parties are identified, payment terms are identified, the contract has commercial substance and collectibility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Accounting Standards Codification No. 606, Revenue from Contracts with Customers ("ASC 606"), regarding modification to a single performance obligation, when contracts are modified to add, remove or change existing services, the modification will only affect the accounting for the remaining distinct goods and services provided. As such, our contract modifications are accounted for prospectively.</w:t>
      </w:r>
    </w:p>
    <w:p>
      <w:pPr>
        <w:spacing w:after="0" w:line="20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largest source of revenue relates to fees associated with certain arrangements within our Multicloud Services offerings that generally have a fixed term usually not exceeding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spacing w:after="0" w:line="20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Our other primary sources of revenue are for public cloud services within our Multicloud Services offering, and our OpenStack Public Cloud and Apps &amp; Cross Platform offerings. Customers are generally invoiced monthly based on usage. Contracts for these arrangements typically operate on a month-to-month basis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therefore we recognize revenue as the services are performed.</w:t>
      </w:r>
    </w:p>
    <w:p>
      <w:pPr>
        <w:spacing w:after="0" w:line="22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standalone selling price ("SSP"). Judgment is required to determine the SSP for each of our distinct performance obligations. We utilize a range of prices when developing our estimates of SSP.</w:t>
      </w:r>
    </w:p>
    <w:p>
      <w:pPr>
        <w:spacing w:after="0" w:line="20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is reported net of customer credits and sales and use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Timing of revenue recognition may differ from the timing of invoicing to customers. Invoiced amounts and accrued unbilled usage are recorded in accounts receivable and either deferred revenue or revenue.</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doubtful accounts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spacing w:after="0" w:line="21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25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recognize assets for the incremental costs to obtain and fulfill a contract with a customer.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30 months including expected renewals. If such period is less than 12 months, we have elected to apply the practical expedient under ASC 606 and expense costs as incurred. We include expected renewals in the period over which related services are expected to be delivered because sales commissions paid on renewals are not material and not commensurate with sales commissions paid on the initial contract. Sales commissions expense is recorded within "Selling, general and administrative expenses" and implementation and set-up costs are recorded within "Cost of revenue" in the Consolidated Statements of Comprehensive Loss. These capitalized costs are included in "Other non-current assets" in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non-equity incentive compensation and related expenses of our support teams and data center employees. Data center facility costs include rent, utility costs, maintenance fees, and bandwidth.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Selling, general and administrative expenses primarily consist of: (i) employee-related costs for functions such as executive management, sales and marketing, research and development, finance and accounting, human resources, information technology, and legal; (ii) 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spacing w:after="0" w:line="19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Advertising costs are expensed in the period incurred. Advertising expense was $41.9 million, $39.9 million and $42.5 million for the years ended December 31, 2018, 2019 and 2020, respectively.</w:t>
      </w:r>
    </w:p>
    <w:p>
      <w:pPr>
        <w:spacing w:after="0" w:line="19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Research and development expense was $74.7 million, $56.0 million and $36.7 million, for the years ended December 31, 2018,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9"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We grant equity awards, including stock options and restricted stock, to eligible participants.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restricted stock with either solely a service requirement or with the combination of service and performance requirements is based on the closing fair market value of our common stock on the date of grant. The fair value of awards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spacing w:after="0" w:line="20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are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580" w:firstLine="486"/>
        <w:spacing w:after="0" w:line="34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52" w:lineRule="exact"/>
        <w:rPr>
          <w:sz w:val="20"/>
          <w:szCs w:val="20"/>
          <w:color w:val="auto"/>
        </w:rPr>
      </w:pPr>
    </w:p>
    <w:p>
      <w:pPr>
        <w:ind w:left="500" w:right="240"/>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1"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which require management judgment or estimation. The fair values are therefore determined using model-based techniques, including discounted cash flow models.</w:t>
      </w:r>
    </w:p>
    <w:p>
      <w:pPr>
        <w:spacing w:after="0" w:line="197"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Financial instruments measured at fair value on a recurring basis primarily consist of money market funds, an equity investment we disposed of in 2019, and derivative instruments. The fair values of money market funds and the aforementioned equity investment are measured using Level 1 inputs, which are based on a market approach using prices and other relevant information generated by market transactions involving identical or comparable assets. See Note 6, "Investments" for more information on the inputs used to fair value a certain equity investment. The fair values of derivative instruments are measured using Level 2 inputs. See "Derivative Instruments" below for more information on the inputs used to fair value our derivative instruments.</w:t>
      </w:r>
    </w:p>
    <w:p>
      <w:pPr>
        <w:spacing w:after="0" w:line="21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fair values of our long-term debt instruments are measured using Level 2 inputs. See Note 7, "Debt" for more information on the inputs used to fair value our long-term debt instruments.</w:t>
      </w:r>
    </w:p>
    <w:p>
      <w:pPr>
        <w:spacing w:after="0" w:line="19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fair values of our reporting units and indefinite-lived intangible assets are measured using Level 3 inputs. As a result of our annual goodwill impairment test, during the year ended December 31, 2018, we reduced the carrying value of one of our reporting units by $295.0 million to its implied fair value. See "Goodwill and Indefinite-lived Intangible Assets" above for more information on the inputs used to fair value our reporting units and indefinite-lived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w:t>
      </w:r>
    </w:p>
    <w:p>
      <w:pPr>
        <w:spacing w:after="0" w:line="21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Foreign currency translation adjustments arising from differences in exchange rates from period to period are recorded within "Accumulated other comprehensive income" in the Consolidated Balance Sheets.</w:t>
      </w:r>
    </w:p>
    <w:p>
      <w:pPr>
        <w:spacing w:after="0" w:line="19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Transaction gains or losses in currencies other than the functional currency are included as a component of "Other income (expense), net" in the Consolidated Statements of Comprehensive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utilize derivative instruments, including interest rate swap agreements, foreign currency hedging contracts and fixed price power contracts, to manage our exposure to interest rate risk, foreign currency fluctuations and commodity price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Rate Swaps</w:t>
      </w:r>
    </w:p>
    <w:p>
      <w:pPr>
        <w:spacing w:after="0" w:line="25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are exposed to interest rate risk associated with fluctuations in interest rates on the floating-rate first lien term loan facility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1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December 31, 2019, none of our interest rate swap agreements were designated as cash flow hedges of interest rate risk for accounting purposes, therefore, all changes in the fair value of the interest rate swap agreements were recorded to "Interest expense" in the Consolidated Statements of Comprehensive Loss. On January 9, 2020, we designated certain of our swaps as cash flow hedges. On the designation date, the cash flow hedges were in a $39.9 million liability position ("off-market swap value"). The cash flow hedges were expected to be highly effective on the designation date and, on a quarterly basis, we perform retrospective and prospective assessments to determine whether the cash flow hedges continue to be highly effective, which we have deemed to be a dollar-offset ratio between 80% to 125%. As long as the cash flow hedges are highly effective, changes in fair value are recorded to "Accumulated other comprehensive income (loss)" in the Consolidated Balance Sheets and reclassified to "Interest expense" in the period when the underlying transaction affects earnings. The off-market swap value is amortized as a reduction to "Interest expense" on a straight-line basis over the remaining term of each cash flow hedge.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 As of December 31, 2020, all of our cash flow hedges were highly effective.</w:t>
      </w:r>
    </w:p>
    <w:p>
      <w:pPr>
        <w:spacing w:after="0" w:line="20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Our interest rate swaps are recognized at fair value in the Consolidated Balance Sheets and are valued using pricing models that rely on market observable inputs such as yield curve data, which are classified as Level 2 inputs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Foreign Currency Hedging Contracts</w:t>
      </w:r>
    </w:p>
    <w:p>
      <w:pPr>
        <w:spacing w:after="0" w:line="252"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5"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the fair value are recorded in "Other income (expense), net."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Fixed Price Power Contracts</w:t>
      </w:r>
    </w:p>
    <w:p>
      <w:pPr>
        <w:spacing w:after="0" w:line="252"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spacing w:after="0" w:line="176"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If a contract is deemed to be a derivative, we also determine if it qualifies for the normal purchases normal sales scope exception to derivative accounting, which would result in expensing electricity usage as incurred. Power contracts accounted for as derivatives are valued using pricing models that rely on market observable inputs such as current power prices, which are classified as Level 2 inputs within the fair value hierarchy.</w:t>
      </w:r>
    </w:p>
    <w:p>
      <w:pPr>
        <w:spacing w:after="0" w:line="20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entered into a fixed price power contract for a London data center in September 2015 and accounted for it as a derivative that did not qualify for the normal purchases normal sales exception. The contract, which ended in September 2018, was not designated as a cash flow hedge for accounting purposes, and therefore, any changes in fair value were recorded in "Cost of revenue." As of December 31, 2019 and 2020, we do not have any power contracts recorded at fair value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On January 15, 2021, we completed the sale of a parcel of undeveloped land in the United Kingdom adjacent to one of our existing data centers. The net book value of the land prior to the sale was $11 million and we received net cash proceeds of $32 million, which resulted in an approximate gain of $21 million.</w:t>
      </w:r>
    </w:p>
    <w:p>
      <w:pPr>
        <w:spacing w:after="0" w:line="21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On February 2, 2021, we issued 2,665,935 shares of common stock to DPH 123, LLC for no additional consideration pursuant to the Agreement and Plan of Merger, dated as of September 6, 2017, in connection with our November 15, 2017 acquisition of Datapipe Parent, Inc. ("Datapipe"). Refer to Note 11, "Stockholders' Equity" for more information.</w:t>
      </w:r>
    </w:p>
    <w:p>
      <w:pPr>
        <w:spacing w:after="0" w:line="211"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On February 9, 2021, we issued $550.0 million of 3.50% Senior Secured Notes due 2028 ("3.50% Senior Secured Notes") that will mature on February 15, 2028 and bear interest at a fixed rate of 3.50% per year, payable semi-annually on each February 15 and August 15 through maturity. The 3.50% Senior Secured Notes are not subject to registration rights.</w:t>
      </w:r>
    </w:p>
    <w:p>
      <w:pPr>
        <w:spacing w:after="0" w:line="21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February 9, 2021, we amended and restated our first lien credit agreement, which included a new seven-year $2,300.0 million senior secured first lien term loan facility (the "New Term Loan Facility") and our existing $375.0 million senior secured first lien revolving credit facility. We borrowed the entire $2,300.0 million New Term Loan Facility and used the borrowings under the New Term Loan Facility, together with the proceeds from the issuance of the 3.50% Senior Secured Notes described above, to repay all borrowings under our existing term loan facility, to pay related fees and expenses and for general corporate purposes.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Borrowings under the New Term Loan Facility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or (b) a base rate determined by reference to the highest of (i) the federal funds rate plus 0.50%, (ii) the prime rate of Citibank, N.A. and (iii) the one-month adjusted LIBOR plus 1.00%. The applicable margin for the New Term Loan Facility is 2.75% for LIBOR loans and 1.75% for base rate loans. Interest is due at the end of each interest period elected, not exceeding 90 days, for LIBOR loans and at the end of every calendar quarter for base rate loans.</w:t>
      </w:r>
    </w:p>
    <w:p>
      <w:pPr>
        <w:spacing w:after="0" w:line="219"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Beginning June 30, 2021, we will also be required to make quarterly amortization payments on the New Term Loan Facility in an annual amount equal to 1.0% of the original principal amount of the New Term Loan Facility, with the balance due at maturity on February 15, 2028.</w:t>
      </w:r>
    </w:p>
    <w:p>
      <w:pPr>
        <w:spacing w:after="0" w:line="17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On February 12, 2021, we restructured our interest rate swap positions using a strategy commonly referred to as a “blend and extend” in order to continue to manage our exposure to interest rate risk under the New Term Loan Facility. We executed a new interest rate swap with a notional amount of $1.35 billion maturing on February 9, 2026, effectively blending the liability position of our existing interest rate swap agreements into the new swap and extending the term of our hedged position. The new interest rate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this transaction, all existing interest rate swap agreements with the same counterparty were terminated. Two additional interest rate swap agreements with other counterparties were not terminated; however, we entered into an offsetting trade to net against those swap positions to remove the variability of the cash flows of the swaps but allow the original liability to be settled through February 2022. Refer to Note 16, “Derivatives” for more information on our existing interest rate swap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460" w:firstLine="486"/>
        <w:spacing w:after="0" w:line="279" w:lineRule="auto"/>
        <w:rPr>
          <w:sz w:val="20"/>
          <w:szCs w:val="20"/>
          <w:color w:val="auto"/>
        </w:rPr>
      </w:pPr>
      <w:r>
        <w:rPr>
          <w:rFonts w:ascii="Arial" w:cs="Arial" w:eastAsia="Arial" w:hAnsi="Arial"/>
          <w:sz w:val="17"/>
          <w:szCs w:val="17"/>
          <w:color w:val="auto"/>
        </w:rPr>
        <w:t>Certain reclassifications have been made to the prior period consolidated financial statements to conform to the current period presentation. Specifically, the non-current portion of "Finance lease liabilities" is now presented separately from "Other non-current liabilities" in the Consolidated Balance Sheets. This presentation change is due to the modification of certain leases in June 2020 which resulted in a change of classification from operating leases to finance leases, increasing the balance of the non-current portion of "Finance lease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Financial Instruments-Credit Losses</w:t>
      </w:r>
    </w:p>
    <w:p>
      <w:pPr>
        <w:spacing w:after="0" w:line="252"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 Credit Losses (Topic 326) - Measurement of Credit Losses on Financial Instruments</w:t>
      </w:r>
      <w:r>
        <w:rPr>
          <w:rFonts w:ascii="Arial" w:cs="Arial" w:eastAsia="Arial" w:hAnsi="Arial"/>
          <w:sz w:val="16"/>
          <w:szCs w:val="16"/>
          <w:color w:val="auto"/>
        </w:rPr>
        <w:t>, which requires financial assets measured at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cost to be presented at the net amount expected to be collected using an allowance for expected credit losses, to be estimated by management based on historical experience, current conditions, and reasonable and supportable forecasts. We adopted this guidance on January 1, 2020, using the modified retrospective approach. The adoption of this guidance did not have a material impact on our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Derivatives and Hedging-Targeted Improvements to Accounting for Hedging Activities</w:t>
      </w:r>
    </w:p>
    <w:p>
      <w:pPr>
        <w:spacing w:after="0" w:line="25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which improves the financial reporting of hedging relationships to better portray the economic results of an entity’s risk management activities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its financial statements and to simplify the application of the hedge accounting guidance. The guidance expands and refines hedge accounting for both nonfinancial and financial risk components and aligns the recognition and presentation of the effects of hedging instruments and hedged items in the financial statements. The guidance also amends the presentation and disclosure requirements and changes how entities assess hedge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firstLine="486"/>
        <w:spacing w:after="0" w:line="301" w:lineRule="auto"/>
        <w:rPr>
          <w:sz w:val="20"/>
          <w:szCs w:val="20"/>
          <w:color w:val="auto"/>
        </w:rPr>
      </w:pPr>
      <w:r>
        <w:rPr>
          <w:rFonts w:ascii="Arial" w:cs="Arial" w:eastAsia="Arial" w:hAnsi="Arial"/>
          <w:sz w:val="16"/>
          <w:szCs w:val="16"/>
          <w:color w:val="auto"/>
        </w:rPr>
        <w:t>We adopted this ASU on January 1, 2020. The guidance applies to any existing hedges or new derivative instruments that are designated as hedges for derivative accounting purposes in future periods. We have historically not designated our interest rate swaps or foreign currency hedging contracts as hedges for derivative accounting purposes, however, on January 9, 2020, we designated certain of our interest rate swap agreements as cash flow hedges. Refer to Note 16, "Derivatives," and "Interest rate swaps" above for the cash flow hedge disclosures required by the provisions of this guidance.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Fair Value Measurement Disclosures</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removes, modifies or adds certain disclosure requirements for fair value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We adopted this guidance on January 1, 2020 on a prospective basis. The adoption did not have a material impact on our consolidated financial statements.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Customer’s Accounting for Fees Paid in a Cloud Computing Arrangement</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We adopted this guidance on January 1, 2020 on a prospective basis. The adoption of this guidance primarily resulted in changes to the presentation of certain implementation costs within our consolidated financial statements. Historically, these costs were capitalized as part of "Property, equipment, and software, net" and amortized over the useful life of the related software or hosting arrangement. Upon adoption, eligible costs incurred are now recorded within "Prepaid expenses" and "Other non-current assets" and amortized to either "Cost of revenue" or "Selling, general and administrative expenses" over the useful life of the related software or hosting arrangement. In addition, the cash flow presentation of these costs changed from investing cash flows under previous guidance to operating cash flows under the new guidance. The adoption of this guidance did not have a material impact on our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contains practical expedients for reference rate reform related activities that impact debt, leases, derivatives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The guidance in ASU 2020-04 is optional and may be elected over time as reference rate reform activities occur. In July 2020,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We continue to evaluate the impact of the guidance and may apply other elections as applicable as additional changes in the market occur.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Simplifying the Accounting for Income Taxes</w:t>
      </w:r>
    </w:p>
    <w:p>
      <w:pPr>
        <w:spacing w:after="0" w:line="25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The guidance is effective for us on January 1, 2021. We are currently evaluating the impact this guidance will have on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 as of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200" w:type="dxa"/>
            <w:vAlign w:val="bottom"/>
            <w:gridSpan w:val="2"/>
          </w:tcPr>
          <w:p>
            <w:pPr>
              <w:ind w:left="740"/>
              <w:spacing w:after="0"/>
              <w:rPr>
                <w:sz w:val="20"/>
                <w:szCs w:val="20"/>
                <w:color w:val="auto"/>
              </w:rPr>
            </w:pPr>
            <w:r>
              <w:rPr>
                <w:rFonts w:ascii="Arial" w:cs="Arial" w:eastAsia="Arial" w:hAnsi="Arial"/>
                <w:sz w:val="16"/>
                <w:szCs w:val="16"/>
                <w:b w:val="1"/>
                <w:bCs w:val="1"/>
                <w:color w:val="auto"/>
              </w:rPr>
              <w:t>Consolidated Balance Sheets Account</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08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76.7</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doubtful accounts and accrued customer credits was $17.0 million and $28.3 million as of December 31, 2019 and 2020, respectively.</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changes in the allowance for doubtful accounts during the years ended December 31, 2018, 2019 and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Write-offs of Accounts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Beginning Balance</w:t>
            </w:r>
          </w:p>
        </w:tc>
        <w:tc>
          <w:tcPr>
            <w:tcW w:w="320" w:type="dxa"/>
            <w:vAlign w:val="bottom"/>
          </w:tcPr>
          <w:p>
            <w:pPr>
              <w:spacing w:after="0"/>
              <w:rPr>
                <w:sz w:val="14"/>
                <w:szCs w:val="14"/>
                <w:color w:val="auto"/>
              </w:rPr>
            </w:pPr>
          </w:p>
        </w:tc>
        <w:tc>
          <w:tcPr>
            <w:tcW w:w="17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 xml:space="preserve">Additions </w:t>
            </w:r>
            <w:r>
              <w:rPr>
                <w:rFonts w:ascii="Arial" w:cs="Arial" w:eastAsia="Arial" w:hAnsi="Arial"/>
                <w:sz w:val="21"/>
                <w:szCs w:val="21"/>
                <w:b w:val="1"/>
                <w:bCs w:val="1"/>
                <w:color w:val="auto"/>
                <w:vertAlign w:val="superscript"/>
              </w:rPr>
              <w:t>(1)</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Receivables, Net of</w:t>
            </w:r>
          </w:p>
        </w:tc>
        <w:tc>
          <w:tcPr>
            <w:tcW w:w="260" w:type="dxa"/>
            <w:vAlign w:val="bottom"/>
          </w:tcPr>
          <w:p>
            <w:pPr>
              <w:spacing w:after="0"/>
              <w:rPr>
                <w:sz w:val="14"/>
                <w:szCs w:val="14"/>
                <w:color w:val="auto"/>
              </w:rPr>
            </w:pPr>
          </w:p>
        </w:tc>
        <w:tc>
          <w:tcPr>
            <w:tcW w:w="17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Ending Balance</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Recoveries</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years ending December 31,</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jc w:val="right"/>
              <w:ind w:right="1321"/>
              <w:spacing w:after="0"/>
              <w:rPr>
                <w:sz w:val="20"/>
                <w:szCs w:val="20"/>
                <w:color w:val="auto"/>
              </w:rPr>
            </w:pPr>
            <w:r>
              <w:rPr>
                <w:rFonts w:ascii="Arial" w:cs="Arial" w:eastAsia="Arial" w:hAnsi="Arial"/>
                <w:sz w:val="16"/>
                <w:szCs w:val="16"/>
                <w:color w:val="auto"/>
              </w:rPr>
              <w:t>2018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2019</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3120" w:type="dxa"/>
            <w:vAlign w:val="bottom"/>
          </w:tcPr>
          <w:p>
            <w:pPr>
              <w:jc w:val="right"/>
              <w:ind w:right="1321"/>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Additions to the allowance for doubtful accounts are charged to bad debt within selling, general and administrative expense.</w:t>
      </w:r>
    </w:p>
    <w:p>
      <w:pPr>
        <w:spacing w:after="0" w:line="244"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Amounts recognized in revenue for the years ended December 31, 2018, 2019 and 2020, which were included in deferred revenue as of the beginning of each period totaled $35.1 million, $47.6 million and $59.5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December 31, 2019 and 2020, the balances of capitalized costs to obtain a contract were $55.1 million and $59.3 million, respectively, and the balances of capitalized costs to fulfill a contract were $21.7 million and $25.0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capitalized sales commissions and implementation costs for the years ended December 31, 2018, 2019 and 2020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2020, the aggregate amount of transaction price allocated to remaining performance obligations was $922.9 million, of which 60% is expected to be recognized as revenue during 2021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Basic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19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22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(470.6)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(245.8)</w:t>
            </w:r>
          </w:p>
        </w:tc>
      </w:tr>
      <w:tr>
        <w:trPr>
          <w:trHeight w:val="219"/>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r>
      <w:tr>
        <w:trPr>
          <w:trHeight w:val="210"/>
        </w:trPr>
        <w:tc>
          <w:tcPr>
            <w:tcW w:w="6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r>
      <w:tr>
        <w:trPr>
          <w:trHeight w:val="212"/>
        </w:trPr>
        <w:tc>
          <w:tcPr>
            <w:tcW w:w="622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
        </w:trPr>
        <w:tc>
          <w:tcPr>
            <w:tcW w:w="6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Since we were in a net loss position for all periods presented, basic net loss per share is the same as diluted net loss per share for all periods as the inclusion of all potential common shares outstanding would have been anti-dilutive. We excluded 21.3 million, 20.1 million and 24.3 million potential common shares from the computation of dilutive loss per share for the years ended December 31, 2018, 2019 and 2020, respectively, because the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at December 31, 2019 and 2020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6"/>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2,232.3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3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color w:val="auto"/>
        </w:rPr>
        <w:t>Depreciation expense related to property, equipment and software was $445.5 million, $328.5 million and $289.8 million for the years ended December 31, 2018, 2019 and 2020, respectively. Depreciation expense for the year ended December 31, 2018 includes $20.9 million of accelerated depreciation resulting from a revision to the useful life of certain equipment assets.</w:t>
      </w:r>
    </w:p>
    <w:p>
      <w:pPr>
        <w:spacing w:after="0" w:line="211"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Included in the balance of property, equipment, and software as of December 31, 2019 and 2020 are assets recorded under finance leases. See Note 8, "Leases" for a discussion of the lease arrangements and the amounts within property, equipment and software as of December 31, 2019 and 2020.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changes in the carrying amounts of goodwill by reportable segment during the years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Multicloud Services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OpenStack Public</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Platform</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Cloud</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2,474.7</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Onica acquisition</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Bright Skies acquisition</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Onica measurement period adjustments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Gross goodwill</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2,681.0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3,056.1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December 31, 2020</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future revenue and projected margins, which are dependent on internal forecasts, estimation of the terminal growth rates and capital spending, and determination of discount rates. Changes in these estimates and assumptions could materially affect the fair value of the reporting unit, potentially resulting in an impairment charge.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results of our goodwill impairment test for the years ended December 31, 2019 and 2020 did not indicate any impairments of goodwill.</w:t>
      </w:r>
    </w:p>
    <w:p>
      <w:pPr>
        <w:spacing w:after="0" w:line="2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2019</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9"/>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3"/>
                <w:szCs w:val="13"/>
                <w:color w:val="auto"/>
              </w:rPr>
            </w:pPr>
          </w:p>
        </w:tc>
        <w:tc>
          <w:tcPr>
            <w:tcW w:w="126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Net carrying</w:t>
            </w:r>
          </w:p>
        </w:tc>
      </w:tr>
      <w:tr>
        <w:trPr>
          <w:trHeight w:val="213"/>
        </w:trPr>
        <w:tc>
          <w:tcPr>
            <w:tcW w:w="6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212"/>
        </w:trPr>
        <w:tc>
          <w:tcPr>
            <w:tcW w:w="6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1,523.8</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6"/>
        </w:trPr>
        <w:tc>
          <w:tcPr>
            <w:tcW w:w="6640" w:type="dxa"/>
            <w:vAlign w:val="bottom"/>
          </w:tcPr>
          <w:p>
            <w:pPr>
              <w:ind w:left="360"/>
              <w:spacing w:after="0"/>
              <w:rPr>
                <w:sz w:val="20"/>
                <w:szCs w:val="20"/>
                <w:color w:val="auto"/>
              </w:rPr>
            </w:pPr>
            <w:r>
              <w:rPr>
                <w:rFonts w:ascii="Arial" w:cs="Arial" w:eastAsia="Arial" w:hAnsi="Arial"/>
                <w:sz w:val="16"/>
                <w:szCs w:val="16"/>
                <w:color w:val="auto"/>
              </w:rPr>
              <w:t>Total definite-lived intangible assets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1,567.4</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 (indefinite-lived)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6640" w:type="dxa"/>
            <w:vAlign w:val="bottom"/>
          </w:tcPr>
          <w:p>
            <w:pPr>
              <w:ind w:left="460"/>
              <w:spacing w:after="0"/>
              <w:rPr>
                <w:sz w:val="20"/>
                <w:szCs w:val="20"/>
                <w:color w:val="auto"/>
              </w:rPr>
            </w:pPr>
            <w:r>
              <w:rPr>
                <w:rFonts w:ascii="Arial" w:cs="Arial" w:eastAsia="Arial" w:hAnsi="Arial"/>
                <w:sz w:val="16"/>
                <w:szCs w:val="16"/>
                <w:color w:val="auto"/>
              </w:rPr>
              <w:t>Total intangible assets other than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2,293.5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1,817.4</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9"/>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126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Net carrying</w:t>
            </w:r>
          </w:p>
        </w:tc>
      </w:tr>
      <w:tr>
        <w:trPr>
          <w:trHeight w:val="213"/>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212"/>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1,362.2</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6"/>
        </w:trPr>
        <w:tc>
          <w:tcPr>
            <w:tcW w:w="6700" w:type="dxa"/>
            <w:vAlign w:val="bottom"/>
          </w:tcPr>
          <w:p>
            <w:pPr>
              <w:ind w:left="26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1,396.3</w:t>
            </w:r>
          </w:p>
        </w:tc>
      </w:tr>
      <w:tr>
        <w:trPr>
          <w:trHeight w:val="216"/>
        </w:trPr>
        <w:tc>
          <w:tcPr>
            <w:tcW w:w="6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Trade name (indefinite-lived)</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Total intangible assets other than 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2,299.9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1,646.3</w:t>
            </w:r>
          </w:p>
        </w:tc>
      </w:tr>
      <w:tr>
        <w:trPr>
          <w:trHeight w:val="21"/>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Amortization expense related to intangibles was $164.2 million, $167.5 million and $176.3 million for the years ended December 31, 2018, 2019 and 2020,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amortization of intangible assets for the next five years and thereafter is expected to be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Intangible Assets</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19"/>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167.6</w:t>
            </w:r>
          </w:p>
        </w:tc>
      </w:tr>
      <w:tr>
        <w:trPr>
          <w:trHeight w:val="219"/>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r>
      <w:tr>
        <w:trPr>
          <w:trHeight w:val="213"/>
        </w:trPr>
        <w:tc>
          <w:tcPr>
            <w:tcW w:w="9780" w:type="dxa"/>
            <w:vAlign w:val="bottom"/>
          </w:tcPr>
          <w:p>
            <w:pPr>
              <w:ind w:left="26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151.9</w:t>
            </w:r>
          </w:p>
        </w:tc>
      </w:tr>
      <w:tr>
        <w:trPr>
          <w:trHeight w:val="216"/>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r>
      <w:tr>
        <w:trPr>
          <w:trHeight w:val="213"/>
        </w:trPr>
        <w:tc>
          <w:tcPr>
            <w:tcW w:w="9780" w:type="dxa"/>
            <w:vAlign w:val="bottom"/>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1,396.3</w:t>
            </w:r>
          </w:p>
        </w:tc>
      </w:tr>
      <w:tr>
        <w:trPr>
          <w:trHeight w:val="20"/>
        </w:trPr>
        <w:tc>
          <w:tcPr>
            <w:tcW w:w="9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June 2019, CrowdStrike Holdings, Inc. ("CrowdStrike"), an entity in which Rackspace US, Inc. held an equity investment, completed an initial public offering and became a publicly-traded company. Prior to the date of CrowdStrike's initial public offering, our investment in CrowdStrike had a carrying value of $10.0 million and was accounted for as an equity investment without a readily determinable fair value. With the availability of observable price changes following the completion of CrowdStrike's initial public offering, our investment in CrowdStrike was measured at fair value on a prospective basis using the end of period quoted stock price, which is classified as a Level 1 input within the fair value hierarchy. In December 2019, Rackspace US, Inc. sold the investment in CrowdStrike for $106.9 million in cash proceeds.</w:t>
      </w:r>
    </w:p>
    <w:p>
      <w:pPr>
        <w:spacing w:after="0" w:line="20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hold other equity investments that do not have readily determinable fair values. The aggregate carrying value of these other equity investments was $0.1 million and $5.1 million as of December 31, 2019 and 2020, respectively.</w:t>
      </w:r>
    </w:p>
    <w:p>
      <w:pPr>
        <w:spacing w:after="0" w:line="19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For the year ended December 31, 2018, we recognized a net gain on investment activity of $4.6 million, of which $3.8 million related to the sale of shares in Mailgun Technologies, Inc. (“Mailgun Technologies”). See Note 14, “Divestitures” for more information. For the year ended December 31, 2019, we recognized a net gain on investment activity of $99.5 million which was primarily comprised of a $96.9 million realized gain related to the sale of the CrowdStrike investment. For the year ended December 31, 2020, we recognized a net gain on investment activity of $0.7 million, primarily comprised of a realized gain upon the receipt of proceeds related to the 2017 sale of an equity investment.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Term Loan Facility</w:t>
            </w:r>
          </w:p>
        </w:tc>
        <w:tc>
          <w:tcPr>
            <w:tcW w:w="120" w:type="dxa"/>
            <w:vAlign w:val="bottom"/>
            <w:vMerge w:val="restart"/>
          </w:tcPr>
          <w:p>
            <w:pPr>
              <w:spacing w:after="0"/>
              <w:rPr>
                <w:sz w:val="13"/>
                <w:szCs w:val="13"/>
                <w:color w:val="auto"/>
              </w:rPr>
            </w:pPr>
          </w:p>
        </w:tc>
        <w:tc>
          <w:tcPr>
            <w:tcW w:w="196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1"/>
              </w:rPr>
              <w:t>8.625% Senior Notes due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w w:val="89"/>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balance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2,824.6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center"/>
              <w:ind w:left="179"/>
              <w:spacing w:after="0"/>
              <w:rPr>
                <w:sz w:val="20"/>
                <w:szCs w:val="20"/>
                <w:color w:val="auto"/>
              </w:rPr>
            </w:pPr>
            <w:r>
              <w:rPr>
                <w:rFonts w:ascii="Arial" w:cs="Arial" w:eastAsia="Arial" w:hAnsi="Arial"/>
                <w:sz w:val="16"/>
                <w:szCs w:val="16"/>
                <w:color w:val="auto"/>
                <w:w w:val="90"/>
              </w:rPr>
              <w:t>(18.0)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6"/>
        </w:trPr>
        <w:tc>
          <w:tcPr>
            <w:tcW w:w="516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89"/>
              </w:rPr>
              <w:t>2,771.1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3,873.3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portion of debt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Debt, excluding current portion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89"/>
              </w:rPr>
              <w:t>2,742.1</w:t>
            </w:r>
          </w:p>
        </w:tc>
        <w:tc>
          <w:tcPr>
            <w:tcW w:w="12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1,102.2</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3,844.3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87"/>
              </w:rPr>
              <w:t>Accounts</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5.375% Senior</w:t>
            </w:r>
          </w:p>
        </w:tc>
        <w:tc>
          <w:tcPr>
            <w:tcW w:w="240" w:type="dxa"/>
            <w:vAlign w:val="bottom"/>
          </w:tcPr>
          <w:p>
            <w:pPr>
              <w:spacing w:after="0"/>
              <w:rPr>
                <w:sz w:val="14"/>
                <w:szCs w:val="14"/>
                <w:color w:val="auto"/>
              </w:rPr>
            </w:pPr>
          </w:p>
        </w:tc>
        <w:tc>
          <w:tcPr>
            <w:tcW w:w="132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Receivable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Term Loan Facility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Financing</w:t>
            </w:r>
          </w:p>
        </w:tc>
        <w:tc>
          <w:tcPr>
            <w:tcW w:w="200" w:type="dxa"/>
            <w:vAlign w:val="bottom"/>
          </w:tcPr>
          <w:p>
            <w:pPr>
              <w:spacing w:after="0"/>
              <w:rPr>
                <w:sz w:val="14"/>
                <w:szCs w:val="14"/>
                <w:color w:val="auto"/>
              </w:rPr>
            </w:pPr>
          </w:p>
        </w:tc>
        <w:tc>
          <w:tcPr>
            <w:tcW w:w="12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Notes due 2028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w w:val="90"/>
              </w:rPr>
              <w:t>Agreement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balance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2,795.6</w:t>
            </w:r>
          </w:p>
        </w:tc>
        <w:tc>
          <w:tcPr>
            <w:tcW w:w="56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3,410.6</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6"/>
        </w:trPr>
        <w:tc>
          <w:tcPr>
            <w:tcW w:w="516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2,755.3</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542.4</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3,362.7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portion of debt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Debt, excluding current portion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2,726.3</w:t>
            </w:r>
          </w:p>
        </w:tc>
        <w:tc>
          <w:tcPr>
            <w:tcW w:w="56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542.4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3,319.3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 November 3, 2016, in conjunction with the Rackspace Acquisition, Rackspace Technology Global entered into a secured First Lien Credit Agreement with Citibank, N.A. ("Citi") as the administrative agent. The First Lien Credit Agreement includes a first lien term loan facility (the "Term Loan Facility") originally in the amount of $2,000.0 million, which was fully drawn at closing of the Rackspace Acquisition, and an undrawn revolving credit facility ("Revolving Credit Facility") originally in the amount of $225.0 million (together, the "Senior Facilities"). Rackspace Technology Global may request additional Revolving Credit Facility commitments, and had the right to request additional Term Loan Facility commitments, in each case, up to a specified dollar amount plus additional amounts, subject to compliance with applicable leverage ratios and certain terms and conditions. The proceeds of the Term Loan Facility were used to fund the transactions associated with the Rackspace Acquisition. The Term Loan Facility was set to mature on November 3, 2023 and the Revolving Credit Facility originally matured on November 3, 2021.</w:t>
      </w:r>
    </w:p>
    <w:p>
      <w:pPr>
        <w:spacing w:after="0" w:line="20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Term Loan Facility bear interest at an annual rate equal to an applicable margin plus, at our option, either (a) a LIBOR rate determined by reference to the costs of funds for Eurodollar deposits for the interest period relevant to such borrowing, adjusted for certain additional costs, subject to a 1.00% floor in the case of term loans, or (b) a base rate determined by reference to the highest of (i) the federal funds rate plus 0.50%, (ii) the prime rate of Citi and (iii) the one-month adjusted LIBOR plus 1.00%. Interest is due at the end of each interest period elected, not exceeding 90 days, for LIBOR loans and at the end of every calendar quarter for base rate loans. Rackspace Technology Global was required to make quarterly amortization payments on the Term Loan Facility in an annual amount equal to 1.00% of the original principal amount, including incremental borrowings since the Rackspace Acquisition, or $7.2 million per quarter, with the balance due at maturity.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July 20, 2020, we entered into an amendment to the First Lien Credit Agreement that modified the terms of the Revolving Credit Facility effective upon the closing of the IPO on August 7, 2020. The amendment (i) increased the amount of the commitments available under the Revolving Credit Facility from $225.0 million to $375.0 million, (ii) reduced the applicable margin with respect to the Revolving Credit Facility to 3.00% for LIBOR loans and 2.00% for base rate loans, but includes a 1.00% LIBOR "floor" applicable to LIBOR loans, and (iii) extended the maturity date with respect to the Revolving Credit Facility from November 3, 2021 to August 7, 2025.</w:t>
      </w:r>
    </w:p>
    <w:p>
      <w:pPr>
        <w:spacing w:after="0" w:line="21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amendment to the Revolving Credit Facility also modified the financial maintenance covenant applicable to the Revolving Credit Facility that limits our net first lien leverage ratio to be a maximum of 5.00 to 1.00 (as compared to 3.50 to 1.00 prior to giving effect to the amendment). This financial maintenance covenant is only applicable and tested if the aggregate amount of outstanding borrowings under the Revolving Credit Facility and letters of credit issued thereunder (excluding $25.0 million of undrawn letters of credit and cash collateralized letters of credit) as of the last day of a fiscal quarter is equal to or greater than 35% of the Revolving Credit Facility commitments as of the last day of such fiscal quarter. Other than described in this and the previous paragraph, the terms and conditions of the Revolving Credit Facility remained the same, and the amendment did not amend or otherwise modify the terms of the Term Loan Facility.</w:t>
      </w:r>
    </w:p>
    <w:p>
      <w:pPr>
        <w:spacing w:after="0" w:line="204" w:lineRule="exact"/>
        <w:rPr>
          <w:sz w:val="20"/>
          <w:szCs w:val="20"/>
          <w:color w:val="auto"/>
        </w:rPr>
      </w:pPr>
    </w:p>
    <w:p>
      <w:pPr>
        <w:ind w:right="120" w:firstLine="486"/>
        <w:spacing w:after="0" w:line="243" w:lineRule="auto"/>
        <w:rPr>
          <w:sz w:val="20"/>
          <w:szCs w:val="20"/>
          <w:color w:val="auto"/>
        </w:rPr>
      </w:pPr>
      <w:r>
        <w:rPr>
          <w:rFonts w:ascii="Arial" w:cs="Arial" w:eastAsia="Arial" w:hAnsi="Arial"/>
          <w:sz w:val="18"/>
          <w:szCs w:val="18"/>
          <w:color w:val="auto"/>
        </w:rPr>
        <w:t>We accounted for the amendment to the Revolving Credit Facility as a debt modification and recorded $0.6 million in debt issuance costs to "Other non-current assets" in the Consolidated Balance Sheets. These are amortized, along with the unamortized debt issuance costs associated with the prior arrangement, on a straight-line basis to "Interest expense" in the Consolidated Statements of Comprehensive Loss over the five-year term of the modified arrangement.</w:t>
      </w:r>
    </w:p>
    <w:p>
      <w:pPr>
        <w:spacing w:after="0" w:line="215"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As of December 31, 2020, the Revolving Credit Facility had total commitments of $375.0 million. Over the course of the year ended December 31, 2020, Rackspace Technology Global borrowed and repaid an aggregate $245.0 million under the Revolving Credit Facility. As of December 31, 2020, we had no outstanding borrowings under the Revolving Credit Facility.</w:t>
      </w:r>
    </w:p>
    <w:p>
      <w:pPr>
        <w:spacing w:after="0" w:line="21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As of December 31, 2020, the interest rate on the Term Loan Facility was 4.00%. See Note 16, "Derivatives" for information on interest rate swap agreements we utilize to manage the interest rate risk on the Term Loan Facility.</w:t>
      </w:r>
    </w:p>
    <w:p>
      <w:pPr>
        <w:spacing w:after="0" w:line="197"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requires Rackspace Technology Global to make certain mandatory prepayments, including using (i) a portion of annual excess cash flow, as defined in the agreement, to prepay the New Term Loan Facility, (ii) net cash proceeds of certain non-ordinary assets sales or dispositions of property to prepay the New Term Loan Facility, and (iii) net cash proceeds of any issuance or incurrence of debt not permitted under the Senior Facilities to prepay the New Term Loan Facility. Rackspace Technology Global can make voluntary prepayments at any time without penalty, subject to customary breakage costs.</w:t>
      </w:r>
    </w:p>
    <w:p>
      <w:pPr>
        <w:spacing w:after="0" w:line="20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as discussed above;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fair value of the Term Loan Facility as of December 31, 2020 was $2,785.1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Rackspace Technology Global was in compliance with all covenants under the Senior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w:t>
      </w:r>
    </w:p>
    <w:p>
      <w:pPr>
        <w:spacing w:after="0" w:line="252"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On November 3, 2016, in conjunction with the Rackspace Acquisition, Rackspace Technology Global completed the issuance of $1,200.0 million aggregate principal amount of 8.625% Senior Notes due 2024 (the "8.625% Senior Notes") to qualified institutional buyers pursuant to Rule 144A under the Securities Act of 1933, as amended (the "Securities Act"), and outside the United States to non-U.S. persons pursuant to Regulation S under the Securities Act. The 8.625% Senior Notes were set to mature on November 15, 2024 and bore interest at a rate of 8.625% per year, payable semi-annually on May 15 and November 15. The proceeds of the 8.625% Senior Notes were used to fund the transactions associated with the Rackspace Acquisition, including consummation of the Rackspace Acquisition and payment of related fees and expenses. We recorded $31.7 million of debt issuance costs related to the Rackspace Technology Global’s issuance of the 8.625% Senior Notes.</w:t>
      </w:r>
    </w:p>
    <w:p>
      <w:pPr>
        <w:spacing w:after="0" w:line="204"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During the year ended December 31, 2019, Rackspace Technology Global repurchased and surrendered for cancellation $77.3 million of principal amount of 8.625% Senior Notes for $66.9 million including accrued interest of $0.8 million. In connection with these repurchases, we recorded a gain on debt extinguishment of $9.8 million in our Consolidated Statements of Comprehensive Loss for the year ended December 31, 2019.</w:t>
      </w:r>
    </w:p>
    <w:p>
      <w:pPr>
        <w:spacing w:after="0" w:line="176" w:lineRule="exact"/>
        <w:rPr>
          <w:sz w:val="20"/>
          <w:szCs w:val="20"/>
          <w:color w:val="auto"/>
        </w:rPr>
      </w:pPr>
    </w:p>
    <w:p>
      <w:pPr>
        <w:ind w:right="40" w:firstLine="486"/>
        <w:spacing w:after="0" w:line="294" w:lineRule="auto"/>
        <w:rPr>
          <w:sz w:val="20"/>
          <w:szCs w:val="20"/>
          <w:color w:val="auto"/>
        </w:rPr>
      </w:pPr>
      <w:r>
        <w:rPr>
          <w:rFonts w:ascii="Arial" w:cs="Arial" w:eastAsia="Arial" w:hAnsi="Arial"/>
          <w:sz w:val="16"/>
          <w:szCs w:val="16"/>
          <w:color w:val="auto"/>
        </w:rPr>
        <w:t>Between August and December 2020, Rackspace Technology Global repurchased and cancelled the remaining aggregate principal amount of the $1,120.2 million outstanding 8.625% Senior Notes and paid related premiums, fees and accrued and unpaid interest for aggregate cash of $1,191.9 million. In connection with these repurchases, we recorded a loss on debt extinguishment of $71.5 million in our Consolidated Statements of Comprehensive Loss for the year ended December 31, 2020, comprised of a $56.2 million aggregate premium on repurchase, $14.9 million write-off of unamortized debt issuance costs, and transaction fees of $0.4 million. Following the cancellations, we had no remaining outstanding principal balance under the 8.625% Senior Notes at December 31, 2020. We funded the repurchases with proceeds from the IPO, the issuance of $550.0 million aggregate principal amount of senior notes due in 2028 in a private offering, (see discussion at "5.375% Senior Notes" below), and cash on hand.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Rackspace Technology Global issued $550.0 million aggregate principal amount of 5.375% Senior Notes due 2028 (the "5.375% Senior Notes") on December 1, 2020. The 5.375% Senior Notes will mature on December 1, 2028 and bear interest at a fixed rate of 5.375% per year, payable semi-annually on each June 1 and December 1, commencing on June 1, 2021 through maturity. The 5.375% Senior Notes are not subject to registration rights. We used the net proceeds from the issuance, together with cash on hand, to fund the repurchase of the outstanding 8.625% Senior Notes due 2024 and to pay related fees and expenses.</w:t>
      </w:r>
    </w:p>
    <w:p>
      <w:pPr>
        <w:spacing w:after="0" w:line="215"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to the extent of the collateral securing the Senior Facilities. The indenture governing the 5.375% Senior Notes (the "5.375% Indenture") describes certain terms and conditions under which other current and future domestic subsidiaries are required to become guarantors of the 5.375% Senior Notes.</w:t>
      </w: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Indenture and accrued and unpaid interest, if any, to but excluding the redemption date; from December 1, 2023 to December 1, 2024, at a redemption price equal to 102.688% of the principal amount, plus accrued and unpaid interest, if any, to but excluding the redemption date; from December 1, 2024 to December 1,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up to 40%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The 5.375% Indenture contains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As of December 31, 2020, Rackspace Technology Global was in compliance with all covenants under the 5.375% Indenture.</w:t>
      </w:r>
    </w:p>
    <w:p>
      <w:pPr>
        <w:spacing w:after="0" w:line="17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fair value of the 5.375% Senior Notes as of December 31, 2020 was $574.8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Financing Agreement</w:t>
      </w:r>
    </w:p>
    <w:p>
      <w:pPr>
        <w:spacing w:after="0" w:line="252"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On March 19, 2020, a wholly owned subsidiary of the company entered into an accounts receivable financing agreement (the "Receivables Financing Facility"). Pursuant to the agreements evidencing the Receivables Financing Facility, Rackspace Receivables, LLC, a bankruptcy-remote special purpose vehicle ("SPV") wholly owned by Rackspace Technology Global, has granted a security interest in all of its current and future receivables and related assets in exchange for a credit facility permitting borrowings of up to a maximum aggregate amount of $100.0 million from time to time. Such borrowings are used by the SPV to finance purchases of accounts receivable. We recorded $1.0 million of fees and expenses related to the Receivables Financing Facility as debt issuance costs, which are included in "Other non-current assets" in the Consolidated Balance Sheets.</w:t>
      </w:r>
    </w:p>
    <w:p>
      <w:pPr>
        <w:spacing w:after="0" w:line="19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amount of advances available are determined based on advance rates relating to the eligibility of the receivables held by the SPV at that time. Advances bear interest based on LIBOR plus a margin. The last date on which advances may be made is March 21, 2022, unless the maturity of the Receivables Financing Facility is otherwise accelerated. In addition to other customary fees associated with financings of this type, the SPV is required to pay a monthly commitment fee based on the unused amount of the facility.</w:t>
      </w:r>
    </w:p>
    <w:p>
      <w:pPr>
        <w:spacing w:after="0" w:line="21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As of December 31, 2020, $65.0 million was borrowed and outstanding under the Receivables Financing Facility. Subsequent to December 31, 2020, the SPV repaid a portion of the Receivables Financing Facility in the amount of $15.0 million to cover a borrowing base deficit. The interest rate on the Receivables Financing Facility was 2.37% as of December 31, 2020.</w:t>
      </w:r>
    </w:p>
    <w:p>
      <w:pPr>
        <w:spacing w:after="0" w:line="21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The agreements evidencing the Receivables Financing Facility contain customary representations and warranties, affirmative and negative covenants, and events of default. As of December 31, 2020, the company was in compliance with all covenants under the Receivables Financing Facility.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maturities of debt obligations for the next five years at December 31, 2020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9"/>
        </w:trPr>
        <w:tc>
          <w:tcPr>
            <w:tcW w:w="9780" w:type="dxa"/>
            <w:vAlign w:val="bottom"/>
            <w:shd w:val="clear" w:color="auto" w:fill="CCEEFF"/>
          </w:tcPr>
          <w:p>
            <w:pPr>
              <w:jc w:val="right"/>
              <w:ind w:right="9120"/>
              <w:spacing w:after="0"/>
              <w:rPr>
                <w:sz w:val="20"/>
                <w:szCs w:val="20"/>
                <w:color w:val="auto"/>
              </w:rPr>
            </w:pPr>
            <w:r>
              <w:rPr>
                <w:rFonts w:ascii="Arial" w:cs="Arial" w:eastAsia="Arial" w:hAnsi="Arial"/>
                <w:sz w:val="16"/>
                <w:szCs w:val="16"/>
                <w:color w:val="auto"/>
              </w:rPr>
              <w:t>2022</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2,737.6</w:t>
            </w:r>
          </w:p>
        </w:tc>
      </w:tr>
      <w:tr>
        <w:trPr>
          <w:trHeight w:val="219"/>
        </w:trPr>
        <w:tc>
          <w:tcPr>
            <w:tcW w:w="9780" w:type="dxa"/>
            <w:vAlign w:val="bottom"/>
            <w:shd w:val="clear" w:color="auto" w:fill="CCEEFF"/>
          </w:tcPr>
          <w:p>
            <w:pPr>
              <w:jc w:val="right"/>
              <w:ind w:right="912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780" w:type="dxa"/>
            <w:vAlign w:val="bottom"/>
          </w:tcPr>
          <w:p>
            <w:pPr>
              <w:jc w:val="right"/>
              <w:ind w:right="912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780" w:type="dxa"/>
            <w:vAlign w:val="bottom"/>
            <w:shd w:val="clear" w:color="auto" w:fill="CCEEFF"/>
          </w:tcPr>
          <w:p>
            <w:pPr>
              <w:jc w:val="right"/>
              <w:ind w:right="880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9780" w:type="dxa"/>
            <w:vAlign w:val="bottom"/>
          </w:tcPr>
          <w:p>
            <w:pPr>
              <w:jc w:val="right"/>
              <w:ind w:right="90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3,410.6</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Assets recorded as property and equipment under finance leases, and the related accumulated depreciation balances as of December 31, 2019 and 2020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r>
      <w:tr>
        <w:trPr>
          <w:trHeight w:val="216"/>
        </w:trPr>
        <w:tc>
          <w:tcPr>
            <w:tcW w:w="8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Buildings </w:t>
            </w:r>
            <w:r>
              <w:rPr>
                <w:rFonts w:ascii="Arial" w:cs="Arial" w:eastAsia="Arial" w:hAnsi="Arial"/>
                <w:sz w:val="21"/>
                <w:szCs w:val="21"/>
                <w:color w:val="auto"/>
                <w:vertAlign w:val="superscript"/>
              </w:rPr>
              <w:t>(1)</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305.7</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Net book value of property and equipment under finance leases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w:t>
            </w:r>
          </w:p>
        </w:tc>
      </w:tr>
      <w:tr>
        <w:trPr>
          <w:trHeight w:val="21"/>
        </w:trPr>
        <w:tc>
          <w:tcPr>
            <w:tcW w:w="8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00" w:hanging="492"/>
        <w:spacing w:after="0" w:line="275" w:lineRule="auto"/>
        <w:tabs>
          <w:tab w:leader="none" w:pos="365"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the year ended December 31, 2020, we recorded $220.3 million to buildings and leasehold improvements related to lease modifications in June 2020 which resulted in a change of classification from operating leases to finance leases.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current and non-current balances of finance lease liabilities as of December 31, 2019 and 2020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199"/>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 liability balances included in:</w:t>
            </w:r>
          </w:p>
        </w:tc>
        <w:tc>
          <w:tcPr>
            <w:tcW w:w="6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finance lease liabilities</w:t>
            </w: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Total finance lease liabilities</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r>
      <w:tr>
        <w:trPr>
          <w:trHeight w:val="21"/>
        </w:trPr>
        <w:tc>
          <w:tcPr>
            <w:tcW w:w="8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operating and finance lease expense for the years ended December 31, 2019 and 2020 were as follows:</w:t>
      </w:r>
    </w:p>
    <w:p>
      <w:pPr>
        <w:spacing w:after="0" w:line="293"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Fixed lease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Short-term lease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Sublease income</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Total operating lease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Depreciation of finance lease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finance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Total finance lease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Supplemental operating cash flow information related to operating and finance leases for the years ended December 31, 2019 and 2020 were as follows:</w:t>
      </w:r>
    </w:p>
    <w:p>
      <w:pPr>
        <w:spacing w:after="0" w:line="238"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lease liabilities included within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599"/>
              <w:spacing w:after="0"/>
              <w:rPr>
                <w:sz w:val="20"/>
                <w:szCs w:val="20"/>
                <w:color w:val="auto"/>
              </w:rPr>
            </w:pPr>
            <w:r>
              <w:rPr>
                <w:rFonts w:ascii="Arial" w:cs="Arial" w:eastAsia="Arial" w:hAnsi="Arial"/>
                <w:sz w:val="16"/>
                <w:szCs w:val="16"/>
                <w:color w:val="auto"/>
                <w:w w:val="95"/>
              </w:rPr>
              <w:t>(85.3)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5"/>
              </w:rPr>
              <w:t>(20.2)</w:t>
            </w:r>
          </w:p>
        </w:tc>
      </w:tr>
      <w:tr>
        <w:trPr>
          <w:trHeight w:val="270"/>
        </w:trPr>
        <w:tc>
          <w:tcPr>
            <w:tcW w:w="8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lease assets obtained in exchange for lease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619"/>
              <w:spacing w:after="0"/>
              <w:rPr>
                <w:sz w:val="20"/>
                <w:szCs w:val="20"/>
                <w:color w:val="auto"/>
              </w:rPr>
            </w:pPr>
            <w:r>
              <w:rPr>
                <w:rFonts w:ascii="Arial" w:cs="Arial" w:eastAsia="Arial" w:hAnsi="Arial"/>
                <w:sz w:val="16"/>
                <w:szCs w:val="16"/>
                <w:color w:val="auto"/>
                <w:w w:val="96"/>
              </w:rPr>
              <w:t>42.7</w:t>
            </w:r>
          </w:p>
        </w:tc>
      </w:tr>
    </w:tbl>
    <w:p>
      <w:pPr>
        <w:spacing w:after="0" w:line="343"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As of December 31, 2019 and 2020, the weighted average remaining lease term and weighted average discount rate of our operating and finance leases, respectively, were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December 31, 2020</w:t>
            </w:r>
          </w:p>
        </w:tc>
      </w:tr>
      <w:tr>
        <w:trPr>
          <w:trHeight w:val="19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0"/>
        </w:trPr>
        <w:tc>
          <w:tcPr>
            <w:tcW w:w="800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7.2 %</w:t>
            </w:r>
          </w:p>
        </w:tc>
      </w:tr>
    </w:tbl>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lease payments under operating and finance leases as of December 31, 2020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w w:val="87"/>
              </w:rPr>
              <w:t>Finance leases</w:t>
            </w:r>
          </w:p>
        </w:tc>
      </w:tr>
      <w:tr>
        <w:trPr>
          <w:trHeight w:val="199"/>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406.6</w:t>
            </w:r>
          </w:p>
        </w:tc>
      </w:tr>
      <w:tr>
        <w:trPr>
          <w:trHeight w:val="207"/>
        </w:trPr>
        <w:tc>
          <w:tcPr>
            <w:tcW w:w="8480" w:type="dxa"/>
            <w:vAlign w:val="bottom"/>
          </w:tcPr>
          <w:p>
            <w:pPr>
              <w:ind w:left="240"/>
              <w:spacing w:after="0"/>
              <w:rPr>
                <w:sz w:val="20"/>
                <w:szCs w:val="20"/>
                <w:color w:val="auto"/>
              </w:rPr>
            </w:pPr>
            <w:r>
              <w:rPr>
                <w:rFonts w:ascii="Arial" w:cs="Arial" w:eastAsia="Arial" w:hAnsi="Arial"/>
                <w:sz w:val="16"/>
                <w:szCs w:val="16"/>
                <w:color w:val="auto"/>
              </w:rPr>
              <w:t>Total future lease payments</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646.1</w:t>
            </w:r>
          </w:p>
        </w:tc>
      </w:tr>
      <w:tr>
        <w:trPr>
          <w:trHeight w:val="216"/>
        </w:trPr>
        <w:tc>
          <w:tcPr>
            <w:tcW w:w="8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amount representing interest</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Total lease liability</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r>
      <w:tr>
        <w:trPr>
          <w:trHeight w:val="20"/>
        </w:trPr>
        <w:tc>
          <w:tcPr>
            <w:tcW w:w="8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Obligations</w:t>
      </w:r>
    </w:p>
    <w:p>
      <w:pPr>
        <w:spacing w:after="0" w:line="25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and certain property leases we assumed upon the acquisition of Datapipe.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imputed interest rate for our financing obligations was 7.3% as of December 31, 2020.</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2020, future payments under financing obligations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06"/>
        </w:trPr>
        <w:tc>
          <w:tcPr>
            <w:tcW w:w="9780" w:type="dxa"/>
            <w:vAlign w:val="bottom"/>
          </w:tcPr>
          <w:p>
            <w:pPr>
              <w:ind w:left="240"/>
              <w:spacing w:after="0"/>
              <w:rPr>
                <w:sz w:val="20"/>
                <w:szCs w:val="20"/>
                <w:color w:val="auto"/>
              </w:rPr>
            </w:pPr>
            <w:r>
              <w:rPr>
                <w:rFonts w:ascii="Arial" w:cs="Arial" w:eastAsia="Arial" w:hAnsi="Arial"/>
                <w:sz w:val="16"/>
                <w:szCs w:val="16"/>
                <w:color w:val="auto"/>
              </w:rPr>
              <w:t>Total future payments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138.8</w:t>
            </w:r>
          </w:p>
        </w:tc>
      </w:tr>
      <w:tr>
        <w:trPr>
          <w:trHeight w:val="219"/>
        </w:trPr>
        <w:tc>
          <w:tcPr>
            <w:tcW w:w="9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Plus amount representing residual asset balance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9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amount representing interest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237"/>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financing obligations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2020, are approximated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260.5</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216.2</w:t>
            </w: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16"/>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213"/>
        </w:trPr>
        <w:tc>
          <w:tcPr>
            <w:tcW w:w="9780" w:type="dxa"/>
            <w:vAlign w:val="bottom"/>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1,053.2</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also have purchase orders and construction contracts primarily related to data center equipment and facility build-outs. We generally have the right to cancel these open purchase orders prior to delivery or terminate the contracts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4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 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2019 or 2020.</w:t>
      </w:r>
    </w:p>
    <w:p>
      <w:pPr>
        <w:spacing w:after="0" w:line="204"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In connection with the Rackspace Acquisition, an affiliate of Apollo and Searchlight Capital Partners L.P ("Searchlight") (the "Affiliated Service Providers") each entered into a management consulting agreement with Rackspace Technology, Inc. (the "Apollo/Searchlight Management Consulting Agreement") relating to the provision of certain management consulting and advisory services following the consummation of the Rackspace Acquisition. In addition, on November 3, 2016, an affiliate of Apollo entered into a transaction fee agreement (the "Transaction Fee Agreement") with Rackspace Technology, Inc. relating to the provision of certain preparation services in support of the Rackspace Acquisition.</w:t>
      </w:r>
    </w:p>
    <w:p>
      <w:pPr>
        <w:spacing w:after="0" w:line="203"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On November 15, 2017, in connection with the Datapipe acquisition, ABRY Partners, LLC and ABRY Partners II, LLC (collectively, "ABRY") entered into a management consulting agreement (the "ABRY Management Consulting Agreement") with Rackspace Technology, Inc. relating to the provision of certain management consulting and advisory services.</w:t>
      </w:r>
    </w:p>
    <w:p>
      <w:pPr>
        <w:spacing w:after="0" w:line="211"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Under the terms of the Transaction Fee Agreement, the Apollo/Searchlight Management Consulting Agreement and the ABRY Management Consulting Agreement, the company has obligations to indemnify affiliates and representatives of Apollo, Searchlight and ABRY, as applicable, for any losses or liabilities that they may incur as a result of their provision of services under those agreements (unless the losses or liabilities have resulted from the willful misconduct of the person seeking indemnification). We had no liabilities recorded for these agreements as of December 31, 2019 or 2020.</w:t>
      </w:r>
    </w:p>
    <w:p>
      <w:pPr>
        <w:spacing w:after="0" w:line="18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the IPO on August 4, 2020.</w:t>
      </w:r>
    </w:p>
    <w:p>
      <w:pPr>
        <w:spacing w:after="0" w:line="21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2019 or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As of December 31, 2019 and 2020, we had 165.4 million and 201.8 million shares of our common stock legally issued and outstanding, respectively.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one class of authorized common stock. The rights and privileges provided to our common stockholders are as follows:</w:t>
      </w:r>
    </w:p>
    <w:p>
      <w:pPr>
        <w:spacing w:after="0" w:line="252" w:lineRule="exact"/>
        <w:rPr>
          <w:sz w:val="20"/>
          <w:szCs w:val="20"/>
          <w:color w:val="auto"/>
        </w:rPr>
      </w:pPr>
    </w:p>
    <w:p>
      <w:pPr>
        <w:ind w:left="820" w:right="440" w:hanging="32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9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—Subject to any preferential rights of any then outstanding preferred stock, all shares of our common stock are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in any dividends our board of directors may declare from legally available sources.</w:t>
      </w:r>
    </w:p>
    <w:p>
      <w:pPr>
        <w:spacing w:after="0" w:line="197" w:lineRule="exact"/>
        <w:rPr>
          <w:rFonts w:ascii="Arial" w:cs="Arial" w:eastAsia="Arial" w:hAnsi="Arial"/>
          <w:sz w:val="18"/>
          <w:szCs w:val="18"/>
          <w:color w:val="auto"/>
        </w:rPr>
      </w:pPr>
    </w:p>
    <w:p>
      <w:pPr>
        <w:ind w:left="820" w:right="80" w:hanging="326"/>
        <w:spacing w:after="0" w:line="263"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then outstanding preferred stock, all shares of our common stock are entitled to share equally in the assets available for distribution to stockholders after payment of all of our prior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2019 and 2020, there were 5.0 million authorized shares of preferred stock, of which none was issued or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252" w:lineRule="exact"/>
        <w:rPr>
          <w:sz w:val="20"/>
          <w:szCs w:val="20"/>
          <w:color w:val="auto"/>
        </w:rPr>
      </w:pPr>
    </w:p>
    <w:p>
      <w:pPr>
        <w:ind w:right="880" w:firstLine="486"/>
        <w:spacing w:after="0" w:line="342" w:lineRule="auto"/>
        <w:rPr>
          <w:sz w:val="20"/>
          <w:szCs w:val="20"/>
          <w:color w:val="auto"/>
        </w:rPr>
      </w:pPr>
      <w:r>
        <w:rPr>
          <w:rFonts w:ascii="Arial" w:cs="Arial" w:eastAsia="Arial" w:hAnsi="Arial"/>
          <w:sz w:val="16"/>
          <w:szCs w:val="16"/>
          <w:color w:val="auto"/>
        </w:rPr>
        <w:t>During the year ended December 31, 2019, we repurchased $2.2 million, or 0.2 million shares, of our common stock. These shares were subsequently retired. As a result, we recorded a $2.2 million decrease to "Additional paid-in-capital"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Datapipe Contingent Shares</w:t>
      </w:r>
    </w:p>
    <w:p>
      <w:pPr>
        <w:spacing w:after="0" w:line="252"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On September 6, 2017, we entered into an Agreement and Plan of Merger (the "Datapipe Merger Agreement") pursuant to which we acquired Datapipe. In addition, the Datapipe Merger Agreement provides that we will be required to issue additional shares of our common stock to an affiliate of ABRY based on the multiple of invested capital ("MOIC") on any “Measurement Date,” as defined in the Datapipe Merger Agreement. The maximum number of shares of common stock issuable will not exceed 10,663,741 shares in the aggregate, subject to adjustment for stock splits, stock dividends, recombinations, reclassifications and similar equitable adjustments.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 Settlement of Share-Based Awards, and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5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April 2017, the Executive Committee of the board of directors authorized the company to adopt the Rackspace Technology, Inc. Equity Incentive Plan (the "2017 Incentive Plan"). On July 24, 2020, the board of directors approved, effective on August 7, 2020, the Rackspace Technology, Inc. 2020 Equity Incentive Plan (the "2020 Incentive Plan" and, together with the 2017 Incentive Plan, the "Incentive Plans") and amendments to the 2017 Incentive Plan which, among other things, resulted in the termination of the 2017 Incentive Plan, except as it relates to outstanding awards, and any remaining shares reserved for future grants under the 2017 Incentive Plan were released.</w:t>
      </w:r>
    </w:p>
    <w:p>
      <w:pPr>
        <w:spacing w:after="0" w:line="20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The 2020 Incentive Plan provides for the grant of stock options, including incentive stock options ("ISOs"), and nonqualified stock options ("NSOs"), stock appreciation rights ("SARs"), restricted stock, restricted stock units ("RSUs"), other stock-based incentive awards, dividend equivalents and cash-based awards (collectively, "awards"). ISOs may be granted only to our employees or an employee of a parent or subsidiary. All other awards may be granted to employees and consultants of the company and its parents and subsidiaries, as well as all non-employee members of our board of directors.</w:t>
      </w:r>
    </w:p>
    <w:p>
      <w:pPr>
        <w:spacing w:after="0" w:line="18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For the years ended December 31, 2018, 2019 and 2020, the company granted stock options, RSUs and restricted stock (collectively "restricted stock") under the Incentive Plans. The company issues new shares of its common stock to satisfy vesting of restricted stock and exercise of stock options under the Incentive Plans. All awards deduct one share from the Incentive Plans shares available for issuance for each share granted. The 2017 Incentive Plan began with 12.2 million shares authorized for grant and contained an evergreen feature whereby shares available increased each grant date based on the quantity of certain types of awards granted. Upon the approval of the 2020 Incentive Plan, the 2017 Incentive Plan was terminated, except as it relates to outstanding awards. The maximum number of shares of our common stock available for issuance under the 2020 Incentive Plan is 25.0 million shares. To the extent awards granted under the 2020 Incentive Plan terminate, expire or lapse, shares subject to such awards generally will again be available for future grant. As of December 31, 2020, the total number of shares outstanding and the total number of shares available for future grants under the Incentive Plans was 21.3 million and 22.7 million, respectively.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the equity awards outstanding as of December 31, 2019 and 2020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options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37"/>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outstanding awards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Stock options have been granted for a term of 10 years and generally vest ratably over a three-year period, subject to continued service. Certain executives have received stock options that vest in part subject to continued service ratably over a five-year period and in part based upon the attainment of performance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 activity for the year ended December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Number of Shares</w:t>
            </w:r>
          </w:p>
        </w:tc>
        <w:tc>
          <w:tcPr>
            <w:tcW w:w="1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 Average-</w:t>
            </w:r>
          </w:p>
        </w:tc>
        <w:tc>
          <w:tcPr>
            <w:tcW w:w="120" w:type="dxa"/>
            <w:vAlign w:val="bottom"/>
          </w:tcPr>
          <w:p>
            <w:pPr>
              <w:spacing w:after="0"/>
              <w:rPr>
                <w:sz w:val="16"/>
                <w:szCs w:val="16"/>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millions)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Outstanding at December 31,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Vested and exercisable at December 31, 2020 and expected to vest</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000" w:type="dxa"/>
            <w:vAlign w:val="bottom"/>
            <w:vMerge w:val="continue"/>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line="186" w:lineRule="exact"/>
              <w:rPr>
                <w:sz w:val="20"/>
                <w:szCs w:val="20"/>
                <w:color w:val="auto"/>
              </w:rPr>
            </w:pPr>
            <w:r>
              <w:rPr>
                <w:rFonts w:ascii="Arial" w:cs="Arial" w:eastAsia="Arial" w:hAnsi="Arial"/>
                <w:sz w:val="16"/>
                <w:szCs w:val="16"/>
                <w:color w:val="auto"/>
              </w:rPr>
              <w:t xml:space="preserve">thereafter </w:t>
            </w:r>
            <w:r>
              <w:rPr>
                <w:rFonts w:ascii="Arial" w:cs="Arial" w:eastAsia="Arial" w:hAnsi="Arial"/>
                <w:sz w:val="21"/>
                <w:szCs w:val="21"/>
                <w:color w:val="auto"/>
                <w:vertAlign w:val="superscript"/>
              </w:rPr>
              <w:t>(1)</w:t>
            </w: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Forfeitures are recognized as they occur, rather than estimated</w:t>
      </w:r>
      <w:r>
        <w:rPr>
          <w:rFonts w:ascii="Arial" w:cs="Arial" w:eastAsia="Arial" w:hAnsi="Arial"/>
          <w:sz w:val="15"/>
          <w:szCs w:val="15"/>
          <w:color w:val="auto"/>
        </w:rPr>
        <w:t>.</w:t>
      </w:r>
    </w:p>
    <w:p>
      <w:pPr>
        <w:spacing w:after="0" w:line="27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total pre-tax intrinsic value of the stock options exercised during the years ended December 31, 2018, 2019 and 2020 was $0.3 million, $1.8 million, and $22.3 million, respectively.</w:t>
      </w:r>
    </w:p>
    <w:p>
      <w:pPr>
        <w:spacing w:after="0" w:line="197"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have granted stock options that include vesting terms dependent upon a service, performance and/or market condition. The fair value of stock options with vesting conditions dependent upon market performance is determined using a Monte Carlo simulation.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stock options is based on the fair value of the underlying common stock on the date of grant. Prior to the IPO, the fair value of the underlying common stock included estimates and judgments related to the discount rates and future discounted cash flows of the company based on management’s internal forecasts. Share-based compensation expense is recognized on a straight-line basis over the service period or over our best estimate of the period over which the performance condition will be met, as applicable. The following table presents the assumptions used to estimate the fair values of the stock options granted in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168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60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Expected stock volatility </w:t>
            </w:r>
            <w:r>
              <w:rPr>
                <w:rFonts w:ascii="Arial" w:cs="Arial" w:eastAsia="Arial" w:hAnsi="Arial"/>
                <w:sz w:val="21"/>
                <w:szCs w:val="21"/>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- 72%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- 61%</w:t>
            </w:r>
          </w:p>
        </w:tc>
      </w:tr>
      <w:tr>
        <w:trPr>
          <w:trHeight w:val="216"/>
        </w:trPr>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60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(3)</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- 2.92%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 - 2.47%</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 - 1.73%</w:t>
            </w:r>
          </w:p>
        </w:tc>
      </w:tr>
      <w:tr>
        <w:trPr>
          <w:trHeight w:val="279"/>
        </w:trPr>
        <w:tc>
          <w:tcPr>
            <w:tcW w:w="6020" w:type="dxa"/>
            <w:vAlign w:val="bottom"/>
          </w:tcPr>
          <w:p>
            <w:pPr>
              <w:ind w:left="40"/>
              <w:spacing w:after="0"/>
              <w:rPr>
                <w:sz w:val="20"/>
                <w:szCs w:val="20"/>
                <w:color w:val="auto"/>
              </w:rPr>
            </w:pPr>
            <w:r>
              <w:rPr>
                <w:rFonts w:ascii="Arial" w:cs="Arial" w:eastAsia="Arial" w:hAnsi="Arial"/>
                <w:sz w:val="16"/>
                <w:szCs w:val="16"/>
                <w:color w:val="auto"/>
              </w:rPr>
              <w:t xml:space="preserve">Expected life </w:t>
            </w:r>
            <w:r>
              <w:rPr>
                <w:rFonts w:ascii="Arial" w:cs="Arial" w:eastAsia="Arial" w:hAnsi="Arial"/>
                <w:sz w:val="21"/>
                <w:szCs w:val="21"/>
                <w:color w:val="auto"/>
                <w:vertAlign w:val="superscript"/>
              </w:rPr>
              <w:t>(4)</w:t>
            </w:r>
          </w:p>
        </w:tc>
        <w:tc>
          <w:tcPr>
            <w:tcW w:w="1680" w:type="dxa"/>
            <w:vAlign w:val="bottom"/>
          </w:tcPr>
          <w:p>
            <w:pPr>
              <w:jc w:val="right"/>
              <w:spacing w:after="0"/>
              <w:rPr>
                <w:sz w:val="20"/>
                <w:szCs w:val="20"/>
                <w:color w:val="auto"/>
              </w:rPr>
            </w:pPr>
            <w:r>
              <w:rPr>
                <w:rFonts w:ascii="Arial" w:cs="Arial" w:eastAsia="Arial" w:hAnsi="Arial"/>
                <w:sz w:val="16"/>
                <w:szCs w:val="16"/>
                <w:color w:val="auto"/>
              </w:rPr>
              <w:t>5.5 - 6.5 years</w:t>
            </w:r>
          </w:p>
        </w:tc>
        <w:tc>
          <w:tcPr>
            <w:tcW w:w="100" w:type="dxa"/>
            <w:vAlign w:val="bottom"/>
          </w:tcPr>
          <w:p>
            <w:pPr>
              <w:spacing w:after="0"/>
              <w:rPr>
                <w:sz w:val="24"/>
                <w:szCs w:val="24"/>
                <w:color w:val="auto"/>
              </w:rPr>
            </w:pPr>
          </w:p>
        </w:tc>
        <w:tc>
          <w:tcPr>
            <w:tcW w:w="1760" w:type="dxa"/>
            <w:vAlign w:val="bottom"/>
            <w:gridSpan w:val="2"/>
          </w:tcPr>
          <w:p>
            <w:pPr>
              <w:ind w:left="740"/>
              <w:spacing w:after="0"/>
              <w:rPr>
                <w:sz w:val="20"/>
                <w:szCs w:val="20"/>
                <w:color w:val="auto"/>
              </w:rPr>
            </w:pPr>
            <w:r>
              <w:rPr>
                <w:rFonts w:ascii="Arial" w:cs="Arial" w:eastAsia="Arial" w:hAnsi="Arial"/>
                <w:sz w:val="16"/>
                <w:szCs w:val="16"/>
                <w:color w:val="auto"/>
                <w:w w:val="97"/>
              </w:rPr>
              <w:t>5.7 - 6.5 years</w:t>
            </w:r>
          </w:p>
        </w:tc>
        <w:tc>
          <w:tcPr>
            <w:tcW w:w="1680" w:type="dxa"/>
            <w:vAlign w:val="bottom"/>
          </w:tcPr>
          <w:p>
            <w:pPr>
              <w:jc w:val="right"/>
              <w:spacing w:after="0"/>
              <w:rPr>
                <w:sz w:val="20"/>
                <w:szCs w:val="20"/>
                <w:color w:val="auto"/>
              </w:rPr>
            </w:pPr>
            <w:r>
              <w:rPr>
                <w:rFonts w:ascii="Arial" w:cs="Arial" w:eastAsia="Arial" w:hAnsi="Arial"/>
                <w:sz w:val="16"/>
                <w:szCs w:val="16"/>
                <w:color w:val="auto"/>
              </w:rPr>
              <w:t>5.5 - 6.5 years</w:t>
            </w:r>
          </w:p>
        </w:tc>
      </w:tr>
    </w:tbl>
    <w:p>
      <w:pPr>
        <w:spacing w:after="0" w:line="35"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Management estimates volatility based on the historical trading volatility of a public company peer group and the implied volatility of our assets and current leverage.</w:t>
      </w:r>
    </w:p>
    <w:p>
      <w:pPr>
        <w:spacing w:after="0" w:line="42" w:lineRule="exact"/>
        <w:rPr>
          <w:rFonts w:ascii="Arial" w:cs="Arial" w:eastAsia="Arial" w:hAnsi="Arial"/>
          <w:sz w:val="14"/>
          <w:szCs w:val="14"/>
          <w:color w:val="auto"/>
        </w:rPr>
      </w:pPr>
    </w:p>
    <w:p>
      <w:pPr>
        <w:ind w:left="360" w:hanging="352"/>
        <w:spacing w:after="0"/>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have not issued dividends to date and do not anticipate issuing dividends.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the implied yield currently available on U.S. Treasury zero-coupon issues with an equivalent expected term.</w:t>
      </w:r>
    </w:p>
    <w:p>
      <w:pPr>
        <w:spacing w:after="0" w:line="5" w:lineRule="exact"/>
        <w:rPr>
          <w:rFonts w:ascii="Arial" w:cs="Arial" w:eastAsia="Arial" w:hAnsi="Arial"/>
          <w:sz w:val="16"/>
          <w:szCs w:val="16"/>
          <w:color w:val="auto"/>
        </w:rPr>
      </w:pPr>
    </w:p>
    <w:p>
      <w:pPr>
        <w:ind w:left="500" w:right="20" w:hanging="492"/>
        <w:spacing w:after="0" w:line="257" w:lineRule="auto"/>
        <w:tabs>
          <w:tab w:leader="none" w:pos="3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period that our share-based awards are expected to be outstanding. Management uses the simplified method for our estimation of the expected life as we do not have adequate historical data.</w:t>
      </w:r>
    </w:p>
    <w:p>
      <w:pPr>
        <w:spacing w:after="0" w:line="208"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2018, 2019 and 2020 was $9.69, $6.81 and $8.09, respectively.</w:t>
      </w:r>
    </w:p>
    <w:p>
      <w:pPr>
        <w:spacing w:after="0" w:line="19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December 31, 2020, there was $63.5 million of total unrecognized compensation cost related to stock options, which will be recognized over a weighted average period of 1.6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Restricted Stock</w:t>
      </w:r>
    </w:p>
    <w:p>
      <w:pPr>
        <w:spacing w:after="0" w:line="252" w:lineRule="exact"/>
        <w:rPr>
          <w:sz w:val="20"/>
          <w:szCs w:val="20"/>
          <w:color w:val="auto"/>
        </w:rPr>
      </w:pPr>
    </w:p>
    <w:p>
      <w:pPr>
        <w:ind w:right="220" w:firstLine="486"/>
        <w:spacing w:after="0" w:line="275" w:lineRule="auto"/>
        <w:rPr>
          <w:sz w:val="20"/>
          <w:szCs w:val="20"/>
          <w:color w:val="auto"/>
        </w:rPr>
      </w:pPr>
      <w:r>
        <w:rPr>
          <w:rFonts w:ascii="Arial" w:cs="Arial" w:eastAsia="Arial" w:hAnsi="Arial"/>
          <w:sz w:val="17"/>
          <w:szCs w:val="17"/>
          <w:color w:val="auto"/>
        </w:rPr>
        <w:t>Restricted stock has been granted to certain executives that vest in part subject to continued service ratably over a three or five-year period and in part based upon the attainment of performance and market conditions. The fair value of the service-vesting awards is measured based on the fair value of the underlying common stock on the date of the grant. The fair value of restricted stock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w:t>
      </w:r>
    </w:p>
    <w:p>
      <w:pPr>
        <w:spacing w:after="0" w:line="203"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On the date of our IPO, we granted RSUs to all eligible employees. The fair value of these awards was based on the fair value of the underlying common stock on the date of the grant, and share-based compensation expense is recognized on a straight-line basis over the service period of six months.</w:t>
      </w:r>
    </w:p>
    <w:p>
      <w:pPr>
        <w:spacing w:after="0" w:line="151"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Additionally, we have granted certain awards with vesting dependent upon the attainment of predetermined financial performance results over the next two years. The fair value of these performance-vesting awards is measured based on the fair value of the underlying common stock on the date of grant, and share-based compensation expense is recognized when it is probable that the performance condition will be achieved.</w:t>
      </w:r>
    </w:p>
    <w:p>
      <w:pPr>
        <w:spacing w:after="0" w:line="192"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restricted stock activity for the year ended December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Number of Units or</w:t>
            </w:r>
          </w:p>
        </w:tc>
        <w:tc>
          <w:tcPr>
            <w:tcW w:w="100" w:type="dxa"/>
            <w:vAlign w:val="bottom"/>
          </w:tcPr>
          <w:p>
            <w:pPr>
              <w:spacing w:after="0"/>
              <w:rPr>
                <w:sz w:val="16"/>
                <w:szCs w:val="16"/>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(in millions)</w:t>
            </w:r>
          </w:p>
        </w:tc>
        <w:tc>
          <w:tcPr>
            <w:tcW w:w="100" w:type="dxa"/>
            <w:vAlign w:val="bottom"/>
          </w:tcPr>
          <w:p>
            <w:pPr>
              <w:spacing w:after="0"/>
              <w:rPr>
                <w:sz w:val="18"/>
                <w:szCs w:val="18"/>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31,2019</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06"/>
        </w:trPr>
        <w:tc>
          <w:tcPr>
            <w:tcW w:w="82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Released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tcPr>
          <w:p>
            <w:pPr>
              <w:ind w:left="20"/>
              <w:spacing w:after="0" w:line="190" w:lineRule="exact"/>
              <w:rPr>
                <w:sz w:val="20"/>
                <w:szCs w:val="20"/>
                <w:color w:val="auto"/>
              </w:rPr>
            </w:pPr>
            <w:r>
              <w:rPr>
                <w:rFonts w:ascii="Arial" w:cs="Arial" w:eastAsia="Arial" w:hAnsi="Arial"/>
                <w:sz w:val="16"/>
                <w:szCs w:val="16"/>
                <w:color w:val="auto"/>
              </w:rPr>
              <w:t xml:space="preserve">Expected to vest after at December 31, 2020 </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w:t>
        <w:tab/>
        <w:t>Forfeitures are recognized as they occur, rather than estimated.</w:t>
      </w:r>
    </w:p>
    <w:p>
      <w:pPr>
        <w:spacing w:after="0" w:line="24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weighted-average grant-date fair value of restricted stock granted during the years ended December 31, 2018 and 2019 was $14.40 and $12.88, respectively.</w:t>
      </w:r>
    </w:p>
    <w:p>
      <w:pPr>
        <w:spacing w:after="0" w:line="19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total pre-tax intrinsic value of the restricted stock released during the years ended December 31, 2019 and 2020 was $3.3 million and $3.6 million, respectively. There was no restricted stock released during the year ended December 31, 2018.</w:t>
      </w:r>
    </w:p>
    <w:p>
      <w:pPr>
        <w:spacing w:after="0" w:line="19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December 31, 2020, there was $30.2 million of total unrecognized compensation cost related to restricted stock, which will be recognized over a weighted average period of 1.6 years.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ESPP was approved by the company's board of directors on July 24, 2020 and became effective on August 7, 2020. Under the ESPP, eligible employees may purchase a limited number of shares of our common stock at the lesser of 85% of the market value on the enrollment date or 85% of the market value on the purchase date. The fair value on each enrollment date is determined using the Black-Scholes option-pricing model. Share-based compensation expense is recognized on a straight-line basis over the offering period. We issued 0.4 million shares through the ESPP during the year ended December 31, 2020. The share-based compensation expense recognized for the ESPP was $1.5 million during the year ended December 31, 2020. As of December 31, 2020, there was no unrecognized compensation cost related to the ESPP. The shares available for issuance under the ESPP is 11.1 million shares as of December 31, 2020.</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In connection with the departure of certain executives during the year ended December 31, 2019, we accelerated vesting of options and restricted stock for awards with service-only vesting conditions and extended the post termination option exercise period. In connection with the departure of certain executives during the year ended December 31, 2020, we accelerated vesting of options and restricted stock for awards with service-only vesting conditions, extended the period certain options with performance and/or market conditions would remain outstanding and eligible to vest and extended the post termination option exercise period. These modifications resulted in incremental expense of $3.5 million and $3.5 million during the years ended December 31, 2019 and 2020, respectively. In addition, during the years ended December 31, 2018 and 2019, modifications were made to the performance and/or market condition of awards for certain employees. As these awards expired before a change in control event required for vesting, these modifications resulted in no incremental expense.</w:t>
      </w:r>
    </w:p>
    <w:p>
      <w:pPr>
        <w:spacing w:after="0" w:line="20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Upon the completion of the IPO, it was determined that certain awards with performance and market conditions, tied to a liquidity event and the achievement of targets based on a MOIC for Apollo, were probable of vesting. As a result of this change in estimate, the company recognized $20.2 million of share-based compensation expense, related to service received since the grant date of the respective awards, during the year ended December 31, 2020.</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recognized for the years ended December 31, 2018, 2019 and 2020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14.5</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6"/>
              </w:rPr>
              <w:t>60.0</w:t>
            </w:r>
          </w:p>
        </w:tc>
      </w:tr>
      <w:tr>
        <w:trPr>
          <w:trHeight w:val="21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74.5</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5"/>
              </w:rPr>
              <w:t>(15.6)</w:t>
            </w:r>
          </w:p>
        </w:tc>
      </w:tr>
      <w:tr>
        <w:trPr>
          <w:trHeight w:val="233"/>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58.9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Share-Based Awards</w:t>
      </w:r>
    </w:p>
    <w:p>
      <w:pPr>
        <w:spacing w:after="0" w:line="252"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As a result of the Rackspace Acquisition, Rackspace Technology Global had obligations related to the settlement of restricted stock units that were outstanding at the Closing Date. These obligations required installment payments that began in November 2016 and ended in the first quarter of 2019. We made cash payments of $46.3 million and $19.2 million during the years ended December 31, 2018 and 2019, respectively.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Compensation expense recognized related to these payments for the years ended December 31, 2018 and 2019 was as follows:</w:t>
      </w:r>
    </w:p>
    <w:p>
      <w:pPr>
        <w:spacing w:after="0" w:line="293"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8"/>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cash settled equity compensation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addition, in connection with an employee's departure, we settled options and restricted stock for a one-time cash payment of $1.5 million during the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$14.8 million, $14.3 million and $16.0 million for the years ended December 31, 2018,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benefit for income taxes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6260" w:type="dxa"/>
            <w:vAlign w:val="bottom"/>
          </w:tcPr>
          <w:p>
            <w:pPr>
              <w:ind w:left="260"/>
              <w:spacing w:after="0"/>
              <w:rPr>
                <w:sz w:val="20"/>
                <w:szCs w:val="20"/>
                <w:color w:val="auto"/>
              </w:rPr>
            </w:pPr>
            <w:r>
              <w:rPr>
                <w:rFonts w:ascii="Arial" w:cs="Arial" w:eastAsia="Arial" w:hAnsi="Arial"/>
                <w:sz w:val="16"/>
                <w:szCs w:val="16"/>
                <w:color w:val="auto"/>
              </w:rPr>
              <w:t>Total 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Federal</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09"/>
        </w:trPr>
        <w:tc>
          <w:tcPr>
            <w:tcW w:w="6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deferred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Total benefit for income taxes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(29.9)</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1"/>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 from U.S. and foreign operations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2"/>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loss before income taxes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statutory federal tax rate to the effective tax rate is as follows:</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federal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080" w:type="dxa"/>
            <w:vAlign w:val="bottom"/>
            <w:gridSpan w:val="2"/>
          </w:tcPr>
          <w:p>
            <w:pPr>
              <w:ind w:left="140"/>
              <w:spacing w:after="0"/>
              <w:rPr>
                <w:sz w:val="20"/>
                <w:szCs w:val="20"/>
                <w:color w:val="auto"/>
              </w:rPr>
            </w:pPr>
            <w:r>
              <w:rPr>
                <w:rFonts w:ascii="Arial" w:cs="Arial" w:eastAsia="Arial" w:hAnsi="Arial"/>
                <w:sz w:val="16"/>
                <w:szCs w:val="16"/>
                <w:color w:val="auto"/>
              </w:rPr>
              <w:t>State taxes, net of federal benefit</w:t>
            </w:r>
          </w:p>
        </w:tc>
        <w:tc>
          <w:tcPr>
            <w:tcW w:w="60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6.1 %</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9"/>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rate differentials for international jurisdictions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080" w:type="dxa"/>
            <w:vAlign w:val="bottom"/>
            <w:gridSpan w:val="2"/>
          </w:tcPr>
          <w:p>
            <w:pPr>
              <w:ind w:left="140"/>
              <w:spacing w:after="0"/>
              <w:rPr>
                <w:sz w:val="20"/>
                <w:szCs w:val="20"/>
                <w:color w:val="auto"/>
              </w:rPr>
            </w:pPr>
            <w:r>
              <w:rPr>
                <w:rFonts w:ascii="Arial" w:cs="Arial" w:eastAsia="Arial" w:hAnsi="Arial"/>
                <w:sz w:val="16"/>
                <w:szCs w:val="16"/>
                <w:color w:val="auto"/>
              </w:rPr>
              <w:t>Research and development credit</w:t>
            </w:r>
          </w:p>
        </w:tc>
        <w:tc>
          <w:tcPr>
            <w:tcW w:w="60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9"/>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Tax Reform</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7080" w:type="dxa"/>
            <w:vAlign w:val="bottom"/>
            <w:gridSpan w:val="2"/>
          </w:tcPr>
          <w:p>
            <w:pPr>
              <w:ind w:left="140"/>
              <w:spacing w:after="0"/>
              <w:rPr>
                <w:sz w:val="20"/>
                <w:szCs w:val="20"/>
                <w:color w:val="auto"/>
              </w:rPr>
            </w:pPr>
            <w:r>
              <w:rPr>
                <w:rFonts w:ascii="Arial" w:cs="Arial" w:eastAsia="Arial" w:hAnsi="Arial"/>
                <w:sz w:val="16"/>
                <w:szCs w:val="16"/>
                <w:color w:val="auto"/>
              </w:rPr>
              <w:t>Tax impact of goodwill impairment</w:t>
            </w:r>
          </w:p>
        </w:tc>
        <w:tc>
          <w:tcPr>
            <w:tcW w:w="60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Effects of other enacted tax law and rate changes</w:t>
            </w:r>
          </w:p>
        </w:tc>
        <w:tc>
          <w:tcPr>
            <w:tcW w:w="1820" w:type="dxa"/>
            <w:vAlign w:val="bottom"/>
            <w:gridSpan w:val="3"/>
            <w:shd w:val="clear" w:color="auto" w:fill="CCEEFF"/>
          </w:tcPr>
          <w:p>
            <w:pPr>
              <w:jc w:val="right"/>
              <w:ind w:right="1139"/>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080" w:type="dxa"/>
            <w:vAlign w:val="bottom"/>
            <w:gridSpan w:val="2"/>
          </w:tcPr>
          <w:p>
            <w:pPr>
              <w:ind w:left="140"/>
              <w:spacing w:after="0"/>
              <w:rPr>
                <w:sz w:val="20"/>
                <w:szCs w:val="20"/>
                <w:color w:val="auto"/>
              </w:rPr>
            </w:pPr>
            <w:r>
              <w:rPr>
                <w:rFonts w:ascii="Arial" w:cs="Arial" w:eastAsia="Arial" w:hAnsi="Arial"/>
                <w:sz w:val="16"/>
                <w:szCs w:val="16"/>
                <w:color w:val="auto"/>
              </w:rPr>
              <w:t>Valuation allowance</w:t>
            </w: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820" w:type="dxa"/>
            <w:vAlign w:val="bottom"/>
            <w:gridSpan w:val="3"/>
            <w:shd w:val="clear" w:color="auto" w:fill="CCEEFF"/>
          </w:tcPr>
          <w:p>
            <w:pPr>
              <w:jc w:val="right"/>
              <w:ind w:right="1139"/>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080" w:type="dxa"/>
            <w:vAlign w:val="bottom"/>
            <w:gridSpan w:val="2"/>
          </w:tcPr>
          <w:p>
            <w:pPr>
              <w:ind w:left="140"/>
              <w:spacing w:after="0"/>
              <w:rPr>
                <w:sz w:val="20"/>
                <w:szCs w:val="20"/>
                <w:color w:val="auto"/>
              </w:rPr>
            </w:pPr>
            <w:r>
              <w:rPr>
                <w:rFonts w:ascii="Arial" w:cs="Arial" w:eastAsia="Arial" w:hAnsi="Arial"/>
                <w:sz w:val="16"/>
                <w:szCs w:val="16"/>
                <w:color w:val="auto"/>
              </w:rPr>
              <w:t>Nondeductible compensation</w:t>
            </w:r>
          </w:p>
        </w:tc>
        <w:tc>
          <w:tcPr>
            <w:tcW w:w="1820" w:type="dxa"/>
            <w:vAlign w:val="bottom"/>
            <w:gridSpan w:val="3"/>
          </w:tcPr>
          <w:p>
            <w:pPr>
              <w:jc w:val="right"/>
              <w:ind w:right="1139"/>
              <w:spacing w:after="0"/>
              <w:rPr>
                <w:sz w:val="20"/>
                <w:szCs w:val="20"/>
                <w:color w:val="auto"/>
              </w:rPr>
            </w:pPr>
            <w:r>
              <w:rPr>
                <w:rFonts w:ascii="Arial" w:cs="Arial" w:eastAsia="Arial" w:hAnsi="Arial"/>
                <w:sz w:val="16"/>
                <w:szCs w:val="16"/>
                <w:color w:val="auto"/>
              </w:rPr>
              <w:t>— %</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6020" w:type="dxa"/>
            <w:vAlign w:val="bottom"/>
          </w:tcPr>
          <w:p>
            <w:pPr>
              <w:ind w:left="240"/>
              <w:spacing w:after="0"/>
              <w:rPr>
                <w:sz w:val="20"/>
                <w:szCs w:val="20"/>
                <w:color w:val="auto"/>
              </w:rPr>
            </w:pPr>
            <w:r>
              <w:rPr>
                <w:rFonts w:ascii="Arial" w:cs="Arial" w:eastAsia="Arial" w:hAnsi="Arial"/>
                <w:sz w:val="16"/>
                <w:szCs w:val="16"/>
                <w:color w:val="auto"/>
              </w:rPr>
              <w:t>Effective tax rate</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16.4 %</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5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using the enacted tax rates in effect for the year in which the differences are expected to be reversed. Significant components of our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Accruals not currently deductible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Interest rate swaps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tax credit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Research and development credits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Disallowed interest carryforward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212"/>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deferred tax 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r>
      <w:tr>
        <w:trPr>
          <w:trHeight w:val="212"/>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net deferred tax 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Prepaids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Capitalized costs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Unremitted foreign earnings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Debt related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deferred tax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deferred tax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As of December 31, 2020, we have $383.1 million of federal net operating loss carryforwards, $140.8 million of which expire at various dates through 2036, and $242.3 million of which have an indefinite carryforward period. Additionally, we have $68.2 million of federal tax credit carryforwards expiring at various dates through 2040. We have $117.2 million of foreign net operating losses, $7.8 million of which have carryforward periods ranging from 5 to 20 years, and $109.4 million of which have an indefinite carryforward period. Certain federal and foreign net operating loss carryforwards are subject to various limitations under Section 382 of the Internal Revenue Code and the applicable statutory foreign tax laws. We have disallowed interest expense carryforwards in the U.S. of $6.7 million that can be carried forward indefinitely.</w:t>
      </w:r>
    </w:p>
    <w:p>
      <w:pPr>
        <w:spacing w:after="0" w:line="20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We’ve recorded a valuation allowance with respect to certain of our deferred tax assets relating primarily to operating losses in certain U.S. state and foreign jurisdictions and federal foreign tax credits that we believe are not likely to be realized. For the rest of the deferred tax assets, valuation allowances were not deemed necessary based upon the determination that future profits are anticipated to utilize deferred tax assets prior to the expiration of any applicable carryforward periods.</w:t>
      </w:r>
    </w:p>
    <w:p>
      <w:pPr>
        <w:spacing w:after="0" w:line="214"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effective tax rate for the year ended December 31, 2018 was primarily impacted by new provisions of the Tax Cuts and Jobs Act (the “Act”) for foreign earnings, specifically global intangible low-taxed income (“GILTI”), as well as the tax impact associated with a goodwill impairment. The GILTI provisions impose a tax on foreign income in excess of a deemed return on tangible assets of foreign corporations and we have elected to treat any GILTI inclusions as a period cost. There was also an amount recorded in the fourth quarter of 2018 as we completed our accounting for the Act. We had initially recorded a provisional income tax benefit of $196.8 million for the year ended December 31, 2017, which was included within “Benefit for income taxes” in the Consolidated Statements of Comprehensive Loss. Our final income tax benefit related to the Act was a net $186.3 million.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The effective tax rate for the year ended December 31, 2019 was impacted by the current year GILTI inclusion, the impact of changes in income tax rates, changes in valuation allowances, R&amp;D credits, changes to income tax reserves and other permanently nondeductible items. The effective tax rate for the year ended December 31, 2020 was primarily impacted by deductions disallowed by Section 162(m) of the Internal Revenue Code, the impact of changes in income tax rates, changes in valuation allowances, R&amp;D credits, changes to income tax reserves and other permanently nondeductible items.</w:t>
      </w:r>
    </w:p>
    <w:p>
      <w:pPr>
        <w:spacing w:after="0" w:line="184"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do not permanently reinvest our foreign earnings due to the debt service requirements of our capital structure. Due to historic, internal tax restructurings, we have effectively recognized any tax impact of the repatriation of foreign earnings. Thus, as of December 31, 2020, there is no deferred tax liability for undistributed foreign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5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w:t>
      </w:r>
    </w:p>
    <w:p>
      <w:pPr>
        <w:spacing w:after="0" w:line="21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 rollforward of unrecognized tax benefits, excluding accrued penalties and interest, for the years ended December 31, 2018, 2019 and 2020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Additions based on tax positions related to the current year</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Reduction for statute expiration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Reductions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Settlements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6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Balance, end of period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r>
    </w:tbl>
    <w:p>
      <w:pPr>
        <w:spacing w:after="0" w:line="98"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Included within non-current liabilities in the Consolidated Balance Sheets, except for $0.6 million of which is included in current liabilities as of December 31, 2020</w:t>
      </w:r>
    </w:p>
    <w:p>
      <w:pPr>
        <w:spacing w:after="0" w:line="255"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Of the total amount of unrecognized tax benefits as of December 31, 2018, 2019 and 2020, $36.0 million, $47.4 million and $42.3 million, respectively, if recognized, would favorably impact our effective tax rate. We do not expect the amount of unrecognized tax benefits disclosed above to change significantly over the next 12 months.</w:t>
      </w:r>
    </w:p>
    <w:p>
      <w:pPr>
        <w:spacing w:after="0" w:line="211"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We recognize interest expense and penalties related to income tax matters within “Benefit for income taxes” on our Consolidated Statements of Comprehensive Loss. Accrued interest and penalties as of December 31, 2018, 2019 and 2020 were zero, $2.1 million and $2.4 million, respectively.</w:t>
      </w:r>
    </w:p>
    <w:p>
      <w:pPr>
        <w:spacing w:after="0" w:line="15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w:t>
      </w:r>
    </w:p>
    <w:p>
      <w:pPr>
        <w:spacing w:after="0" w:line="19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currently file income tax returns in the U.S. and all foreign jurisdictions in which we have entities, which are periodically under audit by federal, state, and foreign tax authorities. These audits can involve complex matters that may require an extended period of time for resolution. We remain subject to U.S. federal and state income tax examinations for the tax years 2009 through 2020 and in the foreign jurisdictions in which we operate for varying periods from 2009 through 2020. In December 2020, we concluded an Internal Revenue Service federal tax audit for the pre-Rackspace Acquisition period ended November 2, 2016, with respect to certain matters, but the statute for the period remains open until September 2021. We currently have income tax examinations open in Texas for tax years 2014 through 2017, Pennsylvania for 2018 and New York City for the year ended November 3, 2016. Additionally, we are currently under tax audit in India for the fiscal year ended March 31, 2016.</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On July 27, 2015, the U.S. Tax Court ("Tax Court") issued an opinion in Altera Corp. ("Altera") v. Commissioner ("Tax Court Opinion"), which concluded that related parties in a cost sharing arrangement are not required to share expenses related to share-based compensation. The Tax Court Opinion was appealed by the Commissioner to the Ninth Circuit Court of Appeals ("Ninth Circuit"). On June 7, 2019, a three-judge panel from the Ninth Circuit issued an opinion that reversed the Tax Court Opinion. On July 22, 2019, the taxpayer requested a rehearing before the full Ninth Circuit, which the Ninth Circuit subsequently denied. On February 10, 2020, Altera submitted a petition for writ of certiorari to the U.S. Supreme Court. On June 22, 2020, the U.S. Supreme Court denied Altera’s petition for writ of certiorari and will not review the Ninth Circuit’s June 7, 2019 decision that upheld the inclusion of share-based compensation in a cost sharing arrangement. Given the U.S. Supreme Court’s denial of the petition for writ of certiorari, we believe it is appropriate to record the financial statement impact of including share-based compensation in historical cost sharing payments discretely in the year ended December 31, 2020 for years prior to 2020. The aggregate income tax impact related to the Altera decision is less than $1.0 million. If, at a future date, Altera secured a favorable ruling from the U.S. Supreme Court, we would re-evaluate the decision to record an income tax benefit at that time.</w:t>
      </w:r>
    </w:p>
    <w:p>
      <w:pPr>
        <w:spacing w:after="0" w:line="19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 referendum held on May 19, 2019, Switzerland passed the Federal Act on Tax Reform and AHV Financing (“TRAF”), effective January 1, 2020. On October 25, 2019, the Zurich Canton published the amended cantonal tax law in the official cantonal tax law register. The intent of these tax law changes was to replace certain preferential tax regimes with a new set of internationally accepted measures. Based on these Federal/Cantonal events, our position is the enactment of Swiss tax reform for U.S. GAAP purposes occurred during the fourth quarter of 2019, and we recorded a charge of $4.4 million due to a remeasurement of our deferred tax balances for the year ended December 31, 2019. The future rate impacts of these Swiss tax reform law changes are effective starting January 1, 2020. We will continue to monitor Swiss tax reform for any additional interpretative guidance that could result in changes to the amounts we have recorded.</w:t>
      </w:r>
    </w:p>
    <w:p>
      <w:pPr>
        <w:spacing w:after="0" w:line="222"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in response to the COVID-19 pandemic. The CARES Act contains modifications on the limitation of business interest for tax years beginning in 2019 and 2020. The modifications to Section 163(j) of the Internal Revenue Code increase the allowable business interest deduction for those years from 30% to 50% of adjusted taxable income. This modification significantly increased our allowable interest expense deduction for 2019, resulting in less utilization of prior year net operating losses in that year. Further, we expect to be able to fully deduct interest expense incurred in 2020, including previously disallowed interest expense carrying forward from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Divestitures</w:t>
      </w:r>
    </w:p>
    <w:p>
      <w:pPr>
        <w:spacing w:after="0" w:line="256"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On February 1, 2017, we completed the sale of assets of our Mailgun business for total consideration of $40.2 million, which was comprised of an initial cash payment of $20.5 million, a promissory note receivable with principal amount of $20.0 million to be paid in annual installments over four years with a fair value of $14.8 million, and an equity interest in the new entity, Mailgun Technologies with a fair value of $4.9 million.</w:t>
      </w:r>
    </w:p>
    <w:p>
      <w:pPr>
        <w:spacing w:after="0" w:line="19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October 2017, Mailgun Technologies began exercising call rights to repurchase a portion of shares. During 2018, Mailgun Technologies exercised call rights and repurchased additional shares in multiple transactions throughout the year, which resulted in a total gain of $3.8 million. The gain associated with these share repurchases are included within “Gain on investments, net” in the Consolidated Statements of Comprehensive Loss for the year ended December 31, 2018. As of December 31, 2018, we no longer had an equity interest in Mailgun Technologies.</w:t>
      </w:r>
    </w:p>
    <w:p>
      <w:pPr>
        <w:spacing w:after="0" w:line="198"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In March 2019, we received $18.0 million in cash from Mailgun Technologies as repayment for the promissory note balance of $15.9 million, which included accrued interest of $1.2 million. As such, we recorded a gain of $2.1 million, which is reflected within "Gain on sale" in the Consolidated Statements of Comprehensive Loss for the year ended December 31, 2019. We did not have any divestitures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RelationEdge</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On May 14, 2018, we acquired 100% of RelationEdge, LLC ("RelationEdge"), a full-service Salesforce Platinum Consulting Partner and digital agency that helps clients engage with their customers from lead to loyalty by improving business process, leveraging technology and integrating creative digital marketing. The acquisition was completed for total consideration of $65.7 million, net of cash acquired of $0.4 million, for a net cash purchase price of $65.3 million. We funded the acquisition and the related fees and expenses with cash on hand. With this acquisition, we expanded our ability to be a preferred partner for managing a customer’s complete application portfolio through continuous transition to modern technologies, including software-as-a-service (“SaaS”) applications.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final allocation of the purchase price as of the May 14, 2018 closing date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14, 2018</w:t>
            </w:r>
          </w:p>
        </w:tc>
        <w:tc>
          <w:tcPr>
            <w:tcW w:w="0" w:type="dxa"/>
            <w:vAlign w:val="bottom"/>
          </w:tcPr>
          <w:p>
            <w:pPr>
              <w:spacing w:after="0"/>
              <w:rPr>
                <w:sz w:val="1"/>
                <w:szCs w:val="1"/>
                <w:color w:val="auto"/>
              </w:rPr>
            </w:pPr>
          </w:p>
        </w:tc>
      </w:tr>
      <w:tr>
        <w:trPr>
          <w:trHeight w:val="23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RelationEdge Acquisition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assumed, net of other assets acquired</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Goodwill primarily consisted of assembled workforce and is deductible for tax purposes. The fair value of identifiable intangible assets acquired includes $18.0 million for the relationship with Salesforce, and is recorded within “Other” in the intangible assets table disclosed in Note 5, “Goodwill and Intangible Assets.” The weighted average amortization period of identifiable intangible assets is approximately 4.6 years as of the date of the acquisition.</w:t>
      </w:r>
    </w:p>
    <w:p>
      <w:pPr>
        <w:spacing w:after="0" w:line="17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We recorded $1.6 million for the year ended December 31, 2018 of costs, including legal, professional, and other fees, related to the RelationEdge acquisition, within "Selling, general and administrative expenses" in the Consolidated Statements of Comprehensive Loss.</w:t>
      </w:r>
    </w:p>
    <w:p>
      <w:pPr>
        <w:spacing w:after="0" w:line="19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RelationEdge’s results of operations from the May 14, 2018 acquisition date through December 31, 2018 were not material to our consolidated financial statements. Additionally, pro forma impacts of the RelationEdge acquisition were not material to our consolidated revenue or results of operations for the year ended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Onica</w:t>
      </w:r>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November 15, 2019, we acquired 100% of Onica Holdings LLC ("Onica"), an Amazon Web Services ("AWS") Partner Network Premier Consulting Partner and AWS Managed Service Provider providing cloud-native consulting and managed services, including strategic advisory, architecture and engineering and application development services. Total consideration to acquire Onica was $323.4 million, net of cash acquired of $7.5 million, for a net purchase price of $315.9 million. Total consideration includes the purchase price adjustment resulting from the difference between net working capital on the date of acquisition compared to the estimated net working capital used to determine the closing consideration (the "Purchase Price Adjustment"). The acquisition was funded through a combination of cash on hand and revolving credit facility borrowings, which were repaid by December 31, 2019. This acquisition allows us to expand our portfolio of managed public cloud and professional services solutions and further enhance our existing partnership with AWS.</w:t>
      </w:r>
    </w:p>
    <w:p>
      <w:pPr>
        <w:spacing w:after="0" w:line="21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purchase price allocation was finalized in November 2020. Goodwill primarily consisted of assembled workforce. None of the goodwill recorded as part of the Onica acquisition is deductible for tax purposes except for approximately $18 million assumed as a result of historical acquisitions made by Onica.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final allocation of the purchase price as of the November 15, 2019 closing date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November 15, 2019</w:t>
            </w:r>
          </w:p>
        </w:tc>
        <w:tc>
          <w:tcPr>
            <w:tcW w:w="0" w:type="dxa"/>
            <w:vAlign w:val="bottom"/>
          </w:tcPr>
          <w:p>
            <w:pPr>
              <w:spacing w:after="0"/>
              <w:rPr>
                <w:sz w:val="1"/>
                <w:szCs w:val="1"/>
                <w:color w:val="auto"/>
              </w:rPr>
            </w:pPr>
          </w:p>
        </w:tc>
      </w:tr>
      <w:tr>
        <w:trPr>
          <w:trHeight w:val="23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Allocated to:</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7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978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assumed, net of other assets acquired</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Included in the fair value of identifiable intangible assets acquired was $41.3 million of customer relationships and $17.2 million for the relationship with AWS, with an amortization period of seven and four years, respectively. The AWS relationship is recorded within “Other” in the intangible assets table disclosed in Note 5, “Goodwill and Intangible Assets.”</w:t>
      </w:r>
    </w:p>
    <w:p>
      <w:pPr>
        <w:spacing w:after="0" w:line="211"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During the year ended December 31, 2019, we recorded $7.7 million of costs, including legal, professional, and other fees, related to the Onica acquisition, within "Selling, general and administrative expenses" in the Consolidated Statements of Comprehensive Loss.</w:t>
      </w:r>
    </w:p>
    <w:p>
      <w:pPr>
        <w:spacing w:after="0" w:line="17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Onica’s results of operations from the November 15, 2019 acquisition date through December 31, 2019 were not material to our consolidated financial statements.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 Forma Results</w:t>
      </w:r>
    </w:p>
    <w:p>
      <w:pPr>
        <w:spacing w:after="0" w:line="25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following unaudited pro forma summary presents consolidated financial information for the years ended December 31, 2018 and 2019 as if the Onica acquisition had been completed as of January 1, 2018. This pro forma presentation does not include any impact of transaction synergies. The pro forma results are not necessarily indicative of the results of operations that actually would have been achieved had the acquisition of Onica been consummated as of January 1, 2018:</w:t>
      </w:r>
    </w:p>
    <w:p>
      <w:pPr>
        <w:spacing w:after="0" w:line="12"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2,551.1</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(106.3)</w:t>
            </w:r>
          </w:p>
        </w:tc>
      </w:tr>
    </w:tbl>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Period Adjustments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year ended December 31, 2020, we recorded measurement period adjustments to the preliminary amounts recorded as of November 15,</w:t>
      </w:r>
    </w:p>
    <w:p>
      <w:pPr>
        <w:spacing w:after="0" w:line="46"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2019. We recorded a measurement period adjustment of $0.2 million to Onica Acquisition Consideration associated with the Purchase Price Adjustment and a net adjustment of $0.3 million to deferred taxes, for a total net decrease to goodwill of $0.5 million. The Purchase Price Adjustment is included in "Other investing activities" in the Consolidated Statements of Cash Flows. The the impact of the adjustments recorded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 Previously</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Measurement</w:t>
            </w:r>
          </w:p>
        </w:tc>
        <w:tc>
          <w:tcPr>
            <w:tcW w:w="280" w:type="dxa"/>
            <w:vAlign w:val="bottom"/>
          </w:tcPr>
          <w:p>
            <w:pPr>
              <w:spacing w:after="0"/>
              <w:rPr>
                <w:sz w:val="16"/>
                <w:szCs w:val="16"/>
                <w:color w:val="auto"/>
              </w:rPr>
            </w:pPr>
          </w:p>
        </w:tc>
        <w:tc>
          <w:tcPr>
            <w:tcW w:w="11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Revised</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Determined</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Period Adjustments</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Onica Acquisition Consideration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Liabilities assumed, net of other assets acquired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 Skies</w:t>
      </w:r>
    </w:p>
    <w:p>
      <w:pPr>
        <w:spacing w:after="0" w:line="25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On November 5, 2020, we acquired 100% of Bright Skies GmbH ("Bright Skies"), a cloud-native consulting and managed services provider. The acquisition of Bright Skies was not material to the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December 2016, we entered into seven floating-to-fixed interest rate swap agreements to manage our risk from interest rate fluctuations associated with the floating-rate Term Loan Facility. The swap agreements became effective on February 3, 2017 with an aggregate notional amount of $1.50 billion. Two swap agreements matured in 2018, one agreement matured in 2019, and one agreement matured in February 2020. The remaining three swap agreements in effect as of December 31, 2020 have an aggregate notional amount of $1.05 billion and mature over the next two years. On a quarterly basis, we net settle with the counterparty for the difference between the fixed rate specified in each swap agreement, ranging from 1.7625% to 1.9040%, and the variable rate based upon the three-month LIBOR as applied to the notional amount of the swap.</w:t>
      </w:r>
    </w:p>
    <w:p>
      <w:pPr>
        <w:spacing w:after="0" w:line="20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December 2018, we entered into four additional floating-to-fixed interest rate swap agreements with an aggregate notional amount of $1.35 billion and a maturity date of November 3, 2023. These swap agreements are forward-starting, and as of December 31, 2020, two swap agreements, with an aggregate notional amount of $300 million, were effective. The remaining swap agreements become effective each year thereafter to coincide with the maturity dates of the outstanding December 2016 swap agreements. On a quarterly basis, we net settle with the counterparty for the difference between the fixed rate specified in each swap agreement, ranging from 2.7350% to 2.7490%, and the variable rate based upon the three-month LIBOR as applied to the notional amount of the swap.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 Contracts</w:t>
      </w:r>
    </w:p>
    <w:p>
      <w:pPr>
        <w:spacing w:after="0" w:line="25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November 2017, we entered into three forward contracts. Under the terms of these contracts, we sold a total of £120 million at an average rate of 1.34378 British pound sterling to U.S. dollar and received $161.3 million. These contracts settled on November 30, 2018 and we received a final net payment of $7.9 million.</w:t>
      </w:r>
    </w:p>
    <w:p>
      <w:pPr>
        <w:spacing w:after="0" w:line="211"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In November 2018, we entered into one foreign currency forward contract. Under the terms of the contract, we sold £75 million at a rate of 1.3002 British pound sterling to U.S. dollar and received $97.5 million. This contract settled on November 29, 2019 and we received a final net payment of $0.8 million.</w:t>
      </w:r>
    </w:p>
    <w:p>
      <w:pPr>
        <w:spacing w:after="0" w:line="211"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15"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settled at various dates throughout the year, which resulted in the company making aggregate payments of $5.4 million. As of December 31, 2020, there was no notional amount outstanding related to these contracts.</w:t>
      </w:r>
    </w:p>
    <w:p>
      <w:pPr>
        <w:spacing w:after="0" w:line="192"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Price Power Contracts</w:t>
      </w:r>
    </w:p>
    <w:p>
      <w:pPr>
        <w:spacing w:after="0" w:line="252" w:lineRule="exact"/>
        <w:rPr>
          <w:sz w:val="20"/>
          <w:szCs w:val="20"/>
          <w:color w:val="auto"/>
        </w:rPr>
      </w:pPr>
    </w:p>
    <w:p>
      <w:pPr>
        <w:ind w:right="460" w:firstLine="486"/>
        <w:spacing w:after="0" w:line="301" w:lineRule="auto"/>
        <w:rPr>
          <w:sz w:val="20"/>
          <w:szCs w:val="20"/>
          <w:color w:val="auto"/>
        </w:rPr>
      </w:pPr>
      <w:r>
        <w:rPr>
          <w:rFonts w:ascii="Arial" w:cs="Arial" w:eastAsia="Arial" w:hAnsi="Arial"/>
          <w:sz w:val="16"/>
          <w:szCs w:val="16"/>
          <w:color w:val="auto"/>
        </w:rPr>
        <w:t>We entered into a fixed price power contract for a London data center in September 2015 as part of our price risk management strategy and accounted for it as a derivative that did not qualify for the normal purchases normal sales exception. The contract ended in September 2018 and we executed a new contract with a term of October 2018 through September 2021 that met the normal purchases normal sales exception. Therefore, as of December 31, 2019 and 2020, we do not have any power contracts recorded at fair value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fair values of our derivatives and their location on the Consolidated Balance Sheets as of December 31, 2019 and 2020 were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Derivatives not designated as</w:t>
            </w:r>
          </w:p>
        </w:tc>
        <w:tc>
          <w:tcPr>
            <w:tcW w:w="26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Location</w:t>
            </w:r>
          </w:p>
        </w:tc>
        <w:tc>
          <w:tcPr>
            <w:tcW w:w="10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6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 current liabilities</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5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3"/>
              </w:rPr>
              <w:t>Derivatives designated as hedging</w:t>
            </w:r>
          </w:p>
        </w:tc>
        <w:tc>
          <w:tcPr>
            <w:tcW w:w="2620" w:type="dxa"/>
            <w:vAlign w:val="bottom"/>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Location</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62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non-current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3"/>
        </w:trPr>
        <w:tc>
          <w:tcPr>
            <w:tcW w:w="2500" w:type="dxa"/>
            <w:vAlign w:val="bottom"/>
          </w:tcPr>
          <w:p>
            <w:pPr>
              <w:ind w:left="220"/>
              <w:spacing w:after="0"/>
              <w:rPr>
                <w:sz w:val="20"/>
                <w:szCs w:val="20"/>
                <w:color w:val="auto"/>
              </w:rPr>
            </w:pPr>
            <w:r>
              <w:rPr>
                <w:rFonts w:ascii="Arial" w:cs="Arial" w:eastAsia="Arial" w:hAnsi="Arial"/>
                <w:sz w:val="16"/>
                <w:szCs w:val="16"/>
                <w:color w:val="auto"/>
              </w:rPr>
              <w:t>Total</w:t>
            </w:r>
          </w:p>
        </w:tc>
        <w:tc>
          <w:tcPr>
            <w:tcW w:w="26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December 31, 2020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0"/>
              </w:rPr>
              <w:t>Effect of</w:t>
            </w: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20"/>
              <w:spacing w:after="0" w:line="162" w:lineRule="exact"/>
              <w:rPr>
                <w:sz w:val="20"/>
                <w:szCs w:val="20"/>
                <w:color w:val="auto"/>
              </w:rPr>
            </w:pPr>
            <w:r>
              <w:rPr>
                <w:rFonts w:ascii="Arial" w:cs="Arial" w:eastAsia="Arial" w:hAnsi="Arial"/>
                <w:sz w:val="16"/>
                <w:szCs w:val="16"/>
                <w:b w:val="1"/>
                <w:bCs w:val="1"/>
                <w:color w:val="auto"/>
              </w:rPr>
              <w:t>Counter-Party</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9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120" w:type="dxa"/>
            <w:vAlign w:val="bottom"/>
          </w:tcPr>
          <w:p>
            <w:pPr>
              <w:spacing w:after="0"/>
              <w:rPr>
                <w:sz w:val="14"/>
                <w:szCs w:val="14"/>
                <w:color w:val="auto"/>
              </w:rPr>
            </w:pPr>
          </w:p>
        </w:tc>
        <w:tc>
          <w:tcPr>
            <w:tcW w:w="12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Netting</w:t>
            </w:r>
          </w:p>
        </w:tc>
        <w:tc>
          <w:tcPr>
            <w:tcW w:w="1160" w:type="dxa"/>
            <w:vAlign w:val="bottom"/>
            <w:gridSpan w:val="3"/>
            <w:vMerge w:val="continue"/>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Loss</w:t>
      </w:r>
    </w:p>
    <w:p>
      <w:pPr>
        <w:spacing w:after="0" w:line="25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effect of our derivatives and their location on the Consolidated Statements of Comprehensive Loss for the years ended December 31, 2018, 2019 and 2020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7"/>
        </w:trPr>
        <w:tc>
          <w:tcPr>
            <w:tcW w:w="3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8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w w:val="93"/>
              </w:rPr>
              <w:t>Derivatives not designated as hedging instruments</w:t>
            </w:r>
          </w:p>
        </w:tc>
        <w:tc>
          <w:tcPr>
            <w:tcW w:w="2580" w:type="dxa"/>
            <w:vAlign w:val="bottom"/>
          </w:tcPr>
          <w:p>
            <w:pPr>
              <w:ind w:left="180"/>
              <w:spacing w:after="0"/>
              <w:rPr>
                <w:sz w:val="20"/>
                <w:szCs w:val="20"/>
                <w:color w:val="auto"/>
              </w:rPr>
            </w:pPr>
            <w:r>
              <w:rPr>
                <w:rFonts w:ascii="Arial" w:cs="Arial" w:eastAsia="Arial" w:hAnsi="Arial"/>
                <w:sz w:val="16"/>
                <w:szCs w:val="16"/>
                <w:b w:val="1"/>
                <w:bCs w:val="1"/>
                <w:color w:val="auto"/>
              </w:rPr>
              <w:t>Location</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8"/>
              </w:rPr>
              <w:t>1.8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Power contracts</w:t>
            </w:r>
          </w:p>
        </w:tc>
        <w:tc>
          <w:tcPr>
            <w:tcW w:w="2580" w:type="dxa"/>
            <w:vAlign w:val="bottom"/>
          </w:tcPr>
          <w:p>
            <w:pPr>
              <w:ind w:left="180"/>
              <w:spacing w:after="0"/>
              <w:rPr>
                <w:sz w:val="20"/>
                <w:szCs w:val="20"/>
                <w:color w:val="auto"/>
              </w:rPr>
            </w:pPr>
            <w:r>
              <w:rPr>
                <w:rFonts w:ascii="Arial" w:cs="Arial" w:eastAsia="Arial" w:hAnsi="Arial"/>
                <w:sz w:val="16"/>
                <w:szCs w:val="16"/>
                <w:color w:val="auto"/>
              </w:rPr>
              <w:t>Cost of revenue</w:t>
            </w:r>
          </w:p>
        </w:tc>
        <w:tc>
          <w:tcPr>
            <w:tcW w:w="1100" w:type="dxa"/>
            <w:vAlign w:val="bottom"/>
          </w:tcPr>
          <w:p>
            <w:pPr>
              <w:spacing w:after="0"/>
              <w:rPr>
                <w:sz w:val="18"/>
                <w:szCs w:val="18"/>
                <w:color w:val="auto"/>
              </w:rPr>
            </w:pPr>
          </w:p>
        </w:tc>
        <w:tc>
          <w:tcPr>
            <w:tcW w:w="480" w:type="dxa"/>
            <w:vAlign w:val="bottom"/>
          </w:tcPr>
          <w:p>
            <w:pPr>
              <w:jc w:val="center"/>
              <w:ind w:left="39"/>
              <w:spacing w:after="0"/>
              <w:rPr>
                <w:sz w:val="20"/>
                <w:szCs w:val="20"/>
                <w:color w:val="auto"/>
              </w:rPr>
            </w:pPr>
            <w:r>
              <w:rPr>
                <w:rFonts w:ascii="Arial" w:cs="Arial" w:eastAsia="Arial" w:hAnsi="Arial"/>
                <w:sz w:val="16"/>
                <w:szCs w:val="16"/>
                <w:color w:val="auto"/>
                <w:w w:val="97"/>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 (expense), net</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9"/>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7"/>
              </w:rPr>
              <w:t>Derivatives designated as hedging instruments</w:t>
            </w:r>
          </w:p>
        </w:tc>
        <w:tc>
          <w:tcPr>
            <w:tcW w:w="206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Location</w:t>
            </w:r>
          </w:p>
        </w:tc>
        <w:tc>
          <w:tcPr>
            <w:tcW w:w="1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06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700" w:type="dxa"/>
            <w:vAlign w:val="bottom"/>
          </w:tcPr>
          <w:p>
            <w:pPr>
              <w:ind w:left="620"/>
              <w:spacing w:after="0"/>
              <w:rPr>
                <w:sz w:val="20"/>
                <w:szCs w:val="20"/>
                <w:color w:val="auto"/>
              </w:rPr>
            </w:pPr>
            <w:r>
              <w:rPr>
                <w:rFonts w:ascii="Arial" w:cs="Arial" w:eastAsia="Arial" w:hAnsi="Arial"/>
                <w:sz w:val="16"/>
                <w:szCs w:val="16"/>
                <w:color w:val="auto"/>
              </w:rPr>
              <w:t>—   $</w:t>
            </w:r>
          </w:p>
        </w:tc>
        <w:tc>
          <w:tcPr>
            <w:tcW w:w="1600" w:type="dxa"/>
            <w:vAlign w:val="bottom"/>
          </w:tcPr>
          <w:p>
            <w:pPr>
              <w:ind w:left="6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r>
    </w:tbl>
    <w:p>
      <w:pPr>
        <w:spacing w:after="0" w:line="31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Interest expense was $281.1 million, $329.9 million and $268.4 million for the years ended December 31, 2018, 2019 and 2020, respectively. As of December 31, 2020, the amount of cash flow hedge losses included within "Accumulated other comprehensive income (loss)" that is expected to be reclassified as an increase to "Interest expense" over the next 12 months is approximately $19.6 million. See Note 17, "Accumulated Other Comprehensive Income (Loss)," for information regarding changes in fair value of our derivatives designated as hedging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December 31, 2020, our interest rate swap agreements with an aggregate fair value of $87.0 million were in a net liability position.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66"/>
        </w:trPr>
        <w:tc>
          <w:tcPr>
            <w:tcW w:w="4660" w:type="dxa"/>
            <w:vAlign w:val="bottom"/>
          </w:tcPr>
          <w:p>
            <w:pPr>
              <w:ind w:left="260"/>
              <w:spacing w:after="0" w:line="166" w:lineRule="exact"/>
              <w:rPr>
                <w:sz w:val="20"/>
                <w:szCs w:val="20"/>
                <w:color w:val="auto"/>
              </w:rPr>
            </w:pPr>
            <w:r>
              <w:rPr>
                <w:rFonts w:ascii="Arial" w:cs="Arial" w:eastAsia="Arial" w:hAnsi="Arial"/>
                <w:sz w:val="16"/>
                <w:szCs w:val="16"/>
                <w:color w:val="auto"/>
                <w:w w:val="98"/>
              </w:rPr>
              <w:t>Foreign currency translation adjustments, net of tax expense of</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$0.1 million</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53" w:lineRule="exact"/>
              <w:rPr>
                <w:sz w:val="20"/>
                <w:szCs w:val="20"/>
                <w:color w:val="auto"/>
              </w:rPr>
            </w:pPr>
            <w:r>
              <w:rPr>
                <w:rFonts w:ascii="Arial" w:cs="Arial" w:eastAsia="Arial" w:hAnsi="Arial"/>
                <w:sz w:val="16"/>
                <w:szCs w:val="16"/>
                <w:color w:val="auto"/>
                <w:w w:val="93"/>
              </w:rPr>
              <w:t>Foreign currency translation adjustments, net of tax benefit of $0.2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53" w:lineRule="exact"/>
              <w:rPr>
                <w:sz w:val="20"/>
                <w:szCs w:val="20"/>
                <w:color w:val="auto"/>
              </w:rPr>
            </w:pPr>
            <w:r>
              <w:rPr>
                <w:rFonts w:ascii="Arial" w:cs="Arial" w:eastAsia="Arial" w:hAnsi="Arial"/>
                <w:sz w:val="16"/>
                <w:szCs w:val="16"/>
                <w:color w:val="auto"/>
                <w:w w:val="98"/>
              </w:rPr>
              <w:t>Foreign currency translation adjustments, net of tax expense of</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$1.1 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4"/>
              </w:rPr>
              <w:t>Unrealized loss on derivative contracts, net of tax benefit of $16.3</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line="162" w:lineRule="exact"/>
              <w:rPr>
                <w:sz w:val="20"/>
                <w:szCs w:val="20"/>
                <w:color w:val="auto"/>
              </w:rPr>
            </w:pPr>
            <w:r>
              <w:rPr>
                <w:rFonts w:ascii="Arial" w:cs="Arial" w:eastAsia="Arial" w:hAnsi="Arial"/>
                <w:sz w:val="16"/>
                <w:szCs w:val="16"/>
                <w:color w:val="auto"/>
                <w:w w:val="99"/>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line="216" w:lineRule="exact"/>
              <w:rPr>
                <w:sz w:val="20"/>
                <w:szCs w:val="20"/>
                <w:color w:val="auto"/>
              </w:rPr>
            </w:pPr>
            <w:r>
              <w:rPr>
                <w:rFonts w:ascii="Arial" w:cs="Arial" w:eastAsia="Arial" w:hAnsi="Arial"/>
                <w:sz w:val="16"/>
                <w:szCs w:val="16"/>
                <w:color w:val="auto"/>
              </w:rPr>
              <w:t xml:space="preserve">(loss) into earnings, net of tax benefit of $2.8 million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interest expense recognized of $16.8 million, partially offset by amortization of off-market swap value of $5.8 million for the year ended December 31, 2020.</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0" w:lineRule="exact"/>
        <w:rPr>
          <w:rFonts w:ascii="Arial" w:cs="Arial" w:eastAsia="Arial" w:hAnsi="Arial"/>
          <w:sz w:val="14"/>
          <w:szCs w:val="14"/>
          <w:color w:val="auto"/>
        </w:rPr>
      </w:pPr>
    </w:p>
    <w:p>
      <w:pPr>
        <w:ind w:left="5480" w:hanging="96"/>
        <w:spacing w:after="0"/>
        <w:tabs>
          <w:tab w:leader="none" w:pos="5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5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November 3, 2016, we entered into management consulting agreements with affiliates of Apollo and Searchlight and on November 15, 2017, in connection with the Datapipe acquisition, we entered into a management consulting agreement with ABRY. Under these agreements, we are required to pay them a quarterly, nonrefundable fee for consulting services in areas such as finance, strategy, investment, and acquisitions based on EBITDA, as defined in the First Lien Credit Agreement. For Apollo and Searchlight, the consulting fee is equal to 1.5% of EBITDA, or a minimum annual consulting fee of $10.0 million. Under the ABRY agreement, the consulting fee is equal to a specified percentage of 1.5% of EBITDA. For the years ended December 31, 2018, 2019 and 2020, we recorded $15.2 million, $12.9 million and $8.4 million, respectively, of management consulting fees within "Selling, general and administrative expenses" in the Consolidated Statements of Comprehensive Loss.</w:t>
      </w:r>
    </w:p>
    <w:p>
      <w:pPr>
        <w:spacing w:after="0" w:line="20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we are required to pay a fee related to acquisitions. In connection with the 2018 acquisition of RelationEdge, we recorded $0.7 million in fees to affiliates of Apollo, Searchlight, and ABRY within "Selling, general and administrative expenses" in the Consolidated Statements of Comprehensive Loss. In connection with the 2019 acquisition of Onica, we recorded $3.3 million in fees to affiliates of Apollo, Searchlight, and ABRY within "Selling, general and administrative expenses" in the Consolidated Statements of Comprehensive Loss.</w:t>
      </w:r>
    </w:p>
    <w:p>
      <w:pPr>
        <w:spacing w:after="0" w:line="214"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On July 24, 2020, we executed termination letters with each of the parties to the above agreements, whereby all such agreements terminated effective as of the pricing of the IPO on August 4, 2020. Therefore no management consulting or acquisition-related fees were accrued or were payable under any of these agreements for periods subsequent to August 4, 2020.</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December 31, 2020, the outstanding principal amount of the Term Loan Facility was $2,795.6 million, of which $48.7 million, or 1.7%, is due to ABRY affiliates.</w:t>
      </w:r>
    </w:p>
    <w:p>
      <w:pPr>
        <w:spacing w:after="0" w:line="19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part of the IPO, Apollo Global Securities, LLC ("Apollo Global Securities"), an affiliate of Apollo, received fees of $2.7 million in connection with their role as an underwriter in the IPO.</w:t>
      </w:r>
    </w:p>
    <w:p>
      <w:pPr>
        <w:spacing w:after="0" w:line="19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Apollo Global Securities also received approximately $0.6 million in connection with their role as an initial purchaser of the 5.375% Senior Notes issued on December 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25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non-GAAP gross profit, which is a non-GAAP measure of profitability. For the calculation of non-GAAP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segment non-GAAP gross profit to total consolidated gross profit for the years ended December 31, 2018, 2019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1,803.4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1,832.6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2,141.5</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r>
      <w:tr>
        <w:trPr>
          <w:trHeight w:val="233"/>
        </w:trPr>
        <w:tc>
          <w:tcPr>
            <w:tcW w:w="6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6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Non-GAAP gross profit by segment: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736.6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774.7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810.2</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100.3</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62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6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revenue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62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30"/>
        </w:trPr>
        <w:tc>
          <w:tcPr>
            <w:tcW w:w="6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hanging="492"/>
        <w:spacing w:after="0" w:line="255" w:lineRule="auto"/>
        <w:tabs>
          <w:tab w:leader="none" w:pos="3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Adjustments for expense related to the cash settlement of unvested equity awards that were outstanding at the consummation of the Rackspace Acquisition, retention bonuses, mainly in connection with restructuring and transformation projects, and the related payroll tax.</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revenue and expenses.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Adjustment for the impact of business transformation and optimization activities, as well as associated severance, facility closure costs and lease termination expenses.</w:t>
      </w:r>
    </w:p>
    <w:p>
      <w:pPr>
        <w:spacing w:after="0" w:line="25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tables below present revenue by geographic region and by country for the years ended December 31, 2018, 2019 and 2020. Revenue amounts are based upon the location of the support function servicing the customer.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92"/>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r>
      <w:tr>
        <w:trPr>
          <w:trHeight w:val="229"/>
        </w:trPr>
        <w:tc>
          <w:tcPr>
            <w:tcW w:w="6280" w:type="dxa"/>
            <w:vAlign w:val="bottom"/>
          </w:tcPr>
          <w:p>
            <w:pPr>
              <w:ind w:left="20"/>
              <w:spacing w:after="0"/>
              <w:rPr>
                <w:sz w:val="20"/>
                <w:szCs w:val="20"/>
                <w:color w:val="auto"/>
              </w:rPr>
            </w:pPr>
            <w:r>
              <w:rPr>
                <w:rFonts w:ascii="Arial" w:cs="Arial" w:eastAsia="Arial" w:hAnsi="Arial"/>
                <w:sz w:val="16"/>
                <w:szCs w:val="16"/>
                <w:color w:val="auto"/>
              </w:rPr>
              <w:t>EMEA</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APJ</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3"/>
        </w:trPr>
        <w:tc>
          <w:tcPr>
            <w:tcW w:w="62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2,707.1</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85"/>
        </w:trPr>
        <w:tc>
          <w:tcPr>
            <w:tcW w:w="6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92"/>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r>
      <w:tr>
        <w:trPr>
          <w:trHeight w:val="230"/>
        </w:trPr>
        <w:tc>
          <w:tcPr>
            <w:tcW w:w="628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583.6</w:t>
            </w:r>
          </w:p>
        </w:tc>
      </w:tr>
      <w:tr>
        <w:trPr>
          <w:trHeight w:val="229"/>
        </w:trPr>
        <w:tc>
          <w:tcPr>
            <w:tcW w:w="628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Other foreign countries </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23"/>
        </w:trPr>
        <w:tc>
          <w:tcPr>
            <w:tcW w:w="62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2,707.1</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 other foreign country had revenue that exceeded 10% of total consolidated revenue for the years ended December 31, 2018, 2019 and 2020.</w:t>
      </w:r>
    </w:p>
    <w:p>
      <w:pPr>
        <w:spacing w:after="0" w:line="24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table below presents property, equipment and software, net by country, based on the physical location of the assets, as of December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r>
      <w:tr>
        <w:trPr>
          <w:trHeight w:val="230"/>
        </w:trPr>
        <w:tc>
          <w:tcPr>
            <w:tcW w:w="82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170.9</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Other foreign countries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8220" w:type="dxa"/>
            <w:vAlign w:val="bottom"/>
          </w:tcPr>
          <w:p>
            <w:pPr>
              <w:ind w:left="140"/>
              <w:spacing w:after="0"/>
              <w:rPr>
                <w:sz w:val="20"/>
                <w:szCs w:val="20"/>
                <w:color w:val="auto"/>
              </w:rPr>
            </w:pPr>
            <w:r>
              <w:rPr>
                <w:rFonts w:ascii="Arial" w:cs="Arial" w:eastAsia="Arial" w:hAnsi="Arial"/>
                <w:sz w:val="16"/>
                <w:szCs w:val="16"/>
                <w:color w:val="auto"/>
              </w:rPr>
              <w:t>Total property, equipment and software,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r>
      <w:tr>
        <w:trPr>
          <w:trHeight w:val="21"/>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75" w:lineRule="auto"/>
        <w:tabs>
          <w:tab w:leader="none" w:pos="3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other foreign country had property, equipment and software, net that exceeded 10% of total consolidated property, equipment and software, net as of December 31, 2019 and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480" w:hanging="96"/>
        <w:spacing w:after="0"/>
        <w:tabs>
          <w:tab w:leader="none" w:pos="5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Financial Information of Registrant (Parent Company Only)</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subsidiaries of Parent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2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$0.01 par value per share: 1,495.0 shares authorized; 165.4 and 201.8 shares issued and outstanding,</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822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RACKSPACE TECHNOLOGY, INC. (Parent Company Only)</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09"/>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losses in Parent's subsidiaries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13"/>
        </w:trPr>
        <w:tc>
          <w:tcPr>
            <w:tcW w:w="6240" w:type="dxa"/>
            <w:vAlign w:val="bottom"/>
          </w:tcPr>
          <w:p>
            <w:pPr>
              <w:ind w:left="480"/>
              <w:spacing w:after="0"/>
              <w:rPr>
                <w:sz w:val="20"/>
                <w:szCs w:val="20"/>
                <w:color w:val="auto"/>
              </w:rPr>
            </w:pPr>
            <w:r>
              <w:rPr>
                <w:rFonts w:ascii="Arial" w:cs="Arial" w:eastAsia="Arial" w:hAnsi="Arial"/>
                <w:sz w:val="16"/>
                <w:szCs w:val="16"/>
                <w:color w:val="auto"/>
              </w:rPr>
              <w:t>Net loss and total comprehensive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(470.6)</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(245.8)</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(2.85)</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5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 condensed statement of cash flows has not been presented as Rackspace Technology, Inc. did not have any cash as of, or at any point in time during, the years ended December 31, 2018, 2019 and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TO CONDENSED FINANCIAL STATEMENTS OF REGISTRANT (Parent Company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First Lien Credit Agreement and the indenture governing the 5.375% Senior Notes, as described in Note 7, “Debt” to the audited consolidated financial statements.</w:t>
      </w:r>
    </w:p>
    <w:p>
      <w:pPr>
        <w:spacing w:after="0" w:line="21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9A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Annual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52"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2020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9B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2021 Annual Meeting of Stockholders to be filed with the SEC within 120 days after the end of the fiscal year ended December 31, 2020.</w:t>
      </w:r>
    </w:p>
    <w:p>
      <w:pPr>
        <w:spacing w:after="0" w:line="197" w:lineRule="exact"/>
        <w:rPr>
          <w:sz w:val="20"/>
          <w:szCs w:val="20"/>
          <w:color w:val="auto"/>
        </w:rPr>
      </w:pPr>
    </w:p>
    <w:p>
      <w:pPr>
        <w:ind w:right="320" w:firstLine="486"/>
        <w:spacing w:after="0" w:line="301" w:lineRule="auto"/>
        <w:rPr>
          <w:sz w:val="20"/>
          <w:szCs w:val="20"/>
          <w:color w:val="auto"/>
        </w:rPr>
      </w:pPr>
      <w:r>
        <w:rPr>
          <w:rFonts w:ascii="Arial" w:cs="Arial" w:eastAsia="Arial" w:hAnsi="Arial"/>
          <w:sz w:val="16"/>
          <w:szCs w:val="16"/>
          <w:color w:val="auto"/>
        </w:rPr>
        <w:t>We have adopted the Rackspace Technology, Inc. Code of Conduct and Business Ethics (the “Code of Conduct”) that applies to all of our employees, officers and directors, including, without limitation, our Chief Executive Officer, Chief Financial Officer, and other finance organization employees. The Code of Conduct, as well as any waiver of a provision of the Code of Conduct granted to any senior officer or director or material amendment to the Code of Conduct, if any, may be found on our website at ir.rackspace.com under "Corporate Governance."</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11 – EXECUTIVE COMPENSATION</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2021 Annual Meeting of Stockholders to be filed with the SEC within 120 days after the end of the fiscal year ended December 31, 2020.</w:t>
      </w:r>
    </w:p>
    <w:p>
      <w:pPr>
        <w:spacing w:after="0" w:line="193" w:lineRule="exact"/>
        <w:rPr>
          <w:sz w:val="20"/>
          <w:szCs w:val="20"/>
          <w:color w:val="auto"/>
        </w:rPr>
      </w:pPr>
    </w:p>
    <w:p>
      <w:pPr>
        <w:jc w:val="center"/>
        <w:ind w:lef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2021 Annual Meeting of Stockholders to be filed with the SEC within 120 days after the end of the fiscal year ended December 31, 2020.</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2021 Annual Meeting of Stockholders to be filed with the SEC within 120 days after the end of the fiscal year ended December 31, 2020.</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Rackspace Technology’s Proxy Statement for its 2021 Annual Meeting of Stockholders to be filed with the SEC within 120 days after the end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5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ITEM 15 – 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filed as part of this report are listed on the Index to Consolidated Financial Statements in Item 8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schedules have been omitted because they are not required or the required information is shown in the consolidated financial statements or notes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Index to Exhibits, which is incorporated by reference.</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 16 – 10-K SUMMARY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25" w:right="8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Table of Contents</w:t>
              </w:r>
            </w:hyperlink>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1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00" w:type="dxa"/>
            <w:vAlign w:val="bottom"/>
            <w:gridSpan w:val="31"/>
          </w:tcPr>
          <w:p>
            <w:pPr>
              <w:ind w:left="1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445"/>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28"/>
            <w:vMerge w:val="restart"/>
          </w:tcPr>
          <w:p>
            <w:pPr>
              <w:ind w:left="30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gridSpan w:val="2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40" w:type="dxa"/>
            <w:vAlign w:val="bottom"/>
            <w:tcBorders>
              <w:top w:val="single" w:sz="8" w:color="auto"/>
            </w:tcBorders>
            <w:gridSpan w:val="35"/>
          </w:tcPr>
          <w:p>
            <w:pPr>
              <w:spacing w:after="0" w:line="19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Second Amended and Restated Certificate of Incorporation of Rackspace Technology, Inc. (incorporated by reference from Exhibit 3.1 to</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Rackspace Technology, Inc.’s Form S-8, filed on August 5, 2020)</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6"/>
              </w:rPr>
            </w:pPr>
            <w:hyperlink r:id="rId151">
              <w:r>
                <w:rPr>
                  <w:rFonts w:ascii="Arial" w:cs="Arial" w:eastAsia="Arial" w:hAnsi="Arial"/>
                  <w:sz w:val="18"/>
                  <w:szCs w:val="18"/>
                  <w:u w:val="single" w:color="auto"/>
                  <w:color w:val="0000FF"/>
                  <w:w w:val="96"/>
                </w:rPr>
                <w:t>Second Amended and Restated Bylaws of Rackspace Technology, Inc. (incorporated by reference from</w:t>
              </w:r>
              <w:r>
                <w:rPr>
                  <w:rFonts w:ascii="Arial" w:cs="Arial" w:eastAsia="Arial" w:hAnsi="Arial"/>
                  <w:sz w:val="18"/>
                  <w:szCs w:val="18"/>
                  <w:color w:val="0000FF"/>
                  <w:w w:val="96"/>
                </w:rPr>
                <w:t xml:space="preserve"> Exhibit 3.2 to Rackspace</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7"/>
          </w:tcPr>
          <w:p>
            <w:pPr>
              <w:spacing w:after="0" w:line="182"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Technology, Inc.’s Form S-8, filed on August 5, 2020)</w:t>
              </w:r>
            </w:hyperlink>
          </w:p>
        </w:tc>
        <w:tc>
          <w:tcPr>
            <w:tcW w:w="3560" w:type="dxa"/>
            <w:vAlign w:val="bottom"/>
            <w:gridSpan w:val="5"/>
          </w:tcPr>
          <w:p>
            <w:pPr>
              <w:spacing w:after="0"/>
              <w:rPr>
                <w:sz w:val="15"/>
                <w:szCs w:val="15"/>
                <w:color w:val="auto"/>
              </w:rPr>
            </w:pPr>
          </w:p>
        </w:tc>
        <w:tc>
          <w:tcPr>
            <w:tcW w:w="15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0"/>
              </w:rPr>
            </w:pPr>
            <w:hyperlink r:id="rId152">
              <w:r>
                <w:rPr>
                  <w:rFonts w:ascii="Arial" w:cs="Arial" w:eastAsia="Arial" w:hAnsi="Arial"/>
                  <w:sz w:val="18"/>
                  <w:szCs w:val="18"/>
                  <w:u w:val="single" w:color="auto"/>
                  <w:color w:val="0000FF"/>
                  <w:w w:val="90"/>
                </w:rPr>
                <w:t>Indenture, dated as of December 1, 2020, among Rackspace Technology Global, Inc., the subsidiary</w:t>
              </w:r>
              <w:r>
                <w:rPr>
                  <w:rFonts w:ascii="Arial" w:cs="Arial" w:eastAsia="Arial" w:hAnsi="Arial"/>
                  <w:sz w:val="18"/>
                  <w:szCs w:val="18"/>
                  <w:color w:val="0000FF"/>
                  <w:w w:val="90"/>
                </w:rPr>
                <w:t xml:space="preserve"> guarantors named therein and Wells</w:t>
              </w:r>
            </w:hyperlink>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60" w:type="dxa"/>
            <w:vAlign w:val="bottom"/>
            <w:gridSpan w:val="11"/>
          </w:tcPr>
          <w:p>
            <w:pPr>
              <w:spacing w:after="0" w:line="195" w:lineRule="exact"/>
              <w:rPr>
                <w:rFonts w:ascii="Arial" w:cs="Arial" w:eastAsia="Arial" w:hAnsi="Arial"/>
                <w:sz w:val="18"/>
                <w:szCs w:val="18"/>
                <w:u w:val="single" w:color="auto"/>
                <w:color w:val="0000FF"/>
                <w:w w:val="88"/>
              </w:rPr>
            </w:pPr>
            <w:hyperlink r:id="rId152">
              <w:r>
                <w:rPr>
                  <w:rFonts w:ascii="Arial" w:cs="Arial" w:eastAsia="Arial" w:hAnsi="Arial"/>
                  <w:sz w:val="18"/>
                  <w:szCs w:val="18"/>
                  <w:u w:val="single" w:color="auto"/>
                  <w:color w:val="0000FF"/>
                  <w:w w:val="88"/>
                </w:rPr>
                <w:t>Fargo Bank, National Association, as trustee (incorporated by reference from Exhibit 4.1 to Rackspace</w:t>
              </w:r>
            </w:hyperlink>
          </w:p>
        </w:tc>
        <w:tc>
          <w:tcPr>
            <w:tcW w:w="2700" w:type="dxa"/>
            <w:vAlign w:val="bottom"/>
            <w:tcBorders>
              <w:top w:val="single" w:sz="8" w:color="0000FF"/>
            </w:tcBorders>
            <w:gridSpan w:val="21"/>
          </w:tcPr>
          <w:p>
            <w:pPr>
              <w:ind w:left="200"/>
              <w:spacing w:after="0" w:line="195" w:lineRule="exact"/>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Technology, Inc.’s Form 8-K,</w:t>
              </w:r>
            </w:hyperlink>
          </w:p>
        </w:tc>
        <w:tc>
          <w:tcPr>
            <w:tcW w:w="4294967217"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90"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filed on December 1, 2020)</w:t>
              </w:r>
            </w:hyperlink>
          </w:p>
        </w:tc>
        <w:tc>
          <w:tcPr>
            <w:tcW w:w="7940" w:type="dxa"/>
            <w:vAlign w:val="bottom"/>
            <w:gridSpan w:val="32"/>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8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35"/>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Description of Capital Stock</w:t>
              </w:r>
            </w:hyperlink>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5"/>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First Lien Credit Agreement, dated as of November 3, 2016, among Inception Parent, Inc., Inception Merger Sub, Inc., the lenders party</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tcBorders>
            <w:gridSpan w:val="29"/>
          </w:tcPr>
          <w:p>
            <w:pPr>
              <w:spacing w:after="0" w:line="182" w:lineRule="exact"/>
              <w:rPr>
                <w:rFonts w:ascii="Arial" w:cs="Arial" w:eastAsia="Arial" w:hAnsi="Arial"/>
                <w:sz w:val="18"/>
                <w:szCs w:val="18"/>
                <w:color w:val="0000FF"/>
                <w:w w:val="96"/>
              </w:rPr>
            </w:pPr>
            <w:hyperlink r:id="rId153">
              <w:r>
                <w:rPr>
                  <w:rFonts w:ascii="Arial" w:cs="Arial" w:eastAsia="Arial" w:hAnsi="Arial"/>
                  <w:sz w:val="18"/>
                  <w:szCs w:val="18"/>
                  <w:color w:val="0000FF"/>
                  <w:w w:val="96"/>
                </w:rPr>
                <w:t>thereto, and Citibank, N.A., as administrative agent (incorporated by reference from Exhibit 10.1 to Rackspace Technology, Inc.’s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Registration Statement on Form S-1 filed on July 10, 2020)</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Joinder to First Lien Credit Agreement, dated as of November 3, 2016, by Rackspace Technology Global, Inc. (f.k.a. Rackspace Hosting,</w:t>
              </w:r>
            </w:hyperlink>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33"/>
          </w:tcPr>
          <w:p>
            <w:pPr>
              <w:spacing w:after="0" w:line="182"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Inc.) (incorporated by reference from Exhibit 10.2 to Rackspace Technology, Inc.’s Registration Statement on Form S-1 filed on July 10,</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0000FF"/>
            </w:tcBorders>
          </w:tcPr>
          <w:p>
            <w:pPr>
              <w:spacing w:after="0" w:line="182" w:lineRule="exact"/>
              <w:rPr>
                <w:rFonts w:ascii="Arial" w:cs="Arial" w:eastAsia="Arial" w:hAnsi="Arial"/>
                <w:sz w:val="18"/>
                <w:szCs w:val="18"/>
                <w:color w:val="0000FF"/>
                <w:w w:val="86"/>
              </w:rPr>
            </w:pPr>
            <w:hyperlink r:id="rId154">
              <w:r>
                <w:rPr>
                  <w:rFonts w:ascii="Arial" w:cs="Arial" w:eastAsia="Arial" w:hAnsi="Arial"/>
                  <w:sz w:val="18"/>
                  <w:szCs w:val="18"/>
                  <w:color w:val="0000FF"/>
                  <w:w w:val="86"/>
                </w:rPr>
                <w:t>2020)</w:t>
              </w:r>
            </w:hyperlink>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1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Incremental Assumption and Amendment Agreement, dated as of December 20, 2016, among Inception Parent, Inc., Rackspace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bottom w:val="single" w:sz="8" w:color="0000FF"/>
            </w:tcBorders>
            <w:gridSpan w:val="19"/>
          </w:tcPr>
          <w:p>
            <w:pPr>
              <w:spacing w:after="0" w:line="182"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Technology Global, Inc. (f.k.a. Rackspace Hosting, Inc.), the subsidiary loan parties, the lenders party thereto, and Citibank, N.A., as</w:t>
              </w:r>
            </w:hyperlink>
          </w:p>
        </w:tc>
        <w:tc>
          <w:tcPr>
            <w:tcW w:w="36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5"/>
          </w:tcPr>
          <w:p>
            <w:pPr>
              <w:spacing w:after="0" w:line="182"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administrative agent (incorporated by reference from Exhibit 10.3 to Rackspace Technology, Inc.’s Registration Statement on Form S-1</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filed on July 10,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6"/>
              </w:rPr>
            </w:pPr>
            <w:hyperlink r:id="rId156">
              <w:r>
                <w:rPr>
                  <w:rFonts w:ascii="Arial" w:cs="Arial" w:eastAsia="Arial" w:hAnsi="Arial"/>
                  <w:sz w:val="18"/>
                  <w:szCs w:val="18"/>
                  <w:color w:val="0000FF"/>
                  <w:w w:val="96"/>
                </w:rPr>
                <w:t>Incremental Assumption and Amendment Agreement No. 2, dated as of June 21, 2017, among Inception Parent, Inc., Rackspace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bottom w:val="single" w:sz="8" w:color="0000FF"/>
            </w:tcBorders>
            <w:gridSpan w:val="19"/>
          </w:tcPr>
          <w:p>
            <w:pPr>
              <w:spacing w:after="0" w:line="182"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Technology Global, Inc. (f.k.a. Rackspace Hosting, Inc.), the subsidiary loan parties, the lenders party thereto, and Citibank, N.A., as</w:t>
              </w:r>
            </w:hyperlink>
          </w:p>
        </w:tc>
        <w:tc>
          <w:tcPr>
            <w:tcW w:w="36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5"/>
          </w:tcPr>
          <w:p>
            <w:pPr>
              <w:spacing w:after="0" w:line="182"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administrative agent (incorporated by reference from Exhibit 10.4 to Rackspace Technology, Inc.’s Registration Statement on Form S-1</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filed on July 10,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Incremental Assumption and Amendment Agreement No. 3, dated as of November 15, 2017, among Inception Parent, Inc., Rackspace</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Technology Global, Inc. (f.k.a. Rackspace Hosting, Inc.), the subsidiary loan parties, the lenders party thereto, and Citibank, N.A., as</w:t>
              </w:r>
            </w:hyperlink>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5"/>
          </w:tcPr>
          <w:p>
            <w:pPr>
              <w:spacing w:after="0" w:line="182"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administrative agent (incorporated by reference from Exhibit 10.5 to Rackspace Technology, Inc.’s Registration Statement on Form S-1</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filed on July 10,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Incremental Assumption Agreement No. 4, dated as of July 20, 2020, among Inception Parent, Inc., Rackspace Technology Global Inc.,</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the subsidiary loan parties, the lenders party thereto and Citibank, N.A., as administrative agent (incorporated by reference from Exhibit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bottom w:val="single" w:sz="8" w:color="0000FF"/>
            </w:tcBorders>
            <w:gridSpan w:val="10"/>
          </w:tcPr>
          <w:p>
            <w:pPr>
              <w:spacing w:after="0" w:line="182"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Rackspace Technology, Inc.’s Form 8-K filed on August 7, 2020)</w:t>
              </w:r>
            </w:hyperlink>
          </w:p>
        </w:tc>
        <w:tc>
          <w:tcPr>
            <w:tcW w:w="466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Amended and Restated Investor Rights Agreement, dated as of August 4, 2020, among Rackspace Technology, Inc., Searchlight Capital</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tcBorders>
            <w:gridSpan w:val="28"/>
          </w:tcPr>
          <w:p>
            <w:pPr>
              <w:spacing w:after="0" w:line="182"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II, L.P., Searchlight Capital II PV, L.P. and AP VIII Inception Holdings, L.P. (incorporated by reference from Exhibit 10.2 to Rackspace</w:t>
              </w:r>
            </w:hyperlink>
          </w:p>
        </w:tc>
        <w:tc>
          <w:tcPr>
            <w:tcW w:w="60" w:type="dxa"/>
            <w:vAlign w:val="bottom"/>
            <w:gridSpan w:val="3"/>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Technology, Inc.’s Form 8-K filed on August 7, 2020)</w:t>
              </w:r>
            </w:hyperlink>
          </w:p>
        </w:tc>
        <w:tc>
          <w:tcPr>
            <w:tcW w:w="590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Amended and Restated Investor Rights Agreement, dated as of August 4, 2020, among Rackspace Technology, Inc., DPH 123, LLC,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80" w:type="dxa"/>
            <w:vAlign w:val="bottom"/>
            <w:gridSpan w:val="8"/>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5"/>
          </w:tcPr>
          <w:p>
            <w:pPr>
              <w:spacing w:after="0" w:line="182"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ACE Investment Holdings, LLC, AP VIII Inception Holdings, L.P. and solely for purposes of Section 4.1 thereof, ABRY Partners VIII,</w:t>
              </w:r>
            </w:hyperlink>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L.P. (incorporated by reference from Exhibit 10.3 to Rackspace Technology Inc.’s Form 8-K filed on August 7, 2020)</w:t>
              </w:r>
            </w:hyperlink>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5"/>
          </w:tcPr>
          <w:p>
            <w:pPr>
              <w:spacing w:after="0"/>
              <w:rPr>
                <w:rFonts w:ascii="Arial" w:cs="Arial" w:eastAsia="Arial" w:hAnsi="Arial"/>
                <w:sz w:val="18"/>
                <w:szCs w:val="18"/>
                <w:color w:val="0000FF"/>
                <w:w w:val="90"/>
              </w:rPr>
            </w:pPr>
            <w:hyperlink w:anchor="page153">
              <w:r>
                <w:rPr>
                  <w:rFonts w:ascii="Arial" w:cs="Arial" w:eastAsia="Arial" w:hAnsi="Arial"/>
                  <w:sz w:val="18"/>
                  <w:szCs w:val="18"/>
                  <w:color w:val="0000FF"/>
                  <w:w w:val="90"/>
                </w:rPr>
                <w:t>Amendment to Amended and Restated Investor Rights Agreement, dated as of December 7, 2020, between Rackspace Technology, Inc.,</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w:anchor="page153">
              <w:r>
                <w:rPr>
                  <w:rFonts w:ascii="Arial" w:cs="Arial" w:eastAsia="Arial" w:hAnsi="Arial"/>
                  <w:sz w:val="18"/>
                  <w:szCs w:val="18"/>
                  <w:color w:val="0000FF"/>
                </w:rPr>
                <w:t>AP VIII Inception Holdings, L.P. and Searchlight</w:t>
              </w:r>
            </w:hyperlink>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0"/>
              </w:rPr>
            </w:pPr>
            <w:hyperlink w:anchor="page156">
              <w:r>
                <w:rPr>
                  <w:rFonts w:ascii="Arial" w:cs="Arial" w:eastAsia="Arial" w:hAnsi="Arial"/>
                  <w:sz w:val="18"/>
                  <w:szCs w:val="18"/>
                  <w:color w:val="0000FF"/>
                  <w:w w:val="90"/>
                </w:rPr>
                <w:t>Amendment to Amended and Restated Investor Rights Agreement, dated as of December 7, 2020, between Rackspace Technology, Inc.,</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4"/>
              </w:rPr>
            </w:pPr>
            <w:hyperlink w:anchor="page156">
              <w:r>
                <w:rPr>
                  <w:rFonts w:ascii="Arial" w:cs="Arial" w:eastAsia="Arial" w:hAnsi="Arial"/>
                  <w:sz w:val="18"/>
                  <w:szCs w:val="18"/>
                  <w:color w:val="0000FF"/>
                  <w:w w:val="94"/>
                </w:rPr>
                <w:t>AP VIII Inception Holdings, L.P. and ABRY</w:t>
              </w:r>
            </w:hyperlink>
          </w:p>
        </w:tc>
        <w:tc>
          <w:tcPr>
            <w:tcW w:w="6700" w:type="dxa"/>
            <w:vAlign w:val="bottom"/>
            <w:tcBorders>
              <w:top w:val="single" w:sz="8" w:color="0000FF"/>
            </w:tcBorders>
            <w:gridSpan w:val="27"/>
          </w:tcPr>
          <w:p>
            <w:pPr>
              <w:spacing w:after="0"/>
              <w:rPr>
                <w:sz w:val="15"/>
                <w:szCs w:val="15"/>
                <w:color w:val="auto"/>
              </w:rPr>
            </w:pPr>
          </w:p>
        </w:tc>
        <w:tc>
          <w:tcPr>
            <w:tcW w:w="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35"/>
          </w:tcPr>
          <w:p>
            <w:pPr>
              <w:spacing w:after="0"/>
              <w:rPr>
                <w:rFonts w:ascii="Arial" w:cs="Arial" w:eastAsia="Arial" w:hAnsi="Arial"/>
                <w:sz w:val="18"/>
                <w:szCs w:val="18"/>
                <w:color w:val="0000FF"/>
                <w:w w:val="98"/>
              </w:rPr>
            </w:pPr>
            <w:hyperlink r:id="rId161">
              <w:r>
                <w:rPr>
                  <w:rFonts w:ascii="Arial" w:cs="Arial" w:eastAsia="Arial" w:hAnsi="Arial"/>
                  <w:sz w:val="18"/>
                  <w:szCs w:val="18"/>
                  <w:color w:val="0000FF"/>
                  <w:w w:val="98"/>
                </w:rPr>
                <w:t>Registration Rights Agreement, dated as of August 4, 2020, among Rackspace Technology, Inc. and the Holders party thereto</w:t>
              </w:r>
            </w:hyperlink>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4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(incorporated by reference from Exhibit 10.1 to Rackspace Technology, Inc.’s Form 8-K filed on August 7, 2020)</w:t>
              </w:r>
            </w:hyperlink>
          </w:p>
        </w:tc>
        <w:tc>
          <w:tcPr>
            <w:tcW w:w="680" w:type="dxa"/>
            <w:vAlign w:val="bottom"/>
            <w:gridSpan w:val="8"/>
          </w:tcPr>
          <w:p>
            <w:pPr>
              <w:spacing w:after="0"/>
              <w:rPr>
                <w:sz w:val="19"/>
                <w:szCs w:val="19"/>
                <w:color w:val="auto"/>
              </w:rPr>
            </w:pPr>
          </w:p>
        </w:tc>
        <w:tc>
          <w:tcPr>
            <w:tcW w:w="10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5"/>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Agreement and Plan of Merger, dated as of September 6, 2017, among Rackspace Technology, Inc. (f.k.a. Inception Topco, Inc.), Drake</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FF"/>
            </w:tcBorders>
            <w:gridSpan w:val="25"/>
          </w:tcPr>
          <w:p>
            <w:pPr>
              <w:spacing w:after="0" w:line="182"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Merger Sub I, Inc., Drake Merger Sub II, LLC, Inception Intermediate, Inc., Inception Parent, Inc., Rackspace Technology Global, Inc.</w:t>
              </w:r>
            </w:hyperlink>
          </w:p>
        </w:tc>
        <w:tc>
          <w:tcPr>
            <w:tcW w:w="40" w:type="dxa"/>
            <w:vAlign w:val="bottom"/>
            <w:gridSpan w:val="2"/>
          </w:tcPr>
          <w:p>
            <w:pPr>
              <w:spacing w:after="0"/>
              <w:rPr>
                <w:sz w:val="15"/>
                <w:szCs w:val="15"/>
                <w:color w:val="auto"/>
              </w:rPr>
            </w:pPr>
          </w:p>
        </w:tc>
        <w:tc>
          <w:tcPr>
            <w:tcW w:w="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720" w:type="dxa"/>
            <w:vAlign w:val="bottom"/>
            <w:gridSpan w:val="21"/>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5"/>
          </w:tcPr>
          <w:p>
            <w:pPr>
              <w:spacing w:after="0" w:line="182"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(f.k.a. Rackspace Hosting, Inc.), Datapipe Holdings, LLC, Datapipe Parent, Inc. and the key stockholders party thereto (incorporated by</w:t>
              </w:r>
            </w:hyperlink>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tcBorders>
              <w:top w:val="single" w:sz="8" w:color="0000FF"/>
            </w:tcBorders>
            <w:gridSpan w:val="27"/>
          </w:tcPr>
          <w:p>
            <w:pPr>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reference from Exhibit 10.9 to Rackspace Technology, Inc.’s Registration Statement on Form S-1 filed on July 10, 2020)</w:t>
              </w:r>
            </w:hyperlink>
          </w:p>
        </w:tc>
        <w:tc>
          <w:tcPr>
            <w:tcW w:w="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9"/>
          </w:tcPr>
          <w:p>
            <w:pPr>
              <w:ind w:left="4080"/>
              <w:spacing w:after="0"/>
              <w:rPr>
                <w:sz w:val="20"/>
                <w:szCs w:val="20"/>
                <w:color w:val="auto"/>
              </w:rPr>
            </w:pPr>
            <w:r>
              <w:rPr>
                <w:rFonts w:ascii="Arial" w:cs="Arial" w:eastAsia="Arial" w:hAnsi="Arial"/>
                <w:sz w:val="18"/>
                <w:szCs w:val="18"/>
                <w:color w:val="auto"/>
              </w:rPr>
              <w:t>-139-</w:t>
            </w: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1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00" w:right="80" w:hanging="915"/>
        <w:spacing w:after="0" w:line="243"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65">
        <w:r>
          <w:rPr>
            <w:rFonts w:ascii="Arial" w:cs="Arial" w:eastAsia="Arial" w:hAnsi="Arial"/>
            <w:sz w:val="18"/>
            <w:szCs w:val="18"/>
            <w:u w:val="single" w:color="auto"/>
            <w:color w:val="0000FF"/>
          </w:rPr>
          <w:t>Receivables Financing Agreement, dated as of March 19, 2020, among Rackspace Receivables LLC, as borrower, the persons from time</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to time party thereto, as lenders and as group agents, BMO Capital Markets, as administrative agent and as arranger, and Rackspace US,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Inc. as initial servicer (incorporated by reference from Exhibit 10.10 to Rackspace Technology, Inc.’s Registration Statement on Form S-</w:t>
        </w:r>
      </w:hyperlink>
      <w:hyperlink r:id="rId165">
        <w:r>
          <w:rPr>
            <w:rFonts w:ascii="Arial" w:cs="Arial" w:eastAsia="Arial" w:hAnsi="Arial"/>
            <w:sz w:val="18"/>
            <w:szCs w:val="18"/>
            <w:u w:val="single" w:color="auto"/>
            <w:color w:val="0000FF"/>
          </w:rPr>
          <w:t>1 filed on July 10, 2020)</w:t>
        </w:r>
      </w:hyperlink>
    </w:p>
    <w:p>
      <w:pPr>
        <w:spacing w:after="0" w:line="26" w:lineRule="exact"/>
        <w:rPr>
          <w:rFonts w:ascii="Arial" w:cs="Arial" w:eastAsia="Arial" w:hAnsi="Arial"/>
          <w:sz w:val="18"/>
          <w:szCs w:val="18"/>
          <w:u w:val="single" w:color="auto"/>
          <w:color w:val="0000FF"/>
        </w:rPr>
      </w:pPr>
    </w:p>
    <w:p>
      <w:pPr>
        <w:ind w:left="1300" w:right="120" w:hanging="955"/>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rFonts w:ascii="Arial" w:cs="Arial" w:eastAsia="Arial" w:hAnsi="Arial"/>
          <w:sz w:val="16"/>
          <w:szCs w:val="16"/>
          <w:color w:val="auto"/>
        </w:rPr>
        <w:t>†</w:t>
      </w:r>
      <w:r>
        <w:rPr>
          <w:sz w:val="20"/>
          <w:szCs w:val="20"/>
          <w:color w:val="auto"/>
        </w:rPr>
        <w:tab/>
      </w:r>
      <w:hyperlink r:id="rId166">
        <w:r>
          <w:rPr>
            <w:rFonts w:ascii="Arial" w:cs="Arial" w:eastAsia="Arial" w:hAnsi="Arial"/>
            <w:sz w:val="18"/>
            <w:szCs w:val="18"/>
            <w:u w:val="single" w:color="auto"/>
            <w:color w:val="0000FF"/>
          </w:rPr>
          <w:t>Employment Agreement, between Rackspace US, Inc. and Kevin Jones, effective as of March 13, 2019 (incorporated by reference from</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Exhibit 10.11 to Rackspace Technology, Inc.’s Registration Statement on Form S-1 filed on July 10, 2020)</w:t>
        </w:r>
      </w:hyperlink>
    </w:p>
    <w:p>
      <w:pPr>
        <w:spacing w:after="0" w:line="9" w:lineRule="exact"/>
        <w:rPr>
          <w:sz w:val="20"/>
          <w:szCs w:val="20"/>
          <w:color w:val="auto"/>
        </w:rPr>
      </w:pPr>
    </w:p>
    <w:p>
      <w:pPr>
        <w:jc w:val="center"/>
        <w:ind w:left="420" w:right="260"/>
        <w:spacing w:after="0" w:line="281" w:lineRule="auto"/>
        <w:rPr>
          <w:rFonts w:ascii="Arial" w:cs="Arial" w:eastAsia="Arial" w:hAnsi="Arial"/>
          <w:sz w:val="17"/>
          <w:szCs w:val="17"/>
          <w:u w:val="single" w:color="auto"/>
          <w:color w:val="0000FF"/>
        </w:rPr>
      </w:pPr>
      <w:r>
        <w:rPr>
          <w:rFonts w:ascii="Arial" w:cs="Arial" w:eastAsia="Arial" w:hAnsi="Arial"/>
          <w:sz w:val="17"/>
          <w:szCs w:val="17"/>
          <w:color w:val="auto"/>
        </w:rPr>
        <w:t>10.15</w:t>
      </w:r>
      <w:r>
        <w:rPr>
          <w:rFonts w:ascii="Arial" w:cs="Arial" w:eastAsia="Arial" w:hAnsi="Arial"/>
          <w:sz w:val="15"/>
          <w:szCs w:val="15"/>
          <w:color w:val="auto"/>
        </w:rPr>
        <w:t>†</w:t>
      </w:r>
      <w:r>
        <w:rPr>
          <w:rFonts w:ascii="Arial" w:cs="Arial" w:eastAsia="Arial" w:hAnsi="Arial"/>
          <w:sz w:val="17"/>
          <w:szCs w:val="17"/>
          <w:color w:val="auto"/>
        </w:rPr>
        <w:t xml:space="preserve">      </w:t>
      </w:r>
      <w:hyperlink r:id="rId167">
        <w:r>
          <w:rPr>
            <w:rFonts w:ascii="Arial" w:cs="Arial" w:eastAsia="Arial" w:hAnsi="Arial"/>
            <w:sz w:val="17"/>
            <w:szCs w:val="17"/>
            <w:u w:val="single" w:color="auto"/>
            <w:color w:val="0000FF"/>
          </w:rPr>
          <w:t>Employment Agreement, between Rackspace US, Inc. and Dustin Semach, effective as of July 22, 2019, as amended (incorporated by</w:t>
        </w:r>
      </w:hyperlink>
      <w:r>
        <w:rPr>
          <w:rFonts w:ascii="Arial" w:cs="Arial" w:eastAsia="Arial" w:hAnsi="Arial"/>
          <w:sz w:val="17"/>
          <w:szCs w:val="17"/>
          <w:color w:val="auto"/>
        </w:rPr>
        <w:t xml:space="preserve"> </w:t>
      </w:r>
      <w:hyperlink r:id="rId167">
        <w:r>
          <w:rPr>
            <w:rFonts w:ascii="Arial" w:cs="Arial" w:eastAsia="Arial" w:hAnsi="Arial"/>
            <w:sz w:val="17"/>
            <w:szCs w:val="17"/>
            <w:u w:val="single" w:color="auto"/>
            <w:color w:val="0000FF"/>
          </w:rPr>
          <w:t>reference from Exhibit 10.12 to Rackspace Technology, Inc.’s Registration Statement on Form S-1 filed on July 10, 2020)</w:t>
        </w:r>
      </w:hyperlink>
    </w:p>
    <w:p>
      <w:pPr>
        <w:spacing w:after="0" w:line="1" w:lineRule="exact"/>
        <w:rPr>
          <w:sz w:val="20"/>
          <w:szCs w:val="20"/>
          <w:color w:val="auto"/>
        </w:rPr>
      </w:pPr>
    </w:p>
    <w:p>
      <w:pPr>
        <w:ind w:left="36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rFonts w:ascii="Arial" w:cs="Arial" w:eastAsia="Arial" w:hAnsi="Arial"/>
          <w:sz w:val="16"/>
          <w:szCs w:val="16"/>
          <w:color w:val="auto"/>
        </w:rPr>
        <w:t>†</w:t>
      </w:r>
      <w:r>
        <w:rPr>
          <w:sz w:val="20"/>
          <w:szCs w:val="20"/>
          <w:color w:val="auto"/>
        </w:rPr>
        <w:tab/>
      </w:r>
      <w:hyperlink r:id="rId168">
        <w:r>
          <w:rPr>
            <w:rFonts w:ascii="Arial" w:cs="Arial" w:eastAsia="Arial" w:hAnsi="Arial"/>
            <w:sz w:val="16"/>
            <w:szCs w:val="16"/>
            <w:u w:val="single" w:color="auto"/>
            <w:color w:val="0000FF"/>
          </w:rPr>
          <w:t>Employment Agreement, between Rackspace US, Inc. and Sid Nair, effective as of July 29, 2019 (incorporated by reference from Exhibit</w:t>
        </w:r>
      </w:hyperlink>
    </w:p>
    <w:p>
      <w:pPr>
        <w:spacing w:after="0" w:line="12" w:lineRule="exact"/>
        <w:rPr>
          <w:sz w:val="20"/>
          <w:szCs w:val="20"/>
          <w:color w:val="auto"/>
        </w:rPr>
      </w:pPr>
    </w:p>
    <w:p>
      <w:pPr>
        <w:ind w:left="130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10.13 to Rackspace Technology, Inc.’s Registration Statement on Form S-1 filed on July 10, 2020)</w:t>
        </w:r>
      </w:hyperlink>
    </w:p>
    <w:p>
      <w:pPr>
        <w:spacing w:after="0" w:line="34" w:lineRule="exact"/>
        <w:rPr>
          <w:sz w:val="20"/>
          <w:szCs w:val="20"/>
          <w:color w:val="auto"/>
        </w:rPr>
      </w:pPr>
    </w:p>
    <w:p>
      <w:pPr>
        <w:ind w:left="1300" w:right="60" w:hanging="955"/>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rFonts w:ascii="Arial" w:cs="Arial" w:eastAsia="Arial" w:hAnsi="Arial"/>
          <w:sz w:val="16"/>
          <w:szCs w:val="16"/>
          <w:color w:val="auto"/>
        </w:rPr>
        <w:t>†</w:t>
      </w:r>
      <w:r>
        <w:rPr>
          <w:sz w:val="20"/>
          <w:szCs w:val="20"/>
          <w:color w:val="auto"/>
        </w:rPr>
        <w:tab/>
      </w:r>
      <w:hyperlink r:id="rId169">
        <w:r>
          <w:rPr>
            <w:rFonts w:ascii="Arial" w:cs="Arial" w:eastAsia="Arial" w:hAnsi="Arial"/>
            <w:sz w:val="18"/>
            <w:szCs w:val="18"/>
            <w:u w:val="single" w:color="auto"/>
            <w:color w:val="0000FF"/>
          </w:rPr>
          <w:t>Employment Agreement, between Rackspace US, Inc. and Subroto Mukerji, effective as of July 1, 2019 (incorporated by reference from</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Exhibit 10.14 to Rackspace Technology, Inc.’s Registration Statement on Form S-1 filed on July 10, 2020)</w:t>
        </w:r>
      </w:hyperlink>
    </w:p>
    <w:p>
      <w:pPr>
        <w:spacing w:after="0" w:line="9" w:lineRule="exact"/>
        <w:rPr>
          <w:sz w:val="20"/>
          <w:szCs w:val="20"/>
          <w:color w:val="auto"/>
        </w:rPr>
      </w:pPr>
    </w:p>
    <w:p>
      <w:pPr>
        <w:jc w:val="both"/>
        <w:ind w:left="1300" w:right="340" w:hanging="955"/>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rFonts w:ascii="Arial" w:cs="Arial" w:eastAsia="Arial" w:hAnsi="Arial"/>
          <w:sz w:val="16"/>
          <w:szCs w:val="16"/>
          <w:color w:val="auto"/>
        </w:rPr>
        <w:t>†</w:t>
      </w:r>
      <w:r>
        <w:rPr>
          <w:sz w:val="20"/>
          <w:szCs w:val="20"/>
          <w:color w:val="auto"/>
        </w:rPr>
        <w:tab/>
      </w:r>
      <w:hyperlink r:id="rId170">
        <w:r>
          <w:rPr>
            <w:rFonts w:ascii="Arial" w:cs="Arial" w:eastAsia="Arial" w:hAnsi="Arial"/>
            <w:sz w:val="18"/>
            <w:szCs w:val="18"/>
            <w:u w:val="single" w:color="auto"/>
            <w:color w:val="0000FF"/>
          </w:rPr>
          <w:t>First Amendment to the Employment Agreement, between Rackspace US, Inc. and Subroto Mukerji, dated as of September 11, 2019</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(incorporated by reference from Exhibit 10.15 to Rackspace Technology, Inc.’s Registration Statement on Form S-1 filed on July 10,</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p>
    <w:p>
      <w:pPr>
        <w:ind w:left="1300" w:right="60" w:hanging="955"/>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rFonts w:ascii="Arial" w:cs="Arial" w:eastAsia="Arial" w:hAnsi="Arial"/>
          <w:sz w:val="16"/>
          <w:szCs w:val="16"/>
          <w:color w:val="auto"/>
        </w:rPr>
        <w:t>†</w:t>
      </w:r>
      <w:r>
        <w:rPr>
          <w:sz w:val="20"/>
          <w:szCs w:val="20"/>
          <w:color w:val="auto"/>
        </w:rPr>
        <w:tab/>
      </w:r>
      <w:hyperlink r:id="rId171">
        <w:r>
          <w:rPr>
            <w:rFonts w:ascii="Arial" w:cs="Arial" w:eastAsia="Arial" w:hAnsi="Arial"/>
            <w:sz w:val="18"/>
            <w:szCs w:val="18"/>
            <w:u w:val="single" w:color="auto"/>
            <w:color w:val="0000FF"/>
          </w:rPr>
          <w:t>Employment Agreement, between Rackspace US, Inc. and Vikas Gurugunti, effective as of July 2, 2019 (incorporated by reference from</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Exhibit 10.16 to Rackspace Technology, Inc.’s Registration Statement on Form S-1 filed on July 10, 2020)</w:t>
        </w:r>
      </w:hyperlink>
    </w:p>
    <w:p>
      <w:pPr>
        <w:spacing w:after="0" w:line="9" w:lineRule="exact"/>
        <w:rPr>
          <w:sz w:val="20"/>
          <w:szCs w:val="20"/>
          <w:color w:val="auto"/>
        </w:rPr>
      </w:pPr>
    </w:p>
    <w:p>
      <w:pPr>
        <w:ind w:left="1300" w:right="120" w:hanging="955"/>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rFonts w:ascii="Arial" w:cs="Arial" w:eastAsia="Arial" w:hAnsi="Arial"/>
          <w:sz w:val="16"/>
          <w:szCs w:val="16"/>
          <w:color w:val="auto"/>
        </w:rPr>
        <w:t>†</w:t>
      </w:r>
      <w:r>
        <w:rPr>
          <w:sz w:val="20"/>
          <w:szCs w:val="20"/>
          <w:color w:val="auto"/>
        </w:rPr>
        <w:tab/>
      </w:r>
      <w:hyperlink r:id="rId172">
        <w:r>
          <w:rPr>
            <w:rFonts w:ascii="Arial" w:cs="Arial" w:eastAsia="Arial" w:hAnsi="Arial"/>
            <w:sz w:val="18"/>
            <w:szCs w:val="18"/>
            <w:u w:val="single" w:color="auto"/>
            <w:color w:val="0000FF"/>
          </w:rPr>
          <w:t>Separation Agreement, between Rackspace US, Inc. and Joseph F. Eazor, effective as of April 23, 2019 (incorporated by reference from</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Exhibit 10.17 to Rackspace Technology, Inc.’s Registration Statement on Form S-1 filed on July 10, 2020)</w:t>
        </w:r>
      </w:hyperlink>
    </w:p>
    <w:p>
      <w:pPr>
        <w:spacing w:after="0" w:line="9" w:lineRule="exact"/>
        <w:rPr>
          <w:sz w:val="20"/>
          <w:szCs w:val="20"/>
          <w:color w:val="auto"/>
        </w:rPr>
      </w:pPr>
    </w:p>
    <w:p>
      <w:pPr>
        <w:ind w:left="1300" w:right="420" w:hanging="955"/>
        <w:spacing w:after="0" w:line="299"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rFonts w:ascii="Arial" w:cs="Arial" w:eastAsia="Arial" w:hAnsi="Arial"/>
          <w:sz w:val="16"/>
          <w:szCs w:val="16"/>
          <w:color w:val="auto"/>
        </w:rPr>
        <w:t>†</w:t>
      </w:r>
      <w:r>
        <w:rPr>
          <w:sz w:val="20"/>
          <w:szCs w:val="20"/>
          <w:color w:val="auto"/>
        </w:rPr>
        <w:tab/>
      </w:r>
      <w:hyperlink r:id="rId173">
        <w:r>
          <w:rPr>
            <w:rFonts w:ascii="Arial" w:cs="Arial" w:eastAsia="Arial" w:hAnsi="Arial"/>
            <w:sz w:val="16"/>
            <w:szCs w:val="16"/>
            <w:u w:val="single" w:color="auto"/>
            <w:color w:val="0000FF"/>
          </w:rPr>
          <w:t>Separation Agreement and Release, between Rackspace US, Inc. and Louis Alterman, dated as of August 30, 2019 (incorporated by</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reference from Exhibit 10.18 to Rackspace Technology, Inc.’s Registration Statement on Form S-1 filed on July 10, 2020)</w:t>
        </w:r>
      </w:hyperlink>
    </w:p>
    <w:p>
      <w:pPr>
        <w:spacing w:after="0" w:line="1" w:lineRule="exact"/>
        <w:rPr>
          <w:sz w:val="20"/>
          <w:szCs w:val="20"/>
          <w:color w:val="auto"/>
        </w:rPr>
      </w:pPr>
    </w:p>
    <w:p>
      <w:pPr>
        <w:ind w:left="1300" w:right="660" w:hanging="955"/>
        <w:spacing w:after="0" w:line="299"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rFonts w:ascii="Arial" w:cs="Arial" w:eastAsia="Arial" w:hAnsi="Arial"/>
          <w:sz w:val="16"/>
          <w:szCs w:val="16"/>
          <w:color w:val="auto"/>
        </w:rPr>
        <w:t>†</w:t>
      </w:r>
      <w:r>
        <w:rPr>
          <w:sz w:val="20"/>
          <w:szCs w:val="20"/>
          <w:color w:val="auto"/>
        </w:rPr>
        <w:tab/>
      </w:r>
      <w:hyperlink r:id="rId174">
        <w:r>
          <w:rPr>
            <w:rFonts w:ascii="Arial" w:cs="Arial" w:eastAsia="Arial" w:hAnsi="Arial"/>
            <w:sz w:val="16"/>
            <w:szCs w:val="16"/>
            <w:u w:val="single" w:color="auto"/>
            <w:color w:val="0000FF"/>
          </w:rPr>
          <w:t>Separation Agreement and Release, between Rackspace US, Inc. and Sandy Hogan, dated as of August 2, 2019 (incorporated by</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reference from Exhibit 10.19 to Rackspace Technology, Inc.’s Registration Statement on Form S-1 filed on July 10, 2020)</w:t>
        </w:r>
      </w:hyperlink>
    </w:p>
    <w:p>
      <w:pPr>
        <w:spacing w:after="0" w:line="1" w:lineRule="exact"/>
        <w:rPr>
          <w:sz w:val="20"/>
          <w:szCs w:val="20"/>
          <w:color w:val="auto"/>
        </w:rPr>
      </w:pPr>
    </w:p>
    <w:p>
      <w:pPr>
        <w:ind w:left="1300" w:hanging="955"/>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rFonts w:ascii="Arial" w:cs="Arial" w:eastAsia="Arial" w:hAnsi="Arial"/>
          <w:sz w:val="16"/>
          <w:szCs w:val="16"/>
          <w:color w:val="auto"/>
        </w:rPr>
        <w:t>†</w:t>
      </w:r>
      <w:r>
        <w:rPr>
          <w:sz w:val="20"/>
          <w:szCs w:val="20"/>
          <w:color w:val="auto"/>
        </w:rPr>
        <w:tab/>
      </w:r>
      <w:hyperlink r:id="rId175">
        <w:r>
          <w:rPr>
            <w:rFonts w:ascii="Arial" w:cs="Arial" w:eastAsia="Arial" w:hAnsi="Arial"/>
            <w:sz w:val="18"/>
            <w:szCs w:val="18"/>
            <w:u w:val="single" w:color="auto"/>
            <w:color w:val="0000FF"/>
          </w:rPr>
          <w:t>Form of Non-Qualified Stock Option Agreement between Rackspace Technology, Inc. and each of the named executive officers (other</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than the Chief Executive Officer) under the 2017 Incentive Plan (incorporated by reference from Exhibit 10.20 to Rackspace Technology,</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Inc.’s Amendment No. 2 to Registration 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22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76">
        <w:r>
          <w:rPr>
            <w:rFonts w:ascii="Arial" w:cs="Arial" w:eastAsia="Arial" w:hAnsi="Arial"/>
            <w:sz w:val="18"/>
            <w:szCs w:val="18"/>
            <w:u w:val="single" w:color="auto"/>
            <w:color w:val="0000FF"/>
          </w:rPr>
          <w:t>Form of Non-Qualified Stock Option Agreement between Rackspace Technology, Inc. and the Chief Executive Officer under the 2017</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Incentive Plan (incorporated by reference from Exhibit 10.21 to Rackspace Technology, Inc.’s Amendment No. 2 to Registration</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32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77">
        <w:r>
          <w:rPr>
            <w:rFonts w:ascii="Arial" w:cs="Arial" w:eastAsia="Arial" w:hAnsi="Arial"/>
            <w:sz w:val="18"/>
            <w:szCs w:val="18"/>
            <w:u w:val="single" w:color="auto"/>
            <w:color w:val="0000FF"/>
          </w:rPr>
          <w:t>Form of Service-Based RSU Award Agreement between Rackspace Technology, Inc. and the Chief Executive Officer under the 2017</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Incentive Plan (incorporated by reference from Exhibit 10.22 to Rackspace Technology, Inc.’s Amendment No. 2 to Registration</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24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78">
        <w:r>
          <w:rPr>
            <w:rFonts w:ascii="Arial" w:cs="Arial" w:eastAsia="Arial" w:hAnsi="Arial"/>
            <w:sz w:val="18"/>
            <w:szCs w:val="18"/>
            <w:u w:val="single" w:color="auto"/>
            <w:color w:val="0000FF"/>
          </w:rPr>
          <w:t>Form of Performance-Based RSU Award Agreement between Rackspace Technology, Inc. and the Chief Executive Officer under the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2017 Incentive Plan (incorporated by reference from Exhibit 10.23 to Rackspace Technology, Inc.’s Amendment No. 2 to Registration</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54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79">
        <w:r>
          <w:rPr>
            <w:rFonts w:ascii="Arial" w:cs="Arial" w:eastAsia="Arial" w:hAnsi="Arial"/>
            <w:sz w:val="18"/>
            <w:szCs w:val="18"/>
            <w:u w:val="single" w:color="auto"/>
            <w:color w:val="0000FF"/>
          </w:rPr>
          <w:t>Form of Non-Qualified Stock Option Agreement between Rackspace Technology, Inc. and certain of the Directors under the 2017</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Incentive Plan (incorporated by reference from Exhibit 10.24 to Rackspace Technology, Inc.’s Amendment No. 2 to Registration</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Statement on Form S-1/A filed on July 27, 2020)</w:t>
        </w:r>
      </w:hyperlink>
    </w:p>
    <w:p>
      <w:pPr>
        <w:spacing w:after="0" w:line="20" w:lineRule="exact"/>
        <w:rPr>
          <w:rFonts w:ascii="Arial" w:cs="Arial" w:eastAsia="Arial" w:hAnsi="Arial"/>
          <w:sz w:val="18"/>
          <w:szCs w:val="18"/>
          <w:u w:val="single" w:color="auto"/>
          <w:color w:val="0000FF"/>
        </w:rPr>
      </w:pPr>
    </w:p>
    <w:p>
      <w:pPr>
        <w:ind w:left="1300" w:right="10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80">
        <w:r>
          <w:rPr>
            <w:rFonts w:ascii="Arial" w:cs="Arial" w:eastAsia="Arial" w:hAnsi="Arial"/>
            <w:sz w:val="18"/>
            <w:szCs w:val="18"/>
            <w:u w:val="single" w:color="auto"/>
            <w:color w:val="0000FF"/>
          </w:rPr>
          <w:t>Form of RSU Award Agreement between Rackspace Technology, Inc. and certain of the Directors under the 2017 Incentive Plan</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(incorporated by reference from Exhibit 10.25 to Rackspace Technology, Inc.’s Amendment No. 2 to Registration Statement on Form S-</w:t>
        </w:r>
      </w:hyperlink>
      <w:hyperlink r:id="rId180">
        <w:r>
          <w:rPr>
            <w:rFonts w:ascii="Arial" w:cs="Arial" w:eastAsia="Arial" w:hAnsi="Arial"/>
            <w:sz w:val="18"/>
            <w:szCs w:val="18"/>
            <w:u w:val="single" w:color="auto"/>
            <w:color w:val="0000FF"/>
          </w:rPr>
          <w:t>1/A filed on July 27, 2020)</w:t>
        </w:r>
      </w:hyperlink>
    </w:p>
    <w:p>
      <w:pPr>
        <w:spacing w:after="0" w:line="20" w:lineRule="exact"/>
        <w:rPr>
          <w:rFonts w:ascii="Arial" w:cs="Arial" w:eastAsia="Arial" w:hAnsi="Arial"/>
          <w:sz w:val="18"/>
          <w:szCs w:val="18"/>
          <w:u w:val="single" w:color="auto"/>
          <w:color w:val="0000FF"/>
        </w:rPr>
      </w:pPr>
    </w:p>
    <w:p>
      <w:pPr>
        <w:ind w:left="1300" w:right="100" w:hanging="960"/>
        <w:spacing w:after="0" w:line="24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81">
        <w:r>
          <w:rPr>
            <w:rFonts w:ascii="Arial" w:cs="Arial" w:eastAsia="Arial" w:hAnsi="Arial"/>
            <w:sz w:val="18"/>
            <w:szCs w:val="18"/>
            <w:u w:val="single" w:color="auto"/>
            <w:color w:val="0000FF"/>
          </w:rPr>
          <w:t>Form of RSA Award Agreement between Rackspace Technology, Inc. and certain of the Directors under the 2017 Incentive Plan</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(incorporated by reference from Exhibit 10.26 to Rackspace Technology, Inc.’s Amendment No. 2 to Registration Statement on Form S-</w:t>
        </w:r>
      </w:hyperlink>
      <w:hyperlink r:id="rId181">
        <w:r>
          <w:rPr>
            <w:rFonts w:ascii="Arial" w:cs="Arial" w:eastAsia="Arial" w:hAnsi="Arial"/>
            <w:sz w:val="18"/>
            <w:szCs w:val="18"/>
            <w:u w:val="single" w:color="auto"/>
            <w:color w:val="0000FF"/>
          </w:rPr>
          <w:t>1/A filed on July 27, 2020)</w:t>
        </w:r>
      </w:hyperlink>
    </w:p>
    <w:p>
      <w:pPr>
        <w:spacing w:after="0" w:line="20" w:lineRule="exact"/>
        <w:rPr>
          <w:rFonts w:ascii="Arial" w:cs="Arial" w:eastAsia="Arial" w:hAnsi="Arial"/>
          <w:sz w:val="18"/>
          <w:szCs w:val="18"/>
          <w:u w:val="single" w:color="auto"/>
          <w:color w:val="0000FF"/>
        </w:rPr>
      </w:pPr>
    </w:p>
    <w:p>
      <w:pPr>
        <w:ind w:left="1300" w:right="40" w:hanging="960"/>
        <w:spacing w:after="0" w:line="261"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82">
        <w:r>
          <w:rPr>
            <w:rFonts w:ascii="Arial" w:cs="Arial" w:eastAsia="Arial" w:hAnsi="Arial"/>
            <w:sz w:val="18"/>
            <w:szCs w:val="18"/>
            <w:u w:val="single" w:color="auto"/>
            <w:color w:val="0000FF"/>
          </w:rPr>
          <w:t>Rackspace Technology, Inc. Equity Incentive Plan, dated as of April 7, 2017 (incorporated by reference from Exhibit 10.27 to Rackspace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Technology, Inc.’s Amendment No. 2 to Registration Statement on Form S-1/A filed on July 27, 2020)</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10.31†</w:t>
            </w:r>
          </w:p>
        </w:tc>
        <w:tc>
          <w:tcPr>
            <w:tcW w:w="9940" w:type="dxa"/>
            <w:vAlign w:val="bottom"/>
            <w:gridSpan w:val="16"/>
          </w:tcPr>
          <w:p>
            <w:pPr>
              <w:spacing w:after="0"/>
              <w:rPr>
                <w:rFonts w:ascii="Arial" w:cs="Arial" w:eastAsia="Arial" w:hAnsi="Arial"/>
                <w:sz w:val="18"/>
                <w:szCs w:val="18"/>
                <w:color w:val="0000FF"/>
                <w:w w:val="94"/>
              </w:rPr>
            </w:pPr>
            <w:hyperlink r:id="rId184">
              <w:r>
                <w:rPr>
                  <w:rFonts w:ascii="Arial" w:cs="Arial" w:eastAsia="Arial" w:hAnsi="Arial"/>
                  <w:sz w:val="18"/>
                  <w:szCs w:val="18"/>
                  <w:color w:val="0000FF"/>
                  <w:w w:val="94"/>
                </w:rPr>
                <w:t>Rackspace Technology, Inc. 2020 Equity Incentive Plan (incorporated by reference from Exhibit 4.2 to Rackspace Technology Inc.’s</w:t>
              </w:r>
            </w:hyperlink>
          </w:p>
        </w:tc>
      </w:tr>
      <w:tr>
        <w:trPr>
          <w:trHeight w:val="183"/>
        </w:trPr>
        <w:tc>
          <w:tcPr>
            <w:tcW w:w="108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Registration Statement on Form S-8 filed on August 5, 2020)</w:t>
              </w:r>
            </w:hyperlink>
          </w:p>
        </w:tc>
        <w:tc>
          <w:tcPr>
            <w:tcW w:w="5140" w:type="dxa"/>
            <w:vAlign w:val="bottom"/>
            <w:tcBorders>
              <w:top w:val="single" w:sz="8" w:color="0000FF"/>
            </w:tcBorders>
            <w:gridSpan w:val="6"/>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10.32†</w:t>
            </w:r>
          </w:p>
        </w:tc>
        <w:tc>
          <w:tcPr>
            <w:tcW w:w="9940" w:type="dxa"/>
            <w:vAlign w:val="bottom"/>
            <w:gridSpan w:val="16"/>
          </w:tcPr>
          <w:p>
            <w:pPr>
              <w:spacing w:after="0"/>
              <w:rPr>
                <w:rFonts w:ascii="Arial" w:cs="Arial" w:eastAsia="Arial" w:hAnsi="Arial"/>
                <w:sz w:val="18"/>
                <w:szCs w:val="18"/>
                <w:color w:val="0000FF"/>
                <w:w w:val="91"/>
              </w:rPr>
            </w:pPr>
            <w:hyperlink r:id="rId185">
              <w:r>
                <w:rPr>
                  <w:rFonts w:ascii="Arial" w:cs="Arial" w:eastAsia="Arial" w:hAnsi="Arial"/>
                  <w:sz w:val="18"/>
                  <w:szCs w:val="18"/>
                  <w:color w:val="0000FF"/>
                  <w:w w:val="91"/>
                </w:rPr>
                <w:t>Rackspace Technology, Inc. Employee Stock Purchase Plan (incorporated by reference from Exhibit 4.3 to Rackspace Technology Inc.’s</w:t>
              </w:r>
            </w:hyperlink>
          </w:p>
        </w:tc>
      </w:tr>
      <w:tr>
        <w:trPr>
          <w:trHeight w:val="183"/>
        </w:trPr>
        <w:tc>
          <w:tcPr>
            <w:tcW w:w="108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Registration Statement on Form S-8 filed on August 5, 2020)</w:t>
              </w:r>
            </w:hyperlink>
          </w:p>
        </w:tc>
        <w:tc>
          <w:tcPr>
            <w:tcW w:w="5420" w:type="dxa"/>
            <w:vAlign w:val="bottom"/>
            <w:tcBorders>
              <w:top w:val="single" w:sz="8" w:color="0000FF"/>
            </w:tcBorders>
            <w:gridSpan w:val="11"/>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10.33†</w:t>
            </w:r>
          </w:p>
        </w:tc>
        <w:tc>
          <w:tcPr>
            <w:tcW w:w="9940" w:type="dxa"/>
            <w:vAlign w:val="bottom"/>
            <w:gridSpan w:val="16"/>
          </w:tcPr>
          <w:p>
            <w:pPr>
              <w:spacing w:after="0"/>
              <w:rPr>
                <w:rFonts w:ascii="Arial" w:cs="Arial" w:eastAsia="Arial" w:hAnsi="Arial"/>
                <w:sz w:val="18"/>
                <w:szCs w:val="18"/>
                <w:color w:val="0000FF"/>
                <w:w w:val="92"/>
              </w:rPr>
            </w:pPr>
            <w:hyperlink r:id="rId186">
              <w:r>
                <w:rPr>
                  <w:rFonts w:ascii="Arial" w:cs="Arial" w:eastAsia="Arial" w:hAnsi="Arial"/>
                  <w:sz w:val="18"/>
                  <w:szCs w:val="18"/>
                  <w:color w:val="0000FF"/>
                  <w:w w:val="92"/>
                </w:rPr>
                <w:t>Rackspace Technology, Inc. Annual Cash Incentive Plan (incorporated by reference from Exhibit 10.8 to Rackspace Technology Inc.’s</w:t>
              </w:r>
            </w:hyperlink>
          </w:p>
        </w:tc>
      </w:tr>
      <w:tr>
        <w:trPr>
          <w:trHeight w:val="183"/>
        </w:trPr>
        <w:tc>
          <w:tcPr>
            <w:tcW w:w="1080" w:type="dxa"/>
            <w:vAlign w:val="bottom"/>
          </w:tcPr>
          <w:p>
            <w:pPr>
              <w:spacing w:after="0"/>
              <w:rPr>
                <w:sz w:val="15"/>
                <w:szCs w:val="15"/>
                <w:color w:val="auto"/>
              </w:rPr>
            </w:pPr>
          </w:p>
        </w:tc>
        <w:tc>
          <w:tcPr>
            <w:tcW w:w="97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Quarterly Report on Form 10-Q filed on November 10, 2020)</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10.34†</w:t>
            </w:r>
          </w:p>
        </w:tc>
        <w:tc>
          <w:tcPr>
            <w:tcW w:w="9940" w:type="dxa"/>
            <w:vAlign w:val="bottom"/>
            <w:gridSpan w:val="16"/>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Rackspace Technology, Inc. Non-Employee Director Compensation Policy (incorporated by reference from Exhibit 10.31 to Rackspace</w:t>
              </w:r>
            </w:hyperlink>
          </w:p>
        </w:tc>
      </w:tr>
      <w:tr>
        <w:trPr>
          <w:trHeight w:val="183"/>
        </w:trPr>
        <w:tc>
          <w:tcPr>
            <w:tcW w:w="1080" w:type="dxa"/>
            <w:vAlign w:val="bottom"/>
          </w:tcPr>
          <w:p>
            <w:pPr>
              <w:spacing w:after="0"/>
              <w:rPr>
                <w:sz w:val="15"/>
                <w:szCs w:val="15"/>
                <w:color w:val="auto"/>
              </w:rPr>
            </w:pPr>
          </w:p>
        </w:tc>
        <w:tc>
          <w:tcPr>
            <w:tcW w:w="56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Technology, Inc.’s Registration Statement on Form S-1 filed on July 10, 2020)</w:t>
              </w:r>
            </w:hyperlink>
          </w:p>
        </w:tc>
        <w:tc>
          <w:tcPr>
            <w:tcW w:w="41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10.35†</w:t>
            </w:r>
          </w:p>
        </w:tc>
        <w:tc>
          <w:tcPr>
            <w:tcW w:w="9940" w:type="dxa"/>
            <w:vAlign w:val="bottom"/>
            <w:gridSpan w:val="16"/>
          </w:tcPr>
          <w:p>
            <w:pPr>
              <w:spacing w:after="0"/>
              <w:rPr>
                <w:rFonts w:ascii="Arial" w:cs="Arial" w:eastAsia="Arial" w:hAnsi="Arial"/>
                <w:sz w:val="18"/>
                <w:szCs w:val="18"/>
                <w:color w:val="0000FF"/>
                <w:w w:val="93"/>
              </w:rPr>
            </w:pPr>
            <w:hyperlink r:id="rId188">
              <w:r>
                <w:rPr>
                  <w:rFonts w:ascii="Arial" w:cs="Arial" w:eastAsia="Arial" w:hAnsi="Arial"/>
                  <w:sz w:val="18"/>
                  <w:szCs w:val="18"/>
                  <w:color w:val="0000FF"/>
                  <w:w w:val="93"/>
                </w:rPr>
                <w:t>Form of Indemnification Agreement (incorporated by reference from Exhibit 10.32 to Rackspace Technology, Inc.’s Amendment No. 2</w:t>
              </w:r>
            </w:hyperlink>
          </w:p>
        </w:tc>
      </w:tr>
      <w:tr>
        <w:trPr>
          <w:trHeight w:val="183"/>
        </w:trPr>
        <w:tc>
          <w:tcPr>
            <w:tcW w:w="108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to Registration Statement on Form S-1/A filed on July 27, 2020)</w:t>
              </w:r>
            </w:hyperlink>
          </w:p>
        </w:tc>
        <w:tc>
          <w:tcPr>
            <w:tcW w:w="5080" w:type="dxa"/>
            <w:vAlign w:val="bottom"/>
            <w:tcBorders>
              <w:top w:val="single" w:sz="8" w:color="0000FF"/>
            </w:tcBorders>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10.36†</w:t>
            </w:r>
          </w:p>
        </w:tc>
        <w:tc>
          <w:tcPr>
            <w:tcW w:w="9940" w:type="dxa"/>
            <w:vAlign w:val="bottom"/>
            <w:gridSpan w:val="16"/>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Retention Agreement, between Rackspace US, Inc. and Dustin Semach, dated as of May 5, 2020 (incorporated by reference from Exhibit</w:t>
              </w:r>
            </w:hyperlink>
          </w:p>
        </w:tc>
      </w:tr>
      <w:tr>
        <w:trPr>
          <w:trHeight w:val="224"/>
        </w:trPr>
        <w:tc>
          <w:tcPr>
            <w:tcW w:w="1080" w:type="dxa"/>
            <w:vAlign w:val="bottom"/>
          </w:tcPr>
          <w:p>
            <w:pPr>
              <w:spacing w:after="0"/>
              <w:rPr>
                <w:sz w:val="19"/>
                <w:szCs w:val="19"/>
                <w:color w:val="auto"/>
              </w:rPr>
            </w:pPr>
          </w:p>
        </w:tc>
        <w:tc>
          <w:tcPr>
            <w:tcW w:w="990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10.33 to Rackspace Technology, Inc.’s Amendment No. 1 to Registration Statement on Form S-1/A filed on July 20, 2020)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10.37†</w:t>
            </w:r>
          </w:p>
        </w:tc>
        <w:tc>
          <w:tcPr>
            <w:tcW w:w="9940" w:type="dxa"/>
            <w:vAlign w:val="bottom"/>
            <w:gridSpan w:val="16"/>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Second Amendment to the Employment Agreement between Rackspace US, Inc. and Dustin Semach, effective as of July 20, 2020</w:t>
              </w:r>
            </w:hyperlink>
          </w:p>
        </w:tc>
      </w:tr>
      <w:tr>
        <w:trPr>
          <w:trHeight w:val="20"/>
        </w:trPr>
        <w:tc>
          <w:tcPr>
            <w:tcW w:w="10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9940" w:type="dxa"/>
            <w:vAlign w:val="bottom"/>
            <w:gridSpan w:val="16"/>
          </w:tcPr>
          <w:p>
            <w:pPr>
              <w:spacing w:after="0" w:line="182"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(incorporated by reference from Exhibit 10.34 to Rackspace Technology, Inc.’s Amendment No.2 to Registration Statement on Form S-</w:t>
              </w:r>
            </w:hyperlink>
          </w:p>
        </w:tc>
      </w:tr>
      <w:tr>
        <w:trPr>
          <w:trHeight w:val="183"/>
        </w:trPr>
        <w:tc>
          <w:tcPr>
            <w:tcW w:w="1080" w:type="dxa"/>
            <w:vAlign w:val="bottom"/>
          </w:tcPr>
          <w:p>
            <w:pPr>
              <w:spacing w:after="0"/>
              <w:rPr>
                <w:sz w:val="15"/>
                <w:szCs w:val="15"/>
                <w:color w:val="auto"/>
              </w:rPr>
            </w:pPr>
          </w:p>
        </w:tc>
        <w:tc>
          <w:tcPr>
            <w:tcW w:w="19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1/A filed on July 27, 2020)</w:t>
              </w:r>
            </w:hyperlink>
          </w:p>
        </w:tc>
        <w:tc>
          <w:tcPr>
            <w:tcW w:w="7840" w:type="dxa"/>
            <w:vAlign w:val="bottom"/>
            <w:tcBorders>
              <w:top w:val="single" w:sz="8" w:color="0000FF"/>
            </w:tcBorders>
            <w:gridSpan w:val="11"/>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0"/>
              </w:rPr>
              <w:t>10.38†</w:t>
            </w:r>
          </w:p>
        </w:tc>
        <w:tc>
          <w:tcPr>
            <w:tcW w:w="9940" w:type="dxa"/>
            <w:vAlign w:val="bottom"/>
            <w:gridSpan w:val="16"/>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Employment Agreement between the Company and Amar Maletira, dated October 16, 2020 (incorporated by reference from Exhibit 10.1</w:t>
              </w:r>
            </w:hyperlink>
          </w:p>
        </w:tc>
      </w:tr>
      <w:tr>
        <w:trPr>
          <w:trHeight w:val="183"/>
        </w:trPr>
        <w:tc>
          <w:tcPr>
            <w:tcW w:w="108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to Rackspace Technology, Inc.’s Form 8-K, filed on October 21, 2020)</w:t>
              </w:r>
            </w:hyperlink>
          </w:p>
        </w:tc>
        <w:tc>
          <w:tcPr>
            <w:tcW w:w="48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10.39†*</w:t>
            </w:r>
          </w:p>
        </w:tc>
        <w:tc>
          <w:tcPr>
            <w:tcW w:w="9940" w:type="dxa"/>
            <w:vAlign w:val="bottom"/>
            <w:gridSpan w:val="16"/>
          </w:tcPr>
          <w:p>
            <w:pPr>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Separation Agreement and Release between the Company and Dustin Semach, dated December 2, 2020</w:t>
              </w:r>
            </w:hyperlink>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21.1*</w:t>
            </w:r>
          </w:p>
        </w:tc>
        <w:tc>
          <w:tcPr>
            <w:tcW w:w="9940" w:type="dxa"/>
            <w:vAlign w:val="bottom"/>
            <w:gridSpan w:val="16"/>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Subsidiaries of the registrant</w:t>
              </w:r>
            </w:hyperlink>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23.1*</w:t>
            </w:r>
          </w:p>
        </w:tc>
        <w:tc>
          <w:tcPr>
            <w:tcW w:w="9940" w:type="dxa"/>
            <w:vAlign w:val="bottom"/>
            <w:gridSpan w:val="16"/>
          </w:tcPr>
          <w:p>
            <w:pPr>
              <w:spacing w:after="0"/>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Consent of PricewaterhouseCoopers LLP, independent registered public accounting firm</w:t>
              </w:r>
            </w:hyperlink>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9940" w:type="dxa"/>
            <w:vAlign w:val="bottom"/>
            <w:gridSpan w:val="16"/>
          </w:tcPr>
          <w:p>
            <w:pPr>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Certification of the Chief Executive Officer pursuant to Section 302 of the Sarbanes-Oxley Act of 2002</w:t>
              </w:r>
            </w:hyperlink>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9940" w:type="dxa"/>
            <w:vAlign w:val="bottom"/>
            <w:gridSpan w:val="16"/>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Certification of the Chief Financial Officer pursuant to Section 302 of the Sarbanes-Oxley Act of 2002</w:t>
              </w:r>
            </w:hyperlink>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32.1**</w:t>
            </w:r>
          </w:p>
        </w:tc>
        <w:tc>
          <w:tcPr>
            <w:tcW w:w="9940" w:type="dxa"/>
            <w:vAlign w:val="bottom"/>
            <w:gridSpan w:val="16"/>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Certification of the Chief Executive Officer pursuant to Section 906 of the Sarbanes-Oxley Act of 2002</w:t>
              </w:r>
            </w:hyperlink>
          </w:p>
        </w:tc>
      </w:tr>
      <w:tr>
        <w:trPr>
          <w:trHeight w:val="256"/>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32.2**</w:t>
            </w:r>
          </w:p>
        </w:tc>
        <w:tc>
          <w:tcPr>
            <w:tcW w:w="9940" w:type="dxa"/>
            <w:vAlign w:val="bottom"/>
            <w:gridSpan w:val="16"/>
          </w:tcPr>
          <w:p>
            <w:pPr>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Certification of the Chief Financial Officer pursuant to Section 906 of the Sarbanes-Oxley Act of 2002</w:t>
              </w:r>
            </w:hyperlink>
          </w:p>
        </w:tc>
      </w:tr>
      <w:tr>
        <w:trPr>
          <w:trHeight w:val="229"/>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7"/>
              </w:rPr>
              <w:t>101.INS*</w:t>
            </w:r>
          </w:p>
        </w:tc>
        <w:tc>
          <w:tcPr>
            <w:tcW w:w="9940" w:type="dxa"/>
            <w:vAlign w:val="bottom"/>
            <w:gridSpan w:val="16"/>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4"/>
              </w:rPr>
              <w:t>101.SCH*</w:t>
            </w:r>
          </w:p>
        </w:tc>
        <w:tc>
          <w:tcPr>
            <w:tcW w:w="99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8"/>
              </w:rPr>
              <w:t>101.CAL*</w:t>
            </w:r>
          </w:p>
        </w:tc>
        <w:tc>
          <w:tcPr>
            <w:tcW w:w="994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9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9"/>
              </w:rPr>
              <w:t>101.LAB*</w:t>
            </w:r>
          </w:p>
        </w:tc>
        <w:tc>
          <w:tcPr>
            <w:tcW w:w="99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101.PRE*</w:t>
            </w:r>
          </w:p>
        </w:tc>
        <w:tc>
          <w:tcPr>
            <w:tcW w:w="994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7"/>
              </w:rPr>
              <w:t>104*</w:t>
            </w:r>
          </w:p>
        </w:tc>
        <w:tc>
          <w:tcPr>
            <w:tcW w:w="994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12" w:lineRule="exact"/>
        <w:rPr>
          <w:sz w:val="20"/>
          <w:szCs w:val="20"/>
          <w:color w:val="auto"/>
        </w:rPr>
      </w:pPr>
    </w:p>
    <w:p>
      <w:pPr>
        <w:ind w:left="420" w:hanging="250"/>
        <w:spacing w:after="0"/>
        <w:tabs>
          <w:tab w:leader="none" w:pos="42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February 26, 2021</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0" w:type="dxa"/>
            <w:vAlign w:val="bottom"/>
          </w:tcPr>
          <w:p>
            <w:pPr>
              <w:spacing w:after="0"/>
              <w:rPr>
                <w:sz w:val="17"/>
                <w:szCs w:val="17"/>
                <w:color w:val="auto"/>
              </w:rPr>
            </w:pPr>
          </w:p>
        </w:tc>
        <w:tc>
          <w:tcPr>
            <w:tcW w:w="244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w w:val="97"/>
              </w:rPr>
              <w:t>Title</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Kevin Jones</w:t>
            </w:r>
          </w:p>
        </w:tc>
        <w:tc>
          <w:tcPr>
            <w:tcW w:w="4840" w:type="dxa"/>
            <w:vAlign w:val="bottom"/>
            <w:gridSpan w:val="3"/>
          </w:tcPr>
          <w:p>
            <w:pPr>
              <w:jc w:val="center"/>
              <w:ind w:left="250"/>
              <w:spacing w:after="0"/>
              <w:rPr>
                <w:sz w:val="20"/>
                <w:szCs w:val="20"/>
                <w:color w:val="auto"/>
              </w:rPr>
            </w:pPr>
            <w:r>
              <w:rPr>
                <w:rFonts w:ascii="Arial" w:cs="Arial" w:eastAsia="Arial" w:hAnsi="Arial"/>
                <w:sz w:val="18"/>
                <w:szCs w:val="18"/>
                <w:color w:val="auto"/>
                <w:w w:val="94"/>
              </w:rPr>
              <w:t>Chief Executive Officer; 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Kevin Jones</w:t>
            </w:r>
          </w:p>
        </w:tc>
        <w:tc>
          <w:tcPr>
            <w:tcW w:w="4840" w:type="dxa"/>
            <w:vAlign w:val="bottom"/>
            <w:gridSpan w:val="3"/>
          </w:tcPr>
          <w:p>
            <w:pPr>
              <w:jc w:val="center"/>
              <w:ind w:left="250"/>
              <w:spacing w:after="0"/>
              <w:rPr>
                <w:sz w:val="20"/>
                <w:szCs w:val="20"/>
                <w:color w:val="auto"/>
              </w:rPr>
            </w:pPr>
            <w:r>
              <w:rPr>
                <w:rFonts w:ascii="Arial" w:cs="Arial" w:eastAsia="Arial" w:hAnsi="Arial"/>
                <w:sz w:val="18"/>
                <w:szCs w:val="18"/>
                <w:i w:val="1"/>
                <w:iCs w:val="1"/>
                <w:color w:val="auto"/>
                <w:w w:val="94"/>
              </w:rPr>
              <w:t>(Principal Executive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Amar Maletira</w:t>
            </w:r>
          </w:p>
        </w:tc>
        <w:tc>
          <w:tcPr>
            <w:tcW w:w="484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President and Chief Financial Officer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Amar Maletira</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Susan Arthur</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Susan Arthur</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Benjamin</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2"/>
              </w:rPr>
              <w:t>Jeffrey Benjamin</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Timothy Campos</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2"/>
              </w:rPr>
              <w:t>Timothy Campos</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Dhiren Fonseca</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9"/>
              </w:rPr>
              <w:t>Dhiren Fonseca</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Mitch Garber</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4"/>
              </w:rPr>
              <w:t>Mitch Garber</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Brian St. Jean</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88"/>
              </w:rPr>
              <w:t>Brian St. Jean</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Sambur</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1"/>
              </w:rPr>
              <w:t>David Sambur</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Aaron Sobel</w:t>
            </w:r>
          </w:p>
        </w:tc>
        <w:tc>
          <w:tcPr>
            <w:tcW w:w="484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February 26, 2021</w:t>
            </w:r>
          </w:p>
        </w:tc>
      </w:tr>
      <w:tr>
        <w:trPr>
          <w:trHeight w:val="224"/>
        </w:trPr>
        <w:tc>
          <w:tcPr>
            <w:tcW w:w="4200" w:type="dxa"/>
            <w:vAlign w:val="bottom"/>
            <w:gridSpan w:val="3"/>
          </w:tcPr>
          <w:p>
            <w:pPr>
              <w:jc w:val="center"/>
              <w:spacing w:after="0"/>
              <w:rPr>
                <w:sz w:val="20"/>
                <w:szCs w:val="20"/>
                <w:color w:val="auto"/>
              </w:rPr>
            </w:pPr>
            <w:r>
              <w:rPr>
                <w:rFonts w:ascii="Arial" w:cs="Arial" w:eastAsia="Arial" w:hAnsi="Arial"/>
                <w:sz w:val="18"/>
                <w:szCs w:val="18"/>
                <w:color w:val="auto"/>
                <w:w w:val="90"/>
              </w:rPr>
              <w:t>Aaron Sobel</w:t>
            </w:r>
          </w:p>
        </w:tc>
        <w:tc>
          <w:tcPr>
            <w:tcW w:w="2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917"/>
        </w:trPr>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0" w:type="dxa"/>
            <w:vAlign w:val="bottom"/>
          </w:tcPr>
          <w:p>
            <w:pPr>
              <w:jc w:val="right"/>
              <w:ind w:right="65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DESCRIPTION OF CAPITAL STOCK OF RACKSPACE TECHNOLOGY, INC. REGISTERED PURSUANT TO SECTION 12 OF THE SECURITIES EXCHANGE ACT OF 1934</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As of December 31, 2020, Rackspace Technology, Inc. (“Rackspace Technology”, the “Company,” “we,” “us” and “our”) had one class of securities registered under Section 12 of the Securities Exchange Act of 1934, as amended (the “Exchange Act”): common stock par value $0.01 per share. The following description of Rackspace Technology’s capital stock summarizes certain material terms of our amended and restated certificate of incorporation (the “certificate of incorporation”) and amended and restated bylaws (the “bylaws”) and of specific provisions of Delaware law. The following description is intended as a summary only and is qualified in its entirety by reference to our certificate of incorporation and our bylaws, copies of which have been filed as exhibits to this Annual Report on Form 10-K, and the Delaware General Corporation Law, or the DGCL.</w:t>
      </w:r>
    </w:p>
    <w:p>
      <w:pPr>
        <w:spacing w:after="0" w:line="18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References to “Apollo Funds” refer to certain investment funds managed by affiliates of Apollo Global Management, Inc. (together with its subsidiaries, “Apollo”). Defined terms used herein, but otherwise not defined shall have the meaning ascribed to them in this Annual Report on Form 10-K.</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our certificate of incorporation, our capital stock consists of 1,500,000,000 authorized shares, of which 1,495,000,000 shares, par value $0.01 per share, are be designated as “common stock” and 5,000,000 shares, par value $ 0.01 per share, are designated as “preferred stock.” As of December 31, 2020, there were 201,812,709 shares of common stock outstanding and no shares of preferred stock outstanding.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w:t>
      </w:r>
    </w:p>
    <w:p>
      <w:pPr>
        <w:spacing w:after="0" w:line="16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all shares of our common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in any dividends our board of directors may declare from legally available sources.</w:t>
      </w:r>
    </w:p>
    <w:p>
      <w:pPr>
        <w:spacing w:after="0" w:line="162"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or winding up, whether voluntary or involuntary, after payment in full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holders of any the outstanding preferred stock, all shares of our common stock are entitled to share equally in the assets available for distribution to stockholders after payment of all of our prior obligations.</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Holders of our common stock have no preemptive or conversion rights and our common stock is not subject to further calls or</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ectPr>
          <w:pgSz w:w="11900" w:h="16838" w:orient="portrait"/>
          <w:cols w:equalWidth="0" w:num="1">
            <w:col w:w="11240"/>
          </w:cols>
          <w:pgMar w:left="320" w:top="121" w:right="339" w:bottom="1440" w:gutter="0" w:footer="0" w:header="0"/>
        </w:sectPr>
      </w:pPr>
    </w:p>
    <w:bookmarkStart w:id="143" w:name="page144"/>
    <w:bookmarkEnd w:id="143"/>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Composition of Board of Directors; Election and Removal of Directors</w:t>
      </w:r>
    </w:p>
    <w:p>
      <w:pPr>
        <w:spacing w:after="0" w:line="24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w:t>
      </w:r>
    </w:p>
    <w:p>
      <w:pPr>
        <w:ind w:right="60" w:firstLine="8"/>
        <w:spacing w:after="0" w:line="256"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certificate of incorporation provides for a board of directors divided into three classes (each as nearly as equal as possible and with directors in each class serving staggered three-year terms), initially consisting of three directors in Class I, three directors in Class II and four directors in Class III. See “</w:t>
      </w:r>
      <w:r>
        <w:rPr>
          <w:rFonts w:ascii="Arial" w:cs="Arial" w:eastAsia="Arial" w:hAnsi="Arial"/>
          <w:sz w:val="18"/>
          <w:szCs w:val="18"/>
          <w:i w:val="1"/>
          <w:iCs w:val="1"/>
          <w:color w:val="auto"/>
        </w:rPr>
        <w:t>—Certain Corporate Anti-takeover Provisions—Classified Board of Directors</w:t>
      </w:r>
      <w:r>
        <w:rPr>
          <w:rFonts w:ascii="Arial" w:cs="Arial" w:eastAsia="Arial" w:hAnsi="Arial"/>
          <w:sz w:val="18"/>
          <w:szCs w:val="18"/>
          <w:color w:val="auto"/>
        </w:rPr>
        <w:t>.”</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our Investor Rights Agreements (defined below), Apollo and its affiliates have the right, but not the obligation, at any time until Apollo and its affiliates, including the Apollo Funds,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We refer to the directors nominated by Apollo and its affiliates based on such percentage ownership as the “Apollo Board Nominees.” Under the investor rights agreement we entered into on November 3, 2016 in connection with the Inception Parent, Inc.’s acquisition of Rackspace Hosting, Inc. (the “Rackspace Acquisition”) with Searchlight Capital II, L.P. (“Searchlight Capital II”) and Searchlight Capital II PV, L.P. (together with Searchlight Capital II, “Searchlight”) and one of the Apollo Funds (as amended and restated, the “SCP Investor Rights Agreement”), Searchlight has the right, but not the obligation, to nominate one person to serve as a director as long as Searchlight and its affiliates’ ownership of our common stock exceeds a specified threshold. We refer to the director nominated by Searchlight based on such threshold as the “Searchlight Board Nominee.” Under the investor rights agreement we entered into on August 7, 2020 with one of the Apollo Funds, ABRY Partners, LLC (“ABRY I”) and ABRY Partners II, LLC (“ABRY II” and, together with ABRY I, “ABRY”) (the “ABRY Investor Rights Agreement” and, together with the SCP Investor Rights Agreement, the “Investor Rights Agreements”), ABRY Partners VIII, L.P., (“ABRY VIII”) has the right, but not the obligation, to nominate one person to serve as a director as long as ABRY and its affiliates’ ownership of our common stock exceeds a specified threshold. We refer to the director nominated by ABRY based on such threshold as the “ABRY Board Nominee.”</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Board Nominee, the Searchlight Board Nominee or the ABRY Board Nominee) will be filled only by the affirmative vote of a majority of the remaining directors, even if less than a quorum. Any vacancy on our board of directors in respect of an Apollo Board Nominee will be filled only by individuals designated by Apollo and its affiliates, including the Apollo Funds, for so long as they beneficially own at least 5% of our issued and outstanding common stock. Any vacancy on our board of directors in respect of the Searchlight Board Nominee or the ABRY Board Nominee will be filled only by an individual designated by Searchlight or ABRY VIII, as applicable, for so long as the ownership of Searchlight and its affiliates or ABRY and its affiliates, as applicable, exceeds the applicable common stock ownership threshold.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44" w:name="page145"/>
    <w:bookmarkEnd w:id="144"/>
    <w:p>
      <w:pPr>
        <w:ind w:right="40"/>
        <w:spacing w:after="0" w:line="253" w:lineRule="auto"/>
        <w:rPr>
          <w:sz w:val="20"/>
          <w:szCs w:val="20"/>
          <w:color w:val="auto"/>
        </w:rPr>
      </w:pPr>
      <w:r>
        <w:rPr>
          <w:rFonts w:ascii="Arial" w:cs="Arial" w:eastAsia="Arial" w:hAnsi="Arial"/>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Funds, beneficially own at least 5% of our issued and outstanding common stock and there is at least one member of our board of directors who is an Apollo Board Nominee, then at least one director that is an Apollo Board Nominee must be present for there to be a quorum unless each Apollo Board Nominee waives his or her right to be included in the quorum at such meeting.</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24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Certain provisions in our certificate of incorporation, our bylaws and the Investor Rights Agreements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8"/>
          <w:szCs w:val="18"/>
          <w:i w:val="1"/>
          <w:iCs w:val="1"/>
          <w:color w:val="auto"/>
        </w:rPr>
        <w:t>—Composition of Board of Directors; 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Removal of Directors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1435" w:right="459" w:bottom="1440" w:gutter="0" w:footer="0" w:header="0"/>
        </w:sectPr>
      </w:pPr>
    </w:p>
    <w:bookmarkStart w:id="145" w:name="page146"/>
    <w:bookmarkEnd w:id="145"/>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from and after the time Apollo and its affiliates, including the Apollo Funds,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For so long as at least 5% of the voting power of our outstanding common stock is beneficially owned by Apollo and its affiliates, including the Apollo Funds, any vacancy on our board of directors in respect of an Apollo Board Nominee will only be filled by individuals designated by Apollo and its affiliates, including the Apollo Funds. For so long as Searchlight and its affiliates continue to hold at least 6,000,000 shares of our common stock (subject to any equitable adjustments), which is an amount equal to 50% of the shares of our common stock that Searchlight originally received in connection with the Rackspace Acquisition (after giving effect to the twelve-for-one stock split that was approved and effected on July 20, 2020 (the “Stock Split”)), any vacancy on our board of directors in respect of the Searchlight Board Nominee will only be filled by an individual designated by Searchlight. For so long as affiliates of ABRY continue to hold at least 11,122,514 shares of our common stock (subject to any equitable adjustments), which is an amount equal to 50% of the shares of our common stock ABRY and certain of its affiliates held at the closing of the acquisition of Datapipe Parent, Inc. (after giving effect to the Stock Split), any vacancy on our board of directors in respect of the ABRY Board Nominee will only be filled by an individual designated by ABRY VIII. Any other vacancy on our board of directors will be filled only by the affirmative vote of a majority of the remaining directors, even if less than a quorum, as described above in “</w:t>
      </w:r>
      <w:r>
        <w:rPr>
          <w:rFonts w:ascii="Arial" w:cs="Arial" w:eastAsia="Arial" w:hAnsi="Arial"/>
          <w:sz w:val="18"/>
          <w:szCs w:val="18"/>
          <w:i w:val="1"/>
          <w:iCs w:val="1"/>
          <w:color w:val="auto"/>
        </w:rPr>
        <w:t>—Composition of Board of Directors; Election and Removal of Directors</w:t>
      </w:r>
      <w:r>
        <w:rPr>
          <w:rFonts w:ascii="Arial" w:cs="Arial" w:eastAsia="Arial" w:hAnsi="Arial"/>
          <w:sz w:val="18"/>
          <w:szCs w:val="18"/>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certificate of incorporation provides that if less than 50.1% of the voting power of our outstanding common stock is beneficially owned by Apollo and its affiliates, including the Apollo Funds,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Funds,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40" w:right="379" w:bottom="1440" w:gutter="0" w:footer="0" w:header="0"/>
        </w:sectPr>
      </w:pPr>
    </w:p>
    <w:bookmarkStart w:id="146" w:name="page147"/>
    <w:bookmarkEnd w:id="146"/>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Funds,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bylaws provide that stockholders who are seeking to bring business before an annual meeting of stockholders and stockholders (other than Apollo and its affiliates, including the Apollo Funds, Searchlight and ABRY) who are seeking to nominate candidates for election as directors at an annual meeting of stockholders, must provide timely notice thereof in writing. To be timely, a stockholder’s notice generally must be delivered to and received at our principal executive offices not earlier than the close of business on the 120th day and not later than the close of business of the 90th day prior to the first anniversary of the preceding year’s annual meeting of our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21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3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However, our certificate of incorporation includes provision that restricts us from engaging in any business combination with an interested stockholder for three years following the date that person becomes an interested stockholder. Such restrictions will not apply to any business combination between Apollo and any affiliate thereof, including the Apollo Funds, or their direct and indirect transferees, on the one hand, and us, on the other. In addition, such restrictions will not apply if:</w:t>
      </w:r>
    </w:p>
    <w:p>
      <w:pPr>
        <w:spacing w:after="0" w:line="200" w:lineRule="exact"/>
        <w:rPr>
          <w:sz w:val="20"/>
          <w:szCs w:val="20"/>
          <w:color w:val="auto"/>
        </w:rPr>
      </w:pPr>
    </w:p>
    <w:p>
      <w:pPr>
        <w:spacing w:after="0" w:line="301" w:lineRule="exact"/>
        <w:rPr>
          <w:sz w:val="20"/>
          <w:szCs w:val="20"/>
          <w:color w:val="auto"/>
        </w:rPr>
      </w:pPr>
    </w:p>
    <w:p>
      <w:pPr>
        <w:ind w:left="840" w:right="320" w:hanging="261"/>
        <w:spacing w:after="0" w:line="254"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271" w:lineRule="exact"/>
        <w:rPr>
          <w:rFonts w:ascii="Arial" w:cs="Arial" w:eastAsia="Arial" w:hAnsi="Arial"/>
          <w:sz w:val="18"/>
          <w:szCs w:val="18"/>
          <w:color w:val="auto"/>
        </w:rPr>
      </w:pPr>
    </w:p>
    <w:p>
      <w:pPr>
        <w:ind w:left="840" w:right="200" w:hanging="261"/>
        <w:spacing w:after="0" w:line="251"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would be able to enter into a business combination with an interested stockholder if:</w:t>
      </w:r>
    </w:p>
    <w:p>
      <w:pPr>
        <w:spacing w:after="0" w:line="306" w:lineRule="exact"/>
        <w:rPr>
          <w:sz w:val="20"/>
          <w:szCs w:val="20"/>
          <w:color w:val="auto"/>
        </w:rPr>
      </w:pPr>
    </w:p>
    <w:p>
      <w:pPr>
        <w:ind w:left="840" w:right="440" w:hanging="261"/>
        <w:spacing w:after="0" w:line="261"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440" w:right="399" w:bottom="1440" w:gutter="0" w:footer="0" w:header="0"/>
        </w:sectPr>
      </w:pPr>
    </w:p>
    <w:bookmarkStart w:id="148" w:name="page149"/>
    <w:bookmarkEnd w:id="148"/>
    <w:p>
      <w:pPr>
        <w:spacing w:after="0" w:line="49" w:lineRule="exact"/>
        <w:rPr>
          <w:sz w:val="20"/>
          <w:szCs w:val="20"/>
          <w:color w:val="auto"/>
        </w:rPr>
      </w:pPr>
    </w:p>
    <w:p>
      <w:pPr>
        <w:ind w:left="840" w:right="180" w:hanging="261"/>
        <w:spacing w:after="0" w:line="253"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272" w:lineRule="exact"/>
        <w:rPr>
          <w:rFonts w:ascii="Arial" w:cs="Arial" w:eastAsia="Arial" w:hAnsi="Arial"/>
          <w:sz w:val="18"/>
          <w:szCs w:val="18"/>
          <w:color w:val="auto"/>
        </w:rPr>
      </w:pPr>
    </w:p>
    <w:p>
      <w:pPr>
        <w:jc w:val="both"/>
        <w:ind w:left="840" w:right="340" w:hanging="261"/>
        <w:spacing w:after="0" w:line="256"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31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20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Our Certificate of Incorporation</w:t>
      </w:r>
    </w:p>
    <w:p>
      <w:pPr>
        <w:spacing w:after="0" w:line="13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3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Notwithstanding the foregoing, our certificate of incorporation provides that, from and after the time Apollo and its affiliates, including the Apollo Funds,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286" w:lineRule="exact"/>
        <w:rPr>
          <w:sz w:val="20"/>
          <w:szCs w:val="20"/>
          <w:color w:val="auto"/>
        </w:rPr>
      </w:pPr>
    </w:p>
    <w:p>
      <w:pPr>
        <w:ind w:left="840" w:right="240" w:hanging="261"/>
        <w:spacing w:after="0" w:line="261"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265" w:lineRule="exact"/>
        <w:rPr>
          <w:rFonts w:ascii="Arial" w:cs="Arial" w:eastAsia="Arial" w:hAnsi="Arial"/>
          <w:sz w:val="18"/>
          <w:szCs w:val="18"/>
          <w:color w:val="auto"/>
        </w:rPr>
      </w:pPr>
    </w:p>
    <w:p>
      <w:pPr>
        <w:ind w:left="840" w:right="440" w:hanging="261"/>
        <w:spacing w:after="0" w:line="254"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71" w:lineRule="exact"/>
        <w:rPr>
          <w:rFonts w:ascii="Arial" w:cs="Arial" w:eastAsia="Arial" w:hAnsi="Arial"/>
          <w:sz w:val="18"/>
          <w:szCs w:val="18"/>
          <w:color w:val="auto"/>
        </w:rPr>
      </w:pPr>
    </w:p>
    <w:p>
      <w:pPr>
        <w:ind w:left="840" w:hanging="26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40" w:right="399" w:bottom="1440" w:gutter="0" w:footer="0" w:header="0"/>
        </w:sectPr>
      </w:pPr>
    </w:p>
    <w:bookmarkStart w:id="149" w:name="page150"/>
    <w:bookmarkEnd w:id="149"/>
    <w:p>
      <w:pPr>
        <w:spacing w:after="0" w:line="49" w:lineRule="exact"/>
        <w:rPr>
          <w:sz w:val="20"/>
          <w:szCs w:val="20"/>
          <w:color w:val="auto"/>
        </w:rPr>
      </w:pPr>
    </w:p>
    <w:p>
      <w:pPr>
        <w:ind w:left="840" w:hanging="26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292" w:lineRule="exact"/>
        <w:rPr>
          <w:rFonts w:ascii="Arial" w:cs="Arial" w:eastAsia="Arial" w:hAnsi="Arial"/>
          <w:sz w:val="18"/>
          <w:szCs w:val="18"/>
          <w:color w:val="auto"/>
        </w:rPr>
      </w:pPr>
    </w:p>
    <w:p>
      <w:pPr>
        <w:ind w:left="840" w:hanging="26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279" w:lineRule="exact"/>
        <w:rPr>
          <w:rFonts w:ascii="Arial" w:cs="Arial" w:eastAsia="Arial" w:hAnsi="Arial"/>
          <w:sz w:val="18"/>
          <w:szCs w:val="18"/>
          <w:color w:val="auto"/>
        </w:rPr>
      </w:pPr>
    </w:p>
    <w:p>
      <w:pPr>
        <w:ind w:left="840" w:hanging="26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292" w:lineRule="exact"/>
        <w:rPr>
          <w:rFonts w:ascii="Arial" w:cs="Arial" w:eastAsia="Arial" w:hAnsi="Arial"/>
          <w:sz w:val="18"/>
          <w:szCs w:val="18"/>
          <w:color w:val="auto"/>
        </w:rPr>
      </w:pPr>
    </w:p>
    <w:p>
      <w:pPr>
        <w:ind w:left="840" w:hanging="26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306" w:lineRule="exact"/>
        <w:rPr>
          <w:rFonts w:ascii="Arial" w:cs="Arial" w:eastAsia="Arial" w:hAnsi="Arial"/>
          <w:sz w:val="18"/>
          <w:szCs w:val="18"/>
          <w:color w:val="auto"/>
        </w:rPr>
      </w:pPr>
    </w:p>
    <w:p>
      <w:pPr>
        <w:ind w:left="840" w:right="440" w:hanging="261"/>
        <w:spacing w:after="0" w:line="254"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 of 1933, as amended (the “Securities Act”);</w:t>
      </w:r>
    </w:p>
    <w:p>
      <w:pPr>
        <w:spacing w:after="0" w:line="271" w:lineRule="exact"/>
        <w:rPr>
          <w:rFonts w:ascii="Arial" w:cs="Arial" w:eastAsia="Arial" w:hAnsi="Arial"/>
          <w:sz w:val="18"/>
          <w:szCs w:val="18"/>
          <w:color w:val="auto"/>
        </w:rPr>
      </w:pPr>
    </w:p>
    <w:p>
      <w:pPr>
        <w:ind w:left="840" w:hanging="26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279" w:lineRule="exact"/>
        <w:rPr>
          <w:rFonts w:ascii="Arial" w:cs="Arial" w:eastAsia="Arial" w:hAnsi="Arial"/>
          <w:sz w:val="18"/>
          <w:szCs w:val="18"/>
          <w:color w:val="auto"/>
        </w:rPr>
      </w:pPr>
    </w:p>
    <w:p>
      <w:pPr>
        <w:ind w:left="840" w:right="300" w:hanging="261"/>
        <w:spacing w:after="0" w:line="256"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Funds,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269" w:lineRule="exact"/>
        <w:rPr>
          <w:rFonts w:ascii="Arial" w:cs="Arial" w:eastAsia="Arial" w:hAnsi="Arial"/>
          <w:sz w:val="18"/>
          <w:szCs w:val="18"/>
          <w:color w:val="auto"/>
        </w:rPr>
      </w:pPr>
    </w:p>
    <w:p>
      <w:pPr>
        <w:ind w:left="840" w:right="600" w:hanging="261"/>
        <w:spacing w:after="0" w:line="256"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Funds, cease to beneficially own at least 50.1% of the voting power of our outstanding common stock, amendments by the stockholders to our bylaws require the affirmative vote of 66 2/3% in voting power of our outstanding stock, voting as a single class.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Our Bylaws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Funds,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that Require Consent of Our Stockholders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Investor Rights Agreements provide that until Apollo and its affiliates, including the Apollo Funds, no longer beneficially own at least 33% of our issued and outstanding common stock, we will not take certain significant actions specified therein without the prior consent of Apollo and its affiliates, including, but not limited to:</w:t>
      </w:r>
    </w:p>
    <w:p>
      <w:pPr>
        <w:spacing w:after="0" w:line="391" w:lineRule="exact"/>
        <w:rPr>
          <w:sz w:val="20"/>
          <w:szCs w:val="20"/>
          <w:color w:val="auto"/>
        </w:rPr>
      </w:pPr>
    </w:p>
    <w:p>
      <w:pPr>
        <w:ind w:left="840" w:right="340" w:hanging="261"/>
        <w:spacing w:after="0" w:line="256"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acquisition of equity interests or assets of any other entity, or any business, properties, assets or entities, exceeding $50 million in any single transaction or $100 million in the aggregate in any series of transactions during a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49" w:lineRule="exact"/>
        <w:rPr>
          <w:sz w:val="20"/>
          <w:szCs w:val="20"/>
          <w:color w:val="auto"/>
        </w:rPr>
      </w:pPr>
    </w:p>
    <w:p>
      <w:pPr>
        <w:ind w:left="840" w:right="180" w:hanging="261"/>
        <w:spacing w:after="0" w:line="256"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disposition of any of our or our subsidiaries’ assets or equity interests, exceeding $50 million in any single transaction or $100 million in the aggregate in any series of transactions during a calendar year; and</w:t>
      </w:r>
    </w:p>
    <w:p>
      <w:pPr>
        <w:spacing w:after="0" w:line="269" w:lineRule="exact"/>
        <w:rPr>
          <w:rFonts w:ascii="Arial" w:cs="Arial" w:eastAsia="Arial" w:hAnsi="Arial"/>
          <w:sz w:val="18"/>
          <w:szCs w:val="18"/>
          <w:color w:val="auto"/>
        </w:rPr>
      </w:pPr>
    </w:p>
    <w:p>
      <w:pPr>
        <w:ind w:left="840" w:hanging="261"/>
        <w:spacing w:after="0" w:line="254"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all or substantially all of the Company’s or our subsidiaries’ assets, taken as a whole, to another entity, or undertaking any transaction that would constitute a “change of control” as defined in our or our subsidiaries’ credit facilities or note indentures (other than transactions among us and our wholly-owned subsidiaries).</w:t>
      </w:r>
    </w:p>
    <w:p>
      <w:pPr>
        <w:spacing w:after="0" w:line="3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provisions of the DGCL, our certificate of incorporation, our bylaws and our Investor Rights Agreements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Exclusive Forum Selection</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279" w:lineRule="exact"/>
        <w:rPr>
          <w:sz w:val="20"/>
          <w:szCs w:val="20"/>
          <w:color w:val="auto"/>
        </w:rPr>
      </w:pPr>
    </w:p>
    <w:p>
      <w:pPr>
        <w:ind w:left="840" w:hanging="261"/>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92" w:lineRule="exact"/>
        <w:rPr>
          <w:rFonts w:ascii="Arial" w:cs="Arial" w:eastAsia="Arial" w:hAnsi="Arial"/>
          <w:sz w:val="18"/>
          <w:szCs w:val="18"/>
          <w:color w:val="auto"/>
        </w:rPr>
      </w:pPr>
    </w:p>
    <w:p>
      <w:pPr>
        <w:ind w:left="840" w:right="240" w:hanging="261"/>
        <w:spacing w:after="0" w:line="261" w:lineRule="auto"/>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265" w:lineRule="exact"/>
        <w:rPr>
          <w:rFonts w:ascii="Arial" w:cs="Arial" w:eastAsia="Arial" w:hAnsi="Arial"/>
          <w:sz w:val="18"/>
          <w:szCs w:val="18"/>
          <w:color w:val="auto"/>
        </w:rPr>
      </w:pPr>
    </w:p>
    <w:p>
      <w:pPr>
        <w:ind w:left="840" w:hanging="261"/>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of our certificate of incorporation or our bylaws; or</w:t>
      </w:r>
    </w:p>
    <w:p>
      <w:pPr>
        <w:spacing w:after="0" w:line="279" w:lineRule="exact"/>
        <w:rPr>
          <w:rFonts w:ascii="Arial" w:cs="Arial" w:eastAsia="Arial" w:hAnsi="Arial"/>
          <w:sz w:val="18"/>
          <w:szCs w:val="18"/>
          <w:color w:val="auto"/>
        </w:rPr>
      </w:pPr>
    </w:p>
    <w:p>
      <w:pPr>
        <w:ind w:left="840" w:hanging="261"/>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34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each such case subject to the Delaware Court of Chancery having personal jurisdiction over the indispensable parties named as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320" w:top="1440" w:right="599" w:bottom="1440" w:gutter="0" w:footer="0" w:header="0"/>
        </w:sectPr>
      </w:pPr>
    </w:p>
    <w:bookmarkStart w:id="151" w:name="page152"/>
    <w:bookmarkEnd w:id="151"/>
    <w:p>
      <w:pPr>
        <w:spacing w:after="0" w:line="251" w:lineRule="auto"/>
        <w:rPr>
          <w:sz w:val="20"/>
          <w:szCs w:val="20"/>
          <w:color w:val="auto"/>
        </w:rPr>
      </w:pPr>
      <w:r>
        <w:rPr>
          <w:rFonts w:ascii="Arial" w:cs="Arial" w:eastAsia="Arial" w:hAnsi="Arial"/>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other courts would enforce the exclusive forum provisions in our certificate of incorporation. Additionally, our stockholders cannot waive compliance with the federal securities laws and the rules and regulations thereunder.</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“RXT.”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Agent and Registrar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35" w:right="3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AMENDED AND RESTATED INVESTOR RIGHTS AGREEMENT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Amended and Restated Investor Rights Agreement, dated as of</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August 4, 2020 (the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(i) RACKSPACE TECHNOLOGY, INC., a Delaware corporation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(ii) SEARCHLIGHT CAPITAL II, L.P., a Cayman Islands limited partnership, and SEARCHLIGHT CAPITAL II</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PV, L.P., a Cayman Islands limited partnership, and (iii) AP VIII INCEPTION HOLDINGS, L.P., a Delaware limited partnership</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 VIII Holdings</w:t>
      </w:r>
      <w:r>
        <w:rPr>
          <w:rFonts w:ascii="Arial" w:cs="Arial" w:eastAsia="Arial" w:hAnsi="Arial"/>
          <w:sz w:val="19"/>
          <w:szCs w:val="19"/>
          <w:color w:val="auto"/>
        </w:rPr>
        <w:t>” and, together with any other member of the Apollo Group (disregarding the Affiliate Exclusion) to whom</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Company Group Equity Securities are Disposed or that otherwise owns or acquires record or beneficial ownership of Company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Group Equity Securities (other than any Co-Invest HoldCo, except to the extent provided in Section 7.17 thereof), the “</w:t>
      </w:r>
      <w:r>
        <w:rPr>
          <w:rFonts w:ascii="Arial" w:cs="Arial" w:eastAsia="Arial" w:hAnsi="Arial"/>
          <w:sz w:val="19"/>
          <w:szCs w:val="19"/>
          <w:u w:val="single" w:color="auto"/>
          <w:color w:val="auto"/>
        </w:rPr>
        <w:t>Sponsor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Fund</w:t>
      </w:r>
      <w:r>
        <w:rPr>
          <w:rFonts w:ascii="Arial" w:cs="Arial" w:eastAsia="Arial" w:hAnsi="Arial"/>
          <w:sz w:val="19"/>
          <w:szCs w:val="19"/>
          <w:color w:val="auto"/>
        </w:rPr>
        <w:t>”) is made and entered into as of December 7, 2020, by an among the Company and the Sponsor Fund. Capitalized terms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used in this Amendment and not otherwise defined in this Amendment shall have the meaning ascribed to them in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of the Agreement, the Agreement may be amended in writing signed by the Company and the Sponsor Fund;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Company and the Sponsor Fund wish to enter into this Amendment.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Agreement is hereby amended as follows:</w:t>
      </w:r>
    </w:p>
    <w:p>
      <w:pPr>
        <w:spacing w:after="0" w:line="220" w:lineRule="exact"/>
        <w:rPr>
          <w:sz w:val="20"/>
          <w:szCs w:val="20"/>
          <w:color w:val="auto"/>
        </w:rPr>
      </w:pPr>
    </w:p>
    <w:p>
      <w:pPr>
        <w:ind w:left="720" w:hanging="388"/>
        <w:spacing w:after="0"/>
        <w:tabs>
          <w:tab w:leader="none" w:pos="72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7.18(a) of the Agreement is hereby amended and restated in its entirety as follows:</w:t>
      </w:r>
    </w:p>
    <w:p>
      <w:pPr>
        <w:spacing w:after="0" w:line="220" w:lineRule="exact"/>
        <w:rPr>
          <w:sz w:val="20"/>
          <w:szCs w:val="20"/>
          <w:color w:val="auto"/>
        </w:rPr>
      </w:pPr>
    </w:p>
    <w:p>
      <w:pPr>
        <w:ind w:left="660" w:firstLine="648"/>
        <w:spacing w:after="0" w:line="290" w:lineRule="auto"/>
        <w:rPr>
          <w:sz w:val="20"/>
          <w:szCs w:val="20"/>
          <w:color w:val="auto"/>
        </w:rPr>
      </w:pPr>
      <w:r>
        <w:rPr>
          <w:rFonts w:ascii="Arial" w:cs="Arial" w:eastAsia="Arial" w:hAnsi="Arial"/>
          <w:sz w:val="19"/>
          <w:szCs w:val="19"/>
          <w:color w:val="auto"/>
        </w:rPr>
        <w:t xml:space="preserve">“Notwithstanding anything to the contrary contained herein, the Sponsor Fund may assign its rights or obligations, in whole or in part, under this Agreement to any member of the Apollo Group (disregarding the Affiliate Exclusion). In the event that any additional member of the Apollo Group (disregarding the Affiliate Exclusion) (other than any Co-Invest HoldCo) becomes an owner of Company Group Equity Securities, such Person shall, as a condition to acquiring such Company Group Equity Securities, become party to this Agreement and </w:t>
      </w:r>
      <w:r>
        <w:rPr>
          <w:rFonts w:ascii="Arial" w:cs="Arial" w:eastAsia="Arial" w:hAnsi="Arial"/>
          <w:sz w:val="19"/>
          <w:szCs w:val="19"/>
          <w:b w:val="1"/>
          <w:bCs w:val="1"/>
          <w:u w:val="single" w:color="auto"/>
          <w:color w:val="auto"/>
        </w:rPr>
        <w:t>either (i) such Person shall enter into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customary joinder to this Agreement or (ii)</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amended and restated</w:t>
      </w:r>
      <w:r>
        <w:rPr>
          <w:rFonts w:ascii="Arial" w:cs="Arial" w:eastAsia="Arial" w:hAnsi="Arial"/>
          <w:sz w:val="19"/>
          <w:szCs w:val="19"/>
          <w:b w:val="1"/>
          <w:bCs w:val="1"/>
          <w:u w:val="single" w:color="auto"/>
          <w:color w:val="auto"/>
        </w:rPr>
        <w:t>, in either case,</w:t>
      </w:r>
      <w:r>
        <w:rPr>
          <w:rFonts w:ascii="Arial" w:cs="Arial" w:eastAsia="Arial" w:hAnsi="Arial"/>
          <w:sz w:val="19"/>
          <w:szCs w:val="19"/>
          <w:b w:val="1"/>
          <w:bCs w:val="1"/>
          <w:color w:val="auto"/>
        </w:rPr>
        <w:t xml:space="preserve"> </w:t>
      </w:r>
      <w:r>
        <w:rPr>
          <w:rFonts w:ascii="Arial" w:cs="Arial" w:eastAsia="Arial" w:hAnsi="Arial"/>
          <w:sz w:val="19"/>
          <w:szCs w:val="19"/>
          <w:color w:val="auto"/>
        </w:rPr>
        <w:t>to provide</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Person or a designee of such Person shall have the same rights and obligations of the Sponsor Fund hereunder to the extent of such Person’s ownership of Company Group Equity Securities.”</w:t>
      </w:r>
    </w:p>
    <w:p>
      <w:pPr>
        <w:spacing w:after="0" w:line="183" w:lineRule="exact"/>
        <w:rPr>
          <w:sz w:val="20"/>
          <w:szCs w:val="20"/>
          <w:color w:val="auto"/>
        </w:rPr>
      </w:pPr>
    </w:p>
    <w:p>
      <w:pPr>
        <w:ind w:left="660" w:right="80" w:hanging="328"/>
        <w:spacing w:after="0" w:line="265" w:lineRule="auto"/>
        <w:tabs>
          <w:tab w:leader="none" w:pos="714"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 Except as modified by this Amendment, all of the terms of the Agreement are hereby ratified and confirmed and shall remain in full force and effect. Nothing in this Amendment shall be construed to modify any provision of the Agreement other than as specifically set forth above. This Amendment shall be construed as one with the Agreement, and the Agreement shall, where the context requires, be read and</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 xml:space="preserve">construed so as to incorporate this Amendment. The terms and provisions of Sections 7.1 (Governing Law), 7.2 (Binding Effect), 7.3 (Amendment), 7.5 (Specific Performance), 7.6 (Counterparts), 7.7 (Severability), 7.9 (Submission to Jurisdiction), 7.10 (Waiver), 7.11 (Waiver of Jury Trial), 7.12 (Entire Agreement) and 7.15 (No Recourse) of the Agreement are hereby incorporated into this Amendment and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75"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 follows</w:t>
      </w:r>
      <w:r>
        <w:rPr>
          <w:rFonts w:ascii="Arial" w:cs="Arial" w:eastAsia="Arial" w:hAnsi="Arial"/>
          <w:sz w:val="22"/>
          <w:szCs w:val="22"/>
          <w:color w:val="auto"/>
        </w:rPr>
        <w:t>]</w:t>
      </w:r>
    </w:p>
    <w:p>
      <w:pPr>
        <w:sectPr>
          <w:pgSz w:w="11900" w:h="16838" w:orient="portrait"/>
          <w:cols w:equalWidth="0" w:num="1">
            <w:col w:w="10580"/>
          </w:cols>
          <w:pgMar w:left="980" w:top="132" w:right="339" w:bottom="1440" w:gutter="0" w:footer="0" w:header="0"/>
        </w:sectPr>
      </w:pPr>
    </w:p>
    <w:bookmarkStart w:id="154" w:name="page155"/>
    <w:bookmarkEnd w:id="154"/>
    <w:p>
      <w:pPr>
        <w:ind w:left="1300"/>
        <w:spacing w:after="0"/>
        <w:rPr>
          <w:sz w:val="20"/>
          <w:szCs w:val="20"/>
          <w:color w:val="auto"/>
        </w:rPr>
      </w:pPr>
      <w:r>
        <w:rPr>
          <w:rFonts w:ascii="Arial" w:cs="Arial" w:eastAsia="Arial" w:hAnsi="Arial"/>
          <w:sz w:val="19"/>
          <w:szCs w:val="19"/>
          <w:color w:val="auto"/>
        </w:rPr>
        <w:t>This Amendment is executed by the Company and by the other parties hereto to be effective as of the date first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00" w:lineRule="exact"/>
        <w:rPr>
          <w:sz w:val="20"/>
          <w:szCs w:val="20"/>
          <w:color w:val="auto"/>
        </w:rPr>
      </w:pPr>
    </w:p>
    <w:p>
      <w:pPr>
        <w:spacing w:after="0" w:line="293" w:lineRule="exact"/>
        <w:rPr>
          <w:sz w:val="20"/>
          <w:szCs w:val="20"/>
          <w:color w:val="auto"/>
        </w:rPr>
      </w:pPr>
    </w:p>
    <w:p>
      <w:pPr>
        <w:ind w:left="6380"/>
        <w:spacing w:after="0"/>
        <w:rPr>
          <w:sz w:val="20"/>
          <w:szCs w:val="20"/>
          <w:color w:val="auto"/>
        </w:rPr>
      </w:pPr>
      <w:r>
        <w:rPr>
          <w:rFonts w:ascii="Arial" w:cs="Arial" w:eastAsia="Arial" w:hAnsi="Arial"/>
          <w:sz w:val="22"/>
          <w:szCs w:val="22"/>
          <w:b w:val="1"/>
          <w:bCs w:val="1"/>
          <w:u w:val="single" w:color="auto"/>
          <w:color w:val="auto"/>
        </w:rPr>
        <w:t>COMPANY</w:t>
      </w:r>
    </w:p>
    <w:p>
      <w:pPr>
        <w:spacing w:after="0" w:line="328" w:lineRule="exact"/>
        <w:rPr>
          <w:sz w:val="20"/>
          <w:szCs w:val="20"/>
          <w:color w:val="auto"/>
        </w:rPr>
      </w:pPr>
    </w:p>
    <w:p>
      <w:pPr>
        <w:ind w:left="6380"/>
        <w:spacing w:after="0"/>
        <w:rPr>
          <w:sz w:val="20"/>
          <w:szCs w:val="20"/>
          <w:color w:val="auto"/>
        </w:rPr>
      </w:pPr>
      <w:r>
        <w:rPr>
          <w:rFonts w:ascii="Arial" w:cs="Arial" w:eastAsia="Arial" w:hAnsi="Arial"/>
          <w:sz w:val="22"/>
          <w:szCs w:val="22"/>
          <w:b w:val="1"/>
          <w:bCs w:val="1"/>
          <w:color w:val="auto"/>
        </w:rPr>
        <w:t>RACKSPACE TECHNOLOGY, INC.</w:t>
      </w:r>
    </w:p>
    <w:p>
      <w:pPr>
        <w:spacing w:after="0" w:line="334"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1"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Name: Stefanie Box</w:t>
      </w:r>
    </w:p>
    <w:p>
      <w:pPr>
        <w:spacing w:after="0" w:line="58"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Title: Vice President, Deputy General Counsel &amp;</w:t>
      </w:r>
    </w:p>
    <w:p>
      <w:pPr>
        <w:spacing w:after="0" w:line="56"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Assistant Corporate Secretary</w:t>
      </w:r>
    </w:p>
    <w:p>
      <w:pPr>
        <w:spacing w:after="0" w:line="304" w:lineRule="exact"/>
        <w:rPr>
          <w:sz w:val="20"/>
          <w:szCs w:val="20"/>
          <w:color w:val="auto"/>
        </w:rPr>
      </w:pPr>
    </w:p>
    <w:p>
      <w:pPr>
        <w:ind w:left="6380"/>
        <w:spacing w:after="0"/>
        <w:rPr>
          <w:sz w:val="20"/>
          <w:szCs w:val="20"/>
          <w:color w:val="auto"/>
        </w:rPr>
      </w:pPr>
      <w:r>
        <w:rPr>
          <w:rFonts w:ascii="Arial" w:cs="Arial" w:eastAsia="Arial" w:hAnsi="Arial"/>
          <w:sz w:val="22"/>
          <w:szCs w:val="22"/>
          <w:b w:val="1"/>
          <w:bCs w:val="1"/>
          <w:u w:val="single" w:color="auto"/>
          <w:color w:val="auto"/>
        </w:rPr>
        <w:t>SPONSOR FUND</w:t>
      </w:r>
    </w:p>
    <w:p>
      <w:pPr>
        <w:spacing w:after="0" w:line="328" w:lineRule="exact"/>
        <w:rPr>
          <w:sz w:val="20"/>
          <w:szCs w:val="20"/>
          <w:color w:val="auto"/>
        </w:rPr>
      </w:pPr>
    </w:p>
    <w:p>
      <w:pPr>
        <w:ind w:left="6380"/>
        <w:spacing w:after="0"/>
        <w:rPr>
          <w:sz w:val="20"/>
          <w:szCs w:val="20"/>
          <w:color w:val="auto"/>
        </w:rPr>
      </w:pPr>
      <w:r>
        <w:rPr>
          <w:rFonts w:ascii="Arial" w:cs="Arial" w:eastAsia="Arial" w:hAnsi="Arial"/>
          <w:sz w:val="22"/>
          <w:szCs w:val="22"/>
          <w:b w:val="1"/>
          <w:bCs w:val="1"/>
          <w:color w:val="auto"/>
        </w:rPr>
        <w:t>AP VIII INCEPTION HOLDINGS, L.P.</w:t>
      </w:r>
    </w:p>
    <w:p>
      <w:pPr>
        <w:spacing w:after="0" w:line="334"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AP VIII Inception Holdings GP, LLC, its general</w:t>
      </w:r>
    </w:p>
    <w:p>
      <w:pPr>
        <w:spacing w:after="0" w:line="56" w:lineRule="exact"/>
        <w:rPr>
          <w:sz w:val="20"/>
          <w:szCs w:val="20"/>
          <w:color w:val="auto"/>
        </w:rPr>
      </w:pPr>
    </w:p>
    <w:p>
      <w:pPr>
        <w:ind w:left="6380"/>
        <w:spacing w:after="0"/>
        <w:tabs>
          <w:tab w:leader="none" w:pos="6920" w:val="left"/>
        </w:tabs>
        <w:rPr>
          <w:sz w:val="20"/>
          <w:szCs w:val="20"/>
          <w:color w:val="auto"/>
        </w:rPr>
      </w:pPr>
      <w:r>
        <w:rPr>
          <w:rFonts w:ascii="Arial" w:cs="Arial" w:eastAsia="Arial" w:hAnsi="Arial"/>
          <w:sz w:val="22"/>
          <w:szCs w:val="22"/>
          <w:color w:val="auto"/>
        </w:rPr>
        <w:t>By:</w:t>
        <w:tab/>
        <w:t>partner</w:t>
      </w:r>
    </w:p>
    <w:p>
      <w:pPr>
        <w:spacing w:after="0" w:line="310"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1"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Name: Laurie Medley</w:t>
      </w:r>
    </w:p>
    <w:p>
      <w:pPr>
        <w:spacing w:after="0" w:line="58"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Amendment to Investor Rights Agreement]</w:t>
      </w:r>
    </w:p>
    <w:p>
      <w:pPr>
        <w:sectPr>
          <w:pgSz w:w="11900" w:h="16838" w:orient="portrait"/>
          <w:cols w:equalWidth="0" w:num="1">
            <w:col w:w="11180"/>
          </w:cols>
          <w:pgMar w:left="320" w:top="1428" w:right="3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AMENDED AND RESTATED INVESTOR RIGHTS AGREEMENT</w:t>
      </w:r>
    </w:p>
    <w:p>
      <w:pPr>
        <w:spacing w:after="0" w:line="226" w:lineRule="exact"/>
        <w:rPr>
          <w:sz w:val="20"/>
          <w:szCs w:val="20"/>
          <w:color w:val="auto"/>
        </w:rPr>
      </w:pPr>
    </w:p>
    <w:p>
      <w:pPr>
        <w:ind w:right="20" w:firstLine="1296"/>
        <w:spacing w:after="0" w:line="258" w:lineRule="auto"/>
        <w:rPr>
          <w:sz w:val="20"/>
          <w:szCs w:val="20"/>
          <w:color w:val="auto"/>
        </w:rPr>
      </w:pPr>
      <w:r>
        <w:rPr>
          <w:rFonts w:ascii="Arial" w:cs="Arial" w:eastAsia="Arial" w:hAnsi="Arial"/>
          <w:sz w:val="21"/>
          <w:szCs w:val="21"/>
          <w:color w:val="auto"/>
        </w:rPr>
        <w:t>This Amendment (this “</w:t>
      </w:r>
      <w:r>
        <w:rPr>
          <w:rFonts w:ascii="Arial" w:cs="Arial" w:eastAsia="Arial" w:hAnsi="Arial"/>
          <w:sz w:val="21"/>
          <w:szCs w:val="21"/>
          <w:u w:val="single" w:color="auto"/>
          <w:color w:val="auto"/>
        </w:rPr>
        <w:t>Amendment</w:t>
      </w:r>
      <w:r>
        <w:rPr>
          <w:rFonts w:ascii="Arial" w:cs="Arial" w:eastAsia="Arial" w:hAnsi="Arial"/>
          <w:sz w:val="21"/>
          <w:szCs w:val="21"/>
          <w:color w:val="auto"/>
        </w:rPr>
        <w:t>”) to the Amended and Restated Investor Rights Agreement, dated as of August 4, 2020 (the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(i) RACKSPACE TECHNOLOGY,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(ii) DPH 123, LLC, a Delaware limited liability company, (iii) ACE INVESTMENT HOLDINGS, LLC, a Delaware limited liability company, (iv) AP VIII INCEPTION HOLDINGS, L.P., a Delaware limited partnership (“</w:t>
      </w:r>
      <w:r>
        <w:rPr>
          <w:rFonts w:ascii="Arial" w:cs="Arial" w:eastAsia="Arial" w:hAnsi="Arial"/>
          <w:sz w:val="21"/>
          <w:szCs w:val="21"/>
          <w:u w:val="single" w:color="auto"/>
          <w:color w:val="auto"/>
        </w:rPr>
        <w:t>AP VIII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Holdings</w:t>
      </w:r>
      <w:r>
        <w:rPr>
          <w:rFonts w:ascii="Arial" w:cs="Arial" w:eastAsia="Arial" w:hAnsi="Arial"/>
          <w:sz w:val="21"/>
          <w:szCs w:val="21"/>
          <w:color w:val="auto"/>
        </w:rPr>
        <w:t>,” and together with any other member of the Apollo Group to whom Company Group Equity Securities are Disposed or that otherwise owns or acquires record or beneficial ownership of Company Group Equity Securities (other than any Co-Invest HoldCo, except to the extent provided in Section 7.17 thereof), the “</w:t>
      </w:r>
      <w:r>
        <w:rPr>
          <w:rFonts w:ascii="Arial" w:cs="Arial" w:eastAsia="Arial" w:hAnsi="Arial"/>
          <w:sz w:val="21"/>
          <w:szCs w:val="21"/>
          <w:u w:val="single" w:color="auto"/>
          <w:color w:val="auto"/>
        </w:rPr>
        <w:t>Sponsor Fund</w:t>
      </w:r>
      <w:r>
        <w:rPr>
          <w:rFonts w:ascii="Arial" w:cs="Arial" w:eastAsia="Arial" w:hAnsi="Arial"/>
          <w:sz w:val="21"/>
          <w:szCs w:val="21"/>
          <w:color w:val="auto"/>
        </w:rPr>
        <w:t>”), and (v), solely for purposes of Section 4.1 thereof, ABRY Partners VIII, L.P., a Delaware limited partnership, is made and entered into as of December 7, 2020, by an among the Company and the Sponsor Fund. Capitalized terms used in this Amendment and not otherwise defined in this Amendment shall have the meaning ascribed to them in the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of the Agreement, the Agreement may be amended in writing signed by the Company and the Sponsor Fund;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Company and the Sponsor Fund wish to enter into this Amendment.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Agreement is hereby amended as follows:</w:t>
      </w:r>
    </w:p>
    <w:p>
      <w:pPr>
        <w:spacing w:after="0" w:line="220" w:lineRule="exact"/>
        <w:rPr>
          <w:sz w:val="20"/>
          <w:szCs w:val="20"/>
          <w:color w:val="auto"/>
        </w:rPr>
      </w:pPr>
    </w:p>
    <w:p>
      <w:pPr>
        <w:ind w:left="720" w:hanging="388"/>
        <w:spacing w:after="0"/>
        <w:tabs>
          <w:tab w:leader="none" w:pos="72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7.18(a) of the Agreement is hereby amended and restated in its entirety as follows:</w:t>
      </w:r>
    </w:p>
    <w:p>
      <w:pPr>
        <w:spacing w:after="0" w:line="220"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21"/>
          <w:szCs w:val="21"/>
          <w:color w:val="auto"/>
        </w:rPr>
        <w:t xml:space="preserve">“Notwithstanding anything to the contrary contained herein, the Sponsor Fund may assign its rights or obligations, in whole or in part, under this Agreement to any member of the Apollo Group. In the event that any additional member of the Apollo Group (other than any Co-Invest HoldCo) becomes an owner of Company Group Equity Securities, such Person shall, as a condition to acquiring such Company Group Equity Securities, become party to this Agreement and </w:t>
      </w:r>
      <w:r>
        <w:rPr>
          <w:rFonts w:ascii="Arial" w:cs="Arial" w:eastAsia="Arial" w:hAnsi="Arial"/>
          <w:sz w:val="21"/>
          <w:szCs w:val="21"/>
          <w:b w:val="1"/>
          <w:bCs w:val="1"/>
          <w:u w:val="single" w:color="auto"/>
          <w:color w:val="auto"/>
        </w:rPr>
        <w:t>either (i) such Person shall enter into a customary joinder to this Agreement or (ii)</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and restated</w:t>
      </w:r>
      <w:r>
        <w:rPr>
          <w:rFonts w:ascii="Arial" w:cs="Arial" w:eastAsia="Arial" w:hAnsi="Arial"/>
          <w:sz w:val="21"/>
          <w:szCs w:val="21"/>
          <w:b w:val="1"/>
          <w:bCs w:val="1"/>
          <w:u w:val="single" w:color="auto"/>
          <w:color w:val="auto"/>
        </w:rPr>
        <w:t>, in either case,</w:t>
      </w:r>
      <w:r>
        <w:rPr>
          <w:rFonts w:ascii="Arial" w:cs="Arial" w:eastAsia="Arial" w:hAnsi="Arial"/>
          <w:sz w:val="21"/>
          <w:szCs w:val="21"/>
          <w:color w:val="auto"/>
        </w:rPr>
        <w:t xml:space="preserve"> to provide that such Person or a designee of such Person shall have the same rights and obligations of the Sponsor Fund hereunder to the extent of such Person’s ownership of Company Group Equity Securities.”</w:t>
      </w:r>
    </w:p>
    <w:p>
      <w:pPr>
        <w:spacing w:after="0" w:line="210" w:lineRule="exact"/>
        <w:rPr>
          <w:sz w:val="20"/>
          <w:szCs w:val="20"/>
          <w:color w:val="auto"/>
        </w:rPr>
      </w:pPr>
    </w:p>
    <w:p>
      <w:pPr>
        <w:ind w:left="660" w:right="80" w:hanging="328"/>
        <w:spacing w:after="0" w:line="297" w:lineRule="auto"/>
        <w:tabs>
          <w:tab w:leader="none" w:pos="71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Except as modified by this Amendment, all of the terms of the Agreement are hereby ratified and confirmed and shall remain in full force and effect. Nothing in this Amendment shall be construed to modify any provision of the Agreement other than as specifically set forth above. This Amendment shall be construed as one with the Agreement, and the Agreement shall, where the context requires, be read and construed so as to incorporate this Amendment. The terms and provisions of Sections 7.1 (Governing Law), 7.2 (Binding Effect), 7.3 (Amendment),</w:t>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00"/>
        <w:spacing w:after="0" w:line="253" w:lineRule="auto"/>
        <w:rPr>
          <w:sz w:val="20"/>
          <w:szCs w:val="20"/>
          <w:color w:val="auto"/>
        </w:rPr>
      </w:pPr>
      <w:r>
        <w:rPr>
          <w:rFonts w:ascii="Arial" w:cs="Arial" w:eastAsia="Arial" w:hAnsi="Arial"/>
          <w:sz w:val="22"/>
          <w:szCs w:val="22"/>
          <w:color w:val="auto"/>
        </w:rPr>
        <w:t xml:space="preserve">7.5 (Specific Performance), 7.6 (Counterparts), 7.7 (Severability), 7.9 (Submission to Jurisdiction), 7.10 (Waiver), 7.11 (Waiver of Jury Trial), 7.12 (Entire Agreement) and 7.15 (No Recourse) of the Agreement are hereby incorporated into this Amendment and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5"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 follows</w:t>
      </w:r>
      <w:r>
        <w:rPr>
          <w:rFonts w:ascii="Arial" w:cs="Arial" w:eastAsia="Arial" w:hAnsi="Arial"/>
          <w:sz w:val="22"/>
          <w:szCs w:val="22"/>
          <w:color w:val="auto"/>
        </w:rPr>
        <w:t>]</w:t>
      </w:r>
    </w:p>
    <w:p>
      <w:pPr>
        <w:sectPr>
          <w:pgSz w:w="11900" w:h="16838" w:orient="portrait"/>
          <w:cols w:equalWidth="0" w:num="1">
            <w:col w:w="10580"/>
          </w:cols>
          <w:pgMar w:left="980" w:top="132" w:right="339" w:bottom="1440" w:gutter="0" w:footer="0" w:header="0"/>
        </w:sectPr>
      </w:pPr>
    </w:p>
    <w:bookmarkStart w:id="157" w:name="page158"/>
    <w:bookmarkEnd w:id="157"/>
    <w:p>
      <w:pPr>
        <w:ind w:left="1300"/>
        <w:spacing w:after="0"/>
        <w:rPr>
          <w:sz w:val="20"/>
          <w:szCs w:val="20"/>
          <w:color w:val="auto"/>
        </w:rPr>
      </w:pPr>
      <w:r>
        <w:rPr>
          <w:rFonts w:ascii="Arial" w:cs="Arial" w:eastAsia="Arial" w:hAnsi="Arial"/>
          <w:sz w:val="19"/>
          <w:szCs w:val="19"/>
          <w:color w:val="auto"/>
        </w:rPr>
        <w:t>This Amendment is executed by the Company and by the other parties hereto to be effective as of the date first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50" w:lineRule="exact"/>
        <w:rPr>
          <w:sz w:val="20"/>
          <w:szCs w:val="20"/>
          <w:color w:val="auto"/>
        </w:rPr>
      </w:pPr>
    </w:p>
    <w:p>
      <w:pPr>
        <w:ind w:left="6380"/>
        <w:spacing w:after="0"/>
        <w:rPr>
          <w:sz w:val="20"/>
          <w:szCs w:val="20"/>
          <w:color w:val="auto"/>
        </w:rPr>
      </w:pPr>
      <w:r>
        <w:rPr>
          <w:rFonts w:ascii="Arial" w:cs="Arial" w:eastAsia="Arial" w:hAnsi="Arial"/>
          <w:sz w:val="22"/>
          <w:szCs w:val="22"/>
          <w:b w:val="1"/>
          <w:bCs w:val="1"/>
          <w:u w:val="single" w:color="auto"/>
          <w:color w:val="auto"/>
        </w:rPr>
        <w:t>COMPANY</w:t>
      </w:r>
    </w:p>
    <w:p>
      <w:pPr>
        <w:spacing w:after="0" w:line="328" w:lineRule="exact"/>
        <w:rPr>
          <w:sz w:val="20"/>
          <w:szCs w:val="20"/>
          <w:color w:val="auto"/>
        </w:rPr>
      </w:pPr>
    </w:p>
    <w:p>
      <w:pPr>
        <w:ind w:left="6380"/>
        <w:spacing w:after="0"/>
        <w:rPr>
          <w:sz w:val="20"/>
          <w:szCs w:val="20"/>
          <w:color w:val="auto"/>
        </w:rPr>
      </w:pPr>
      <w:r>
        <w:rPr>
          <w:rFonts w:ascii="Arial" w:cs="Arial" w:eastAsia="Arial" w:hAnsi="Arial"/>
          <w:sz w:val="22"/>
          <w:szCs w:val="22"/>
          <w:b w:val="1"/>
          <w:bCs w:val="1"/>
          <w:color w:val="auto"/>
        </w:rPr>
        <w:t>RACKSPACE TECHNOLOGY, INC.</w:t>
      </w:r>
    </w:p>
    <w:p>
      <w:pPr>
        <w:spacing w:after="0" w:line="334"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1"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Name: Stefanie Box</w:t>
      </w:r>
    </w:p>
    <w:p>
      <w:pPr>
        <w:spacing w:after="0" w:line="58"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Title: Vice President, Deputy General Counsel &amp;</w:t>
      </w:r>
    </w:p>
    <w:p>
      <w:pPr>
        <w:spacing w:after="0" w:line="56"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Assistant Corporate Secretary</w:t>
      </w:r>
    </w:p>
    <w:p>
      <w:pPr>
        <w:spacing w:after="0" w:line="304" w:lineRule="exact"/>
        <w:rPr>
          <w:sz w:val="20"/>
          <w:szCs w:val="20"/>
          <w:color w:val="auto"/>
        </w:rPr>
      </w:pPr>
    </w:p>
    <w:p>
      <w:pPr>
        <w:ind w:left="6380"/>
        <w:spacing w:after="0"/>
        <w:rPr>
          <w:sz w:val="20"/>
          <w:szCs w:val="20"/>
          <w:color w:val="auto"/>
        </w:rPr>
      </w:pPr>
      <w:r>
        <w:rPr>
          <w:rFonts w:ascii="Arial" w:cs="Arial" w:eastAsia="Arial" w:hAnsi="Arial"/>
          <w:sz w:val="22"/>
          <w:szCs w:val="22"/>
          <w:b w:val="1"/>
          <w:bCs w:val="1"/>
          <w:u w:val="single" w:color="auto"/>
          <w:color w:val="auto"/>
        </w:rPr>
        <w:t>SPONSOR FUND</w:t>
      </w:r>
    </w:p>
    <w:p>
      <w:pPr>
        <w:spacing w:after="0" w:line="328" w:lineRule="exact"/>
        <w:rPr>
          <w:sz w:val="20"/>
          <w:szCs w:val="20"/>
          <w:color w:val="auto"/>
        </w:rPr>
      </w:pPr>
    </w:p>
    <w:p>
      <w:pPr>
        <w:ind w:left="6380"/>
        <w:spacing w:after="0"/>
        <w:rPr>
          <w:sz w:val="20"/>
          <w:szCs w:val="20"/>
          <w:color w:val="auto"/>
        </w:rPr>
      </w:pPr>
      <w:r>
        <w:rPr>
          <w:rFonts w:ascii="Arial" w:cs="Arial" w:eastAsia="Arial" w:hAnsi="Arial"/>
          <w:sz w:val="22"/>
          <w:szCs w:val="22"/>
          <w:b w:val="1"/>
          <w:bCs w:val="1"/>
          <w:color w:val="auto"/>
        </w:rPr>
        <w:t>AP VIII INCEPTION HOLDINGS, L.P.</w:t>
      </w:r>
    </w:p>
    <w:p>
      <w:pPr>
        <w:spacing w:after="0" w:line="334"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AP VIII Inception Holdings GP, LLC, its general</w:t>
      </w:r>
    </w:p>
    <w:p>
      <w:pPr>
        <w:spacing w:after="0" w:line="56" w:lineRule="exact"/>
        <w:rPr>
          <w:sz w:val="20"/>
          <w:szCs w:val="20"/>
          <w:color w:val="auto"/>
        </w:rPr>
      </w:pPr>
    </w:p>
    <w:p>
      <w:pPr>
        <w:ind w:left="6380"/>
        <w:spacing w:after="0"/>
        <w:tabs>
          <w:tab w:leader="none" w:pos="6920" w:val="left"/>
        </w:tabs>
        <w:rPr>
          <w:sz w:val="20"/>
          <w:szCs w:val="20"/>
          <w:color w:val="auto"/>
        </w:rPr>
      </w:pPr>
      <w:r>
        <w:rPr>
          <w:rFonts w:ascii="Arial" w:cs="Arial" w:eastAsia="Arial" w:hAnsi="Arial"/>
          <w:sz w:val="22"/>
          <w:szCs w:val="22"/>
          <w:color w:val="auto"/>
        </w:rPr>
        <w:t>By:</w:t>
        <w:tab/>
        <w:t>partner</w:t>
      </w:r>
    </w:p>
    <w:p>
      <w:pPr>
        <w:spacing w:after="0" w:line="310"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1"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Name: Laurie Medley</w:t>
      </w:r>
    </w:p>
    <w:p>
      <w:pPr>
        <w:spacing w:after="0" w:line="58"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Amendment to Investor Rights Agreement]</w:t>
      </w:r>
    </w:p>
    <w:p>
      <w:pPr>
        <w:sectPr>
          <w:pgSz w:w="11900" w:h="16838" w:orient="portrait"/>
          <w:cols w:equalWidth="0" w:num="1">
            <w:col w:w="11180"/>
          </w:cols>
          <w:pgMar w:left="320" w:top="1428" w:right="3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SEPARATION AGREEMENT AND RELEASE</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Separation Agreement and Release (“Agreement”) is between Dustin Semach (“Employee” or “You”) and Rackspace US, Inc. (“Rackspace” or the “Company”).</w:t>
      </w:r>
    </w:p>
    <w:p>
      <w:pPr>
        <w:spacing w:after="0" w:line="277"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End of Employment</w:t>
      </w:r>
      <w:r>
        <w:rPr>
          <w:rFonts w:ascii="Arial" w:cs="Arial" w:eastAsia="Arial" w:hAnsi="Arial"/>
          <w:sz w:val="22"/>
          <w:szCs w:val="22"/>
          <w:color w:val="auto"/>
        </w:rPr>
        <w:t>. Your Employment End Date is December 1, 2020.</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p>
    <w:p>
      <w:pPr>
        <w:spacing w:after="0" w:line="219" w:lineRule="exact"/>
        <w:rPr>
          <w:rFonts w:ascii="Arial" w:cs="Arial" w:eastAsia="Arial" w:hAnsi="Arial"/>
          <w:sz w:val="22"/>
          <w:szCs w:val="22"/>
          <w:color w:val="auto"/>
        </w:rPr>
      </w:pPr>
    </w:p>
    <w:p>
      <w:pPr>
        <w:jc w:val="both"/>
        <w:ind w:firstLine="656"/>
        <w:spacing w:after="0" w:line="256" w:lineRule="auto"/>
        <w:tabs>
          <w:tab w:leader="none" w:pos="1054" w:val="left"/>
        </w:tabs>
        <w:numPr>
          <w:ilvl w:val="1"/>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On-Target Bonus Payment for 2020.</w:t>
      </w:r>
      <w:r>
        <w:rPr>
          <w:rFonts w:ascii="Arial" w:cs="Arial" w:eastAsia="Arial" w:hAnsi="Arial"/>
          <w:sz w:val="22"/>
          <w:szCs w:val="22"/>
          <w:b w:val="1"/>
          <w:bCs w:val="1"/>
          <w:color w:val="auto"/>
        </w:rPr>
        <w:t xml:space="preserve"> </w:t>
      </w:r>
      <w:r>
        <w:rPr>
          <w:rFonts w:ascii="Arial" w:cs="Arial" w:eastAsia="Arial" w:hAnsi="Arial"/>
          <w:sz w:val="22"/>
          <w:szCs w:val="22"/>
          <w:color w:val="auto"/>
        </w:rPr>
        <w:t>Rackspace will pay 100% of your on-target bonus for the full 2020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year, less applicable federal and state withholding and other ordinary payroll deductions. This Bonus Payment will be paid in a lump sum when bonuses for 2020 are paid to other similarly situated employees</w:t>
      </w:r>
      <w:r>
        <w:rPr>
          <w:rFonts w:ascii="Arial" w:cs="Arial" w:eastAsia="Arial" w:hAnsi="Arial"/>
          <w:sz w:val="14"/>
          <w:szCs w:val="14"/>
          <w:color w:val="auto"/>
        </w:rPr>
        <w:t>.</w:t>
      </w:r>
    </w:p>
    <w:p>
      <w:pPr>
        <w:spacing w:after="0" w:line="176" w:lineRule="exact"/>
        <w:rPr>
          <w:rFonts w:ascii="Arial" w:cs="Arial" w:eastAsia="Arial" w:hAnsi="Arial"/>
          <w:sz w:val="22"/>
          <w:szCs w:val="22"/>
          <w:color w:val="auto"/>
        </w:rPr>
      </w:pPr>
    </w:p>
    <w:p>
      <w:pPr>
        <w:jc w:val="both"/>
        <w:ind w:firstLine="656"/>
        <w:spacing w:after="0" w:line="349" w:lineRule="auto"/>
        <w:tabs>
          <w:tab w:leader="none" w:pos="1107" w:val="left"/>
        </w:tabs>
        <w:numPr>
          <w:ilvl w:val="1"/>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Severance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Rackspace will pay you $72,116.00, less applicable federal and state withholding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payroll deductions, in a lump sum on the first reasonable payroll period following the Effective Date of this Agreement.</w:t>
      </w:r>
    </w:p>
    <w:p>
      <w:pPr>
        <w:spacing w:after="0" w:line="93" w:lineRule="exact"/>
        <w:rPr>
          <w:rFonts w:ascii="Arial" w:cs="Arial" w:eastAsia="Arial" w:hAnsi="Arial"/>
          <w:sz w:val="19"/>
          <w:szCs w:val="19"/>
          <w:color w:val="auto"/>
        </w:rPr>
      </w:pPr>
    </w:p>
    <w:p>
      <w:pPr>
        <w:jc w:val="both"/>
        <w:ind w:firstLine="656"/>
        <w:spacing w:after="0" w:line="260" w:lineRule="auto"/>
        <w:tabs>
          <w:tab w:leader="none" w:pos="1189" w:val="left"/>
        </w:tabs>
        <w:numPr>
          <w:ilvl w:val="1"/>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Medical Benefit Payment.</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receive a lump sum cash payment amount of $4,700.00, less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withholdings and other ordinary payroll deductions, which is equal to the applicable premium cost for 3 months of continued Company group health coverage, less applicable withholdings and other ordinary payroll deductions, for you and your spouse and dependents (“Family Members”) pursuant to the Consolidated Omnibus Budget Reconciliation Act of 1986, as amended (“COBRA”), based on your elections for health care coverage for you and your Family Members in effect as of immediately prior to the end of your employment (which amount will be based on the premium for the first month of COBRA coverage). The lump sum payment will be made regardless of whether you elect COBRA continuation coverage. If you choose to elect COBRA you must do so within 30 days of your Employment End Date.</w:t>
      </w:r>
    </w:p>
    <w:p>
      <w:pPr>
        <w:spacing w:after="0" w:line="175" w:lineRule="exact"/>
        <w:rPr>
          <w:rFonts w:ascii="Arial" w:cs="Arial" w:eastAsia="Arial" w:hAnsi="Arial"/>
          <w:sz w:val="21"/>
          <w:szCs w:val="21"/>
          <w:color w:val="auto"/>
        </w:rPr>
      </w:pPr>
    </w:p>
    <w:p>
      <w:pPr>
        <w:jc w:val="both"/>
        <w:ind w:firstLine="656"/>
        <w:spacing w:after="0" w:line="256" w:lineRule="auto"/>
        <w:tabs>
          <w:tab w:leader="none" w:pos="1093" w:val="left"/>
        </w:tabs>
        <w:numPr>
          <w:ilvl w:val="1"/>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agrees to modify the terms of your performance-based equity grant under the Management</w:t>
      </w:r>
      <w:r>
        <w:rPr>
          <w:rFonts w:ascii="Arial" w:cs="Arial" w:eastAsia="Arial" w:hAnsi="Arial"/>
          <w:sz w:val="22"/>
          <w:szCs w:val="22"/>
          <w:b w:val="1"/>
          <w:bCs w:val="1"/>
          <w:color w:val="auto"/>
        </w:rPr>
        <w:t xml:space="preserve"> </w:t>
      </w:r>
      <w:r>
        <w:rPr>
          <w:rFonts w:ascii="Arial" w:cs="Arial" w:eastAsia="Arial" w:hAnsi="Arial"/>
          <w:sz w:val="22"/>
          <w:szCs w:val="22"/>
          <w:color w:val="auto"/>
        </w:rPr>
        <w:t>Equity Plan on the terms and conditions set forth in that certain letter agreement attached hereto as Exhibit A and to be executed by the parties on the Effective Date (as defined below).</w:t>
      </w:r>
    </w:p>
    <w:p>
      <w:pPr>
        <w:spacing w:after="0" w:line="176" w:lineRule="exact"/>
        <w:rPr>
          <w:rFonts w:ascii="Arial" w:cs="Arial" w:eastAsia="Arial" w:hAnsi="Arial"/>
          <w:sz w:val="22"/>
          <w:szCs w:val="22"/>
          <w:color w:val="auto"/>
        </w:rPr>
      </w:pPr>
    </w:p>
    <w:p>
      <w:pPr>
        <w:ind w:firstLine="8"/>
        <w:spacing w:after="0" w:line="293" w:lineRule="auto"/>
        <w:tabs>
          <w:tab w:leader="none" w:pos="432"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After the Company pays you the amounts outlined in this Agreement, Rackspace is not obligated to</w:t>
      </w:r>
      <w:r>
        <w:rPr>
          <w:rFonts w:ascii="Arial" w:cs="Arial" w:eastAsia="Arial" w:hAnsi="Arial"/>
          <w:sz w:val="21"/>
          <w:szCs w:val="21"/>
          <w:b w:val="1"/>
          <w:bCs w:val="1"/>
          <w:color w:val="auto"/>
        </w:rPr>
        <w:t xml:space="preserve"> </w:t>
      </w:r>
      <w:r>
        <w:rPr>
          <w:rFonts w:ascii="Arial" w:cs="Arial" w:eastAsia="Arial" w:hAnsi="Arial"/>
          <w:sz w:val="21"/>
          <w:szCs w:val="21"/>
          <w:color w:val="auto"/>
        </w:rPr>
        <w:t>make any additional severance, bonus or wage-related payments to you in any amount or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159" w:name="page160"/>
    <w:bookmarkEnd w:id="159"/>
    <w:p>
      <w:pPr>
        <w:jc w:val="both"/>
        <w:ind w:firstLine="8"/>
        <w:spacing w:after="0" w:line="293" w:lineRule="auto"/>
        <w:tabs>
          <w:tab w:leader="none" w:pos="445"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In exchange for the promises in this Agreement, you agree to irrevocably and unconditionally release all Claims</w:t>
      </w:r>
      <w:r>
        <w:rPr>
          <w:rFonts w:ascii="Arial" w:cs="Arial" w:eastAsia="Arial" w:hAnsi="Arial"/>
          <w:sz w:val="19"/>
          <w:szCs w:val="19"/>
          <w:b w:val="1"/>
          <w:bCs w:val="1"/>
          <w:color w:val="auto"/>
        </w:rPr>
        <w:t xml:space="preserve"> </w:t>
      </w:r>
      <w:r>
        <w:rPr>
          <w:rFonts w:ascii="Arial" w:cs="Arial" w:eastAsia="Arial" w:hAnsi="Arial"/>
          <w:sz w:val="19"/>
          <w:szCs w:val="19"/>
          <w:color w:val="auto"/>
        </w:rPr>
        <w:t>you may now have or that you could have asserted against the Released Parties as set forth in this section. The “Released Parties” are Rackspace US, Inc., Rackspace Hosting, Inc., Datapipe, Inc. and all of their respective affiliates, subsidiaries, related companies, partnerships, or joint ventures, and, with respect to each of them, their predecessors and successors; and with respect to each entity, all of its past and present employees, officers, directors, fiduciaries, agents, administrators, stockholders, owners, investors, and representatives, assigns, attorneys, agents, both in their individual and corporate capacities, and any other persons acting by, through, under or in concert with any of the persons or entities listed in this subsection.</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You understand and agree that you are waiving and releasing all claims against the Released Parties, of any known and unknown claims, promises, causes of action, including but not limited to breach of contract, conversion, invasion of privacy, intentional infliction of emotional distress, promissory estoppel, equitable estoppel, assault, battery, defamation, disparagement, negligence, fraud, torts, and any and all similar rights of any type (“Released Claims” or “Claim(s)”) that you may have against any Released Party. You further understand that the Claims that you are releasing may arise under many different laws (including statutes, regulations, other administrative guidance, and common law doctrines), including, but not limited to: </w:t>
      </w:r>
      <w:r>
        <w:rPr>
          <w:rFonts w:ascii="Arial" w:cs="Arial" w:eastAsia="Arial" w:hAnsi="Arial"/>
          <w:sz w:val="19"/>
          <w:szCs w:val="19"/>
          <w:b w:val="1"/>
          <w:bCs w:val="1"/>
          <w:i w:val="1"/>
          <w:iCs w:val="1"/>
          <w:color w:val="auto"/>
        </w:rPr>
        <w:t>the Age Discrimination in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Employment Act; the Older Workers Benefit Protection Act</w:t>
      </w:r>
      <w:r>
        <w:rPr>
          <w:rFonts w:ascii="Arial" w:cs="Arial" w:eastAsia="Arial" w:hAnsi="Arial"/>
          <w:sz w:val="19"/>
          <w:szCs w:val="19"/>
          <w:color w:val="auto"/>
        </w:rPr>
        <w:t>; Title VII of the Civil Rights Act; Section 1981 of the Civil Rights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 Executive Order 11246; the Equal Pay Act; Lilly Ledbetter Fair Pay Act; the Americans with Disabilities Act, as amended, Section 503 and 504 of the Rehabilitation Act; the Genetic Information Nondiscrimination Act; the Texas Workers’ Compensation Act; Chapter 21 of the Texas Labor Code; the WARN Act; the Employee Retirement Income Security Act; the Fair Labor Standards Act; the National Labor Relations Act; the Family and Medical Leave Act; the Uniformed Services Employment and Reemployment Rights Act; the Defend Trade Secrets Act; any federal, state, or local laws restricting an employer’s right to terminate employees, or otherwise regulating employment; any federal, state, or local law enforcing express or implied employment contracts or requiring an employer to deal with employees fairly or in good faith; Claims for physical or personal injury (including, but not limited to, Claims based on the negligence of the Released Parties), wrongful discharge, intentional infliction of emotional distress, fraud, fraud in the inducement, negligent misrepresentation, negligent infliction of emotional distress, defamation, invasion of privacy, conversion, theft, interference with contract or with prospective economic advantage, negligent investigation, claims for wages, severance, bonus, salary, commission and/or benefits, breach of express or implied contract, and breach of covenants of good faith and fair dealing, and similar or related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60" w:name="page161"/>
    <w:bookmarkEnd w:id="160"/>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u w:val="single" w:color="auto"/>
          <w:color w:val="auto"/>
        </w:rPr>
        <w:t>PLEASE NOTE THAT THIS RELEASE INCLUDES A RELEASE OF CLAIMS FOR NEGLIGENCE AND GROSS NEGLIGENCE. THIS DOCUMENT IS INTENDED TO BE A COMPLETE RELEASE OF ALL CLAIMS.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You understand that you are releasing Claims that you may not know about. You affirm that this is your knowing and voluntary intent, even though you recognize that someday you might learn that some of all of the facts you currently believe to be true are untrue, and even though you might then regret having signed this Release. Nevertheless, you are assuming that risk, and you agree that this Release will remain effective in all respects in any such case. You expressly waive all rights you might have under any law that is intended to protect you from waiving unknown Claims. You understand the significance of doing so.</w:t>
      </w:r>
    </w:p>
    <w:p>
      <w:pPr>
        <w:spacing w:after="0" w:line="14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auto"/>
        </w:rPr>
        <w:t>Right to File Charge</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Agreement should be construed as precluding or preventing you from filing a charge with</w:t>
      </w:r>
      <w:r>
        <w:rPr>
          <w:rFonts w:ascii="Arial" w:cs="Arial" w:eastAsia="Arial" w:hAnsi="Arial"/>
          <w:sz w:val="22"/>
          <w:szCs w:val="22"/>
          <w:b w:val="1"/>
          <w:bCs w:val="1"/>
          <w:color w:val="auto"/>
        </w:rPr>
        <w:t xml:space="preserve"> </w:t>
      </w:r>
      <w:r>
        <w:rPr>
          <w:rFonts w:ascii="Arial" w:cs="Arial" w:eastAsia="Arial" w:hAnsi="Arial"/>
          <w:sz w:val="22"/>
          <w:szCs w:val="22"/>
          <w:color w:val="auto"/>
        </w:rPr>
        <w:t>any governmental agency or assisting any governmental agency in the investigation into any allegations of discrimination or retaliation against the Company.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Future Claims;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does not release any claims or causes of action that accrue or arise after the date you</w:t>
      </w:r>
      <w:r>
        <w:rPr>
          <w:rFonts w:ascii="Arial" w:cs="Arial" w:eastAsia="Arial" w:hAnsi="Arial"/>
          <w:sz w:val="22"/>
          <w:szCs w:val="22"/>
          <w:b w:val="1"/>
          <w:bCs w:val="1"/>
          <w:color w:val="auto"/>
        </w:rPr>
        <w:t xml:space="preserve"> </w:t>
      </w:r>
      <w:r>
        <w:rPr>
          <w:rFonts w:ascii="Arial" w:cs="Arial" w:eastAsia="Arial" w:hAnsi="Arial"/>
          <w:sz w:val="22"/>
          <w:szCs w:val="22"/>
          <w:color w:val="auto"/>
        </w:rPr>
        <w:t>sign this Agreement. You are advised to review this Agreement with an attorney, at your expense, concerning its effect prior to signing it.</w:t>
      </w:r>
    </w:p>
    <w:p>
      <w:pPr>
        <w:spacing w:after="0" w:line="176"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Company Property.</w:t>
      </w:r>
    </w:p>
    <w:p>
      <w:pPr>
        <w:spacing w:after="0" w:line="225" w:lineRule="exact"/>
        <w:rPr>
          <w:rFonts w:ascii="Arial" w:cs="Arial" w:eastAsia="Arial" w:hAnsi="Arial"/>
          <w:sz w:val="22"/>
          <w:szCs w:val="22"/>
          <w:color w:val="auto"/>
        </w:rPr>
      </w:pPr>
    </w:p>
    <w:p>
      <w:pPr>
        <w:jc w:val="both"/>
        <w:ind w:firstLine="656"/>
        <w:spacing w:after="0" w:line="263" w:lineRule="auto"/>
        <w:tabs>
          <w:tab w:leader="none" w:pos="1062" w:val="left"/>
        </w:tabs>
        <w:numPr>
          <w:ilvl w:val="1"/>
          <w:numId w:val="75"/>
        </w:numPr>
        <w:rPr>
          <w:rFonts w:ascii="Arial" w:cs="Arial" w:eastAsia="Arial" w:hAnsi="Arial"/>
          <w:sz w:val="21"/>
          <w:szCs w:val="21"/>
          <w:color w:val="auto"/>
        </w:rPr>
      </w:pPr>
      <w:r>
        <w:rPr>
          <w:rFonts w:ascii="Arial" w:cs="Arial" w:eastAsia="Arial" w:hAnsi="Arial"/>
          <w:sz w:val="21"/>
          <w:szCs w:val="21"/>
          <w:color w:val="auto"/>
        </w:rPr>
        <w:t>You will not, directly or indirectly, for your own benefit or for the benefit of another, reveal, use or disclose to any other person, firm, corporation, or other party or make, directly or indirectly, any commercial or other use of any information not publicly known about Rackspace or its prospects, services, suppliers, products, customers, finances, data processing, purchasing, accounting or marketing systems, whether current or in development such information being privileged, confidential business and/or trade secret information of Rackspace (“Confidential Information”).</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06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As a result of your employment by Rackspace, you may have had access to, or knowledge of, confidential business information or trade secrets of third parties. You also agree to preserve and protect the confidentiality of such third-party confidential information and trade secrets to the same extent, and on the same basis, as the privileged confidential business and/or trade secret information of Rackspace.</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024" w:val="left"/>
        </w:tabs>
        <w:numPr>
          <w:ilvl w:val="1"/>
          <w:numId w:val="75"/>
        </w:numPr>
        <w:rPr>
          <w:rFonts w:ascii="Arial" w:cs="Arial" w:eastAsia="Arial" w:hAnsi="Arial"/>
          <w:sz w:val="22"/>
          <w:szCs w:val="22"/>
          <w:color w:val="auto"/>
        </w:rPr>
      </w:pPr>
      <w:r>
        <w:rPr>
          <w:rFonts w:ascii="Arial" w:cs="Arial" w:eastAsia="Arial" w:hAnsi="Arial"/>
          <w:sz w:val="22"/>
          <w:szCs w:val="22"/>
          <w:color w:val="auto"/>
        </w:rPr>
        <w:t>All written materials, records, and other documents made by, or coming into the possession of, you during the period of your employment by Rackspace which contain or disclose privileged, confidential business and/or trade secret information will be and remain the property of Rackspace. Upon termination of your employment with Rackspace, you will promptly deliver the same, and all copies thereof, to Rackspace.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61" w:name="page162"/>
    <w:bookmarkEnd w:id="161"/>
    <w:p>
      <w:pPr>
        <w:jc w:val="both"/>
        <w:ind w:firstLine="656"/>
        <w:spacing w:after="0" w:line="294" w:lineRule="auto"/>
        <w:tabs>
          <w:tab w:leader="none" w:pos="1097" w:val="left"/>
        </w:tabs>
        <w:numPr>
          <w:ilvl w:val="1"/>
          <w:numId w:val="76"/>
        </w:numPr>
        <w:rPr>
          <w:rFonts w:ascii="Arial" w:cs="Arial" w:eastAsia="Arial" w:hAnsi="Arial"/>
          <w:sz w:val="19"/>
          <w:szCs w:val="19"/>
          <w:color w:val="auto"/>
        </w:rPr>
      </w:pPr>
      <w:r>
        <w:rPr>
          <w:rFonts w:ascii="Arial" w:cs="Arial" w:eastAsia="Arial" w:hAnsi="Arial"/>
          <w:sz w:val="19"/>
          <w:szCs w:val="19"/>
          <w:color w:val="auto"/>
        </w:rPr>
        <w:t>On or before the Employment End Date, you will return to Company all property belonging to Company that you possess or possessed but provided to a third party, including but not limited to, all equipment or other materials and all originals and copies of Company documents, files, memoranda, notes, computer-readable information (maintained on a removable drive, home computer, or in any other form) and video or tape recordings of any kind other than personal materials relating solely to you. You warrant and represent that you have not retained, distributed or caused to be distributed, and will not retain, distribute or cause to be distributed, any original or duplicates of any such Company property specified in this section.</w:t>
      </w:r>
    </w:p>
    <w:p>
      <w:pPr>
        <w:spacing w:after="0" w:line="143" w:lineRule="exact"/>
        <w:rPr>
          <w:rFonts w:ascii="Arial" w:cs="Arial" w:eastAsia="Arial" w:hAnsi="Arial"/>
          <w:sz w:val="19"/>
          <w:szCs w:val="19"/>
          <w:color w:val="auto"/>
        </w:rPr>
      </w:pPr>
    </w:p>
    <w:p>
      <w:pPr>
        <w:jc w:val="both"/>
        <w:ind w:firstLine="8"/>
        <w:spacing w:after="0" w:line="295" w:lineRule="auto"/>
        <w:tabs>
          <w:tab w:leader="none" w:pos="526"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 You agree to reasonably cooperate in the defense or prosecution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investigations, or other actions which relate to events or occurrences during employment. You agree, unless precluded by law, to promptly inform the Company if you are asked to participate (or otherwise become involved) in any such claim, investigation or action. Your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143" w:lineRule="exact"/>
        <w:rPr>
          <w:rFonts w:ascii="Arial" w:cs="Arial" w:eastAsia="Arial" w:hAnsi="Arial"/>
          <w:sz w:val="19"/>
          <w:szCs w:val="19"/>
          <w:color w:val="auto"/>
        </w:rPr>
      </w:pPr>
    </w:p>
    <w:p>
      <w:pPr>
        <w:jc w:val="both"/>
        <w:ind w:firstLine="8"/>
        <w:spacing w:after="0" w:line="261" w:lineRule="auto"/>
        <w:tabs>
          <w:tab w:leader="none" w:pos="540" w:val="left"/>
        </w:tabs>
        <w:numPr>
          <w:ilvl w:val="0"/>
          <w:numId w:val="77"/>
        </w:numPr>
        <w:rPr>
          <w:rFonts w:ascii="Arial" w:cs="Arial" w:eastAsia="Arial" w:hAnsi="Arial"/>
          <w:sz w:val="21"/>
          <w:szCs w:val="2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will not, directly or indirectly, make false, misleading or disparaging statements or</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representations, or statements or representations that could be interpreted as such, whether written or oral, regarding the other Party, including untrue statements. However, this prohibition should not be construed as preventing a Party from complying with any legal subpoena or communicating with any governmental agency when required by law. The non-disparagement obligation of Rackspace is limited to its Investor Relations and Executive Leadership Team (ELT). The Investor Relations team and ELT shall not make any statement related to personal matters, family members, or the reasons for your departure from the Company other than disclosures that are required by law.</w:t>
      </w:r>
    </w:p>
    <w:p>
      <w:pPr>
        <w:spacing w:after="0" w:line="173" w:lineRule="exact"/>
        <w:rPr>
          <w:rFonts w:ascii="Arial" w:cs="Arial" w:eastAsia="Arial" w:hAnsi="Arial"/>
          <w:sz w:val="21"/>
          <w:szCs w:val="21"/>
          <w:color w:val="auto"/>
        </w:rPr>
      </w:pPr>
    </w:p>
    <w:p>
      <w:pPr>
        <w:jc w:val="both"/>
        <w:ind w:firstLine="8"/>
        <w:spacing w:after="0" w:line="252" w:lineRule="auto"/>
        <w:tabs>
          <w:tab w:leader="none" w:pos="567"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Non-Hire of Company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To further preserve the Confidential Information, for twelve (12) months after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ends, you will not, directly or indirectly, (i) hire or engage any current employee of Company; (ii) solicit or encourage any employee to terminate employment or services with Company; or (iii) solicit or encourage any employee to accept employment with or provide services to you or any business associated with you.</w:t>
      </w:r>
    </w:p>
    <w:p>
      <w:pPr>
        <w:spacing w:after="0" w:line="179" w:lineRule="exact"/>
        <w:rPr>
          <w:rFonts w:ascii="Arial" w:cs="Arial" w:eastAsia="Arial" w:hAnsi="Arial"/>
          <w:sz w:val="22"/>
          <w:szCs w:val="22"/>
          <w:color w:val="auto"/>
        </w:rPr>
      </w:pPr>
    </w:p>
    <w:p>
      <w:pPr>
        <w:jc w:val="both"/>
        <w:ind w:firstLine="8"/>
        <w:spacing w:after="0" w:line="298" w:lineRule="auto"/>
        <w:tabs>
          <w:tab w:leader="none" w:pos="445"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 of Customers and Suppliers</w:t>
      </w:r>
      <w:r>
        <w:rPr>
          <w:rFonts w:ascii="Arial" w:cs="Arial" w:eastAsia="Arial" w:hAnsi="Arial"/>
          <w:sz w:val="19"/>
          <w:szCs w:val="19"/>
          <w:b w:val="1"/>
          <w:bCs w:val="1"/>
          <w:color w:val="auto"/>
        </w:rPr>
        <w:t xml:space="preserve">. </w:t>
      </w:r>
      <w:r>
        <w:rPr>
          <w:rFonts w:ascii="Arial" w:cs="Arial" w:eastAsia="Arial" w:hAnsi="Arial"/>
          <w:sz w:val="19"/>
          <w:szCs w:val="19"/>
          <w:color w:val="auto"/>
        </w:rPr>
        <w:t>To further preserve the Confidential Information, for twelve (12) months</w:t>
      </w:r>
      <w:r>
        <w:rPr>
          <w:rFonts w:ascii="Arial" w:cs="Arial" w:eastAsia="Arial" w:hAnsi="Arial"/>
          <w:sz w:val="19"/>
          <w:szCs w:val="19"/>
          <w:b w:val="1"/>
          <w:bCs w:val="1"/>
          <w:color w:val="auto"/>
        </w:rPr>
        <w:t xml:space="preserve"> </w:t>
      </w:r>
      <w:r>
        <w:rPr>
          <w:rFonts w:ascii="Arial" w:cs="Arial" w:eastAsia="Arial" w:hAnsi="Arial"/>
          <w:sz w:val="19"/>
          <w:szCs w:val="19"/>
          <w:color w:val="auto"/>
        </w:rPr>
        <w:t>after employment ends, you agree not to directly or indirectly, on your own behalf or on behalf of any other person or entity, recruit or otherwise solicit or induce any customer or supplier of the Company, to terminate its employment or arrangement with the Company, otherwise change its relationship with the Company or establish any relationship with you or any of your affiliates for any business purpose deemed competitive with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62" w:name="page163"/>
    <w:bookmarkEnd w:id="162"/>
    <w:p>
      <w:pPr>
        <w:jc w:val="both"/>
        <w:ind w:firstLine="8"/>
        <w:spacing w:after="0" w:line="286" w:lineRule="auto"/>
        <w:tabs>
          <w:tab w:leader="none" w:pos="486" w:val="left"/>
        </w:tabs>
        <w:numPr>
          <w:ilvl w:val="0"/>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further preserve the Confidential Information, you agree that during employment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twelve (12) months after employment ends (the “Restricted Period”), you will not work, as an employee, contractor, officer, owner, consultant, or director, in any business anywhere in the world that sells managed, dedicated or cloud computing services </w:t>
      </w:r>
      <w:r>
        <w:rPr>
          <w:rFonts w:ascii="Arial" w:cs="Arial" w:eastAsia="Arial" w:hAnsi="Arial"/>
          <w:sz w:val="19"/>
          <w:szCs w:val="19"/>
          <w:u w:val="single" w:color="auto"/>
          <w:color w:val="auto"/>
        </w:rPr>
        <w:t>substantially similar to those services provided by the Company</w:t>
      </w:r>
      <w:r>
        <w:rPr>
          <w:rFonts w:ascii="Arial" w:cs="Arial" w:eastAsia="Arial" w:hAnsi="Arial"/>
          <w:sz w:val="19"/>
          <w:szCs w:val="19"/>
          <w:color w:val="auto"/>
        </w:rPr>
        <w:t>, including but not limited to (i) professional advisory services for the migration, deployment or management of cloud technologies; (ii) provisioning, hosting, management, monitoring, supporting, or maintenance of applications, computer servers (whether dedicated, shared or virtual) and network connectivity in a datacenter for remote use via the Internet; (iii) hosted or managed email, storage, collaboration, compute, virtual networking, applications, and similar services, or (iv) any related IT services or products substantially similar to the Company’s products or services, all of the foregoing being defined for the purposes of this Agreement as “Competitive IT Services.” Notwithstanding the foregoing, you shall be permitted to acquire a passive stock or equity interest in such a business, provided that the stock or other equity interest acquired is not more than two percent (2%) of the outstanding interest in such business. Provided, that the forgoing restriction shall not prevent you from becoming an employee of or contractor for a division of any Competitive IT Services company so long as the division for which you will work does not provide Competitive IT Services, and as long as you do not, during the Restricted Period, perform services (including but not limited to providing information, advice, strategy, recruiting or any other interaction with regard to business matters) for any division of such company that provides Competitive IT Services.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Restricted Period outlined above will be tolled and will not run during any such time that you are in breach of this Agreement or in violation of any of the covenants contained in this agreement, and once tolled will not begin to run again until such time as all violations have ceased.</w:t>
      </w:r>
    </w:p>
    <w:p>
      <w:pPr>
        <w:spacing w:after="0" w:line="29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You recognize that the restrictions in this section may substantially limit your future flexibility in many ways. You acknowledge you have received adequate consideration for the promises and restrictions set forth in this agreement. You agree to waive any objection to the validity of these restrictions and acknowledge that these limited prohibitions are reasonable as to time, geographical area and scope of activities to be restrained and that these limited prohibitions do not impose a greater restraint than is necessary to protect Rackspace’s goodwill, proprietary information and other business interests. You further agree that any breach of these covenants will result in irreparable damage and injury to Rackspace and that Rackspace will be entitled to injunctive relief in any court of competent jurisdiction without the necessity of posting any bond.</w:t>
      </w:r>
    </w:p>
    <w:p>
      <w:pPr>
        <w:spacing w:after="0" w:line="253" w:lineRule="exact"/>
        <w:rPr>
          <w:sz w:val="20"/>
          <w:szCs w:val="20"/>
          <w:color w:val="auto"/>
        </w:rPr>
      </w:pPr>
    </w:p>
    <w:p>
      <w:pPr>
        <w:jc w:val="both"/>
        <w:ind w:firstLine="8"/>
        <w:spacing w:after="0" w:line="252" w:lineRule="auto"/>
        <w:tabs>
          <w:tab w:leader="none" w:pos="572"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provided below, you and Rackspace agree to maintain in confidence both the existence and</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Rackspace may disclose the terms of this Agreement consistent with business necessity. You may disclose the existence and terms of this Agreement to your spouse or domestic partner and with your legal and or financial advisors or as otherwise required by law or governmental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163" w:name="page164"/>
    <w:bookmarkEnd w:id="163"/>
    <w:p>
      <w:pPr>
        <w:jc w:val="both"/>
        <w:ind w:firstLine="8"/>
        <w:spacing w:after="0" w:line="259" w:lineRule="auto"/>
        <w:tabs>
          <w:tab w:leader="none" w:pos="567" w:val="left"/>
        </w:tabs>
        <w:numPr>
          <w:ilvl w:val="0"/>
          <w:numId w:val="80"/>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intended to comply with, or otherwise be exempt from, Section 409A of the Internal</w:t>
      </w:r>
      <w:r>
        <w:rPr>
          <w:rFonts w:ascii="Arial" w:cs="Arial" w:eastAsia="Arial" w:hAnsi="Arial"/>
          <w:sz w:val="21"/>
          <w:szCs w:val="21"/>
          <w:b w:val="1"/>
          <w:bCs w:val="1"/>
          <w:color w:val="auto"/>
        </w:rPr>
        <w:t xml:space="preserve"> </w:t>
      </w:r>
      <w:r>
        <w:rPr>
          <w:rFonts w:ascii="Arial" w:cs="Arial" w:eastAsia="Arial" w:hAnsi="Arial"/>
          <w:sz w:val="21"/>
          <w:szCs w:val="21"/>
          <w:color w:val="auto"/>
        </w:rPr>
        <w:t>Revenue Code (“Code”). To the extent that any provision in this Agreement is ambiguous as to its compliance with Section 409A of the Code, the provision will be read in such a manner so that no payments due under this Agreement will be subject to an “additional tax” as defined in Section 409(a)(1)(B) of the Code. If the Company determines in good faith that any provision of this Agreement would cause you to incur an additional tax, penalty, or interest under Section 409A of the Code, you and the Company will use reasonable efforts to reform such provision, if possible, in a mutually agreeable fashion to maintain to the maximum extent practicable the original intent of the applicable provision without violating the provisions of Section 409A of the Code or causing the imposition of such additional tax, penalty, or interest under Section 409A of the Code. The preceding provisions, however, will not be construed as a guarantee by the Company of any particular tax effect to you under this Agreement.</w:t>
      </w:r>
    </w:p>
    <w:p>
      <w:pPr>
        <w:spacing w:after="0" w:line="175" w:lineRule="exact"/>
        <w:rPr>
          <w:rFonts w:ascii="Arial" w:cs="Arial" w:eastAsia="Arial" w:hAnsi="Arial"/>
          <w:sz w:val="21"/>
          <w:szCs w:val="21"/>
          <w:color w:val="auto"/>
        </w:rPr>
      </w:pPr>
    </w:p>
    <w:p>
      <w:pPr>
        <w:jc w:val="both"/>
        <w:ind w:firstLine="8"/>
        <w:spacing w:after="0" w:line="315" w:lineRule="auto"/>
        <w:tabs>
          <w:tab w:leader="none" w:pos="526"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and agree that you are solely responsible for the tax consequences to you of any</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conferred on you, or any payments made to you or on your behalf, under the terms of this Agreement. Rackspace has not made any representations to you concerning any possible tax consequences of any payments made pursuant to this Agreement.</w:t>
      </w:r>
    </w:p>
    <w:p>
      <w:pPr>
        <w:spacing w:after="0" w:line="125" w:lineRule="exact"/>
        <w:rPr>
          <w:rFonts w:ascii="Arial" w:cs="Arial" w:eastAsia="Arial" w:hAnsi="Arial"/>
          <w:sz w:val="19"/>
          <w:szCs w:val="19"/>
          <w:color w:val="auto"/>
        </w:rPr>
      </w:pPr>
    </w:p>
    <w:p>
      <w:pPr>
        <w:jc w:val="both"/>
        <w:ind w:firstLine="8"/>
        <w:spacing w:after="0" w:line="252" w:lineRule="auto"/>
        <w:tabs>
          <w:tab w:leader="none" w:pos="58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represents the entire agreement by and between the parties and there are no other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or understandings related to the subject matter herein other than your equity grant agreement(s), if any, which survive the end of your employment and continue in effect. This Agreement may not be changed except by written agreement signed by the parties.</w:t>
      </w:r>
    </w:p>
    <w:p>
      <w:pPr>
        <w:spacing w:after="0" w:line="179" w:lineRule="exact"/>
        <w:rPr>
          <w:rFonts w:ascii="Arial" w:cs="Arial" w:eastAsia="Arial" w:hAnsi="Arial"/>
          <w:sz w:val="22"/>
          <w:szCs w:val="22"/>
          <w:color w:val="auto"/>
        </w:rPr>
      </w:pPr>
    </w:p>
    <w:p>
      <w:pPr>
        <w:ind w:firstLine="8"/>
        <w:spacing w:after="0" w:line="349" w:lineRule="auto"/>
        <w:tabs>
          <w:tab w:leader="none" w:pos="513"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Heirs, Successors and Assigns</w:t>
      </w:r>
      <w:r>
        <w:rPr>
          <w:rFonts w:ascii="Arial" w:cs="Arial" w:eastAsia="Arial" w:hAnsi="Arial"/>
          <w:sz w:val="19"/>
          <w:szCs w:val="19"/>
          <w:color w:val="auto"/>
        </w:rPr>
        <w:t>. Except as herein expressly provided, the terms and provisions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will inure to the benefit of and be binding upon the heirs, successors, assigns and legal representatives of the parties.</w:t>
      </w:r>
    </w:p>
    <w:p>
      <w:pPr>
        <w:spacing w:after="0" w:line="93" w:lineRule="exact"/>
        <w:rPr>
          <w:rFonts w:ascii="Arial" w:cs="Arial" w:eastAsia="Arial" w:hAnsi="Arial"/>
          <w:sz w:val="19"/>
          <w:szCs w:val="19"/>
          <w:color w:val="auto"/>
        </w:rPr>
      </w:pPr>
    </w:p>
    <w:p>
      <w:pPr>
        <w:jc w:val="both"/>
        <w:ind w:firstLine="8"/>
        <w:spacing w:after="0" w:line="259" w:lineRule="auto"/>
        <w:tabs>
          <w:tab w:leader="none" w:pos="594" w:val="left"/>
        </w:tabs>
        <w:numPr>
          <w:ilvl w:val="0"/>
          <w:numId w:val="80"/>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All claims and matters in question arising out of this Agreement or the relationship between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sounding in contract, tort, a statutory cause of action or otherwise, will be resolved by binding arbitration pursuant to the Federal Arbitration Act. Either Party, however, may bring an action in any court of competent jurisdiction to compel arbitration under this Agreement; enforce or vacate an arbitration award; or seek injunctive relief. This arbitration will be administered by the American Arbitration Association (“AAA”) in accordance with the National Rules for Resolution of Employment Disputes of the American Arbitration Association (“National Rules”) in effect at the time the dispute arose. There will be one arbitrator selected pursuant to the National Rules, unless the Parties agree on a different arbitration service. The arbitrator will issue a reasoned award within six (6) months of the filing of the arbitration notice. The Company will pay for your initial filing fee to the extent that it is more than a court filing.</w:t>
      </w:r>
    </w:p>
    <w:p>
      <w:pPr>
        <w:spacing w:after="0" w:line="179" w:lineRule="exact"/>
        <w:rPr>
          <w:rFonts w:ascii="Arial" w:cs="Arial" w:eastAsia="Arial" w:hAnsi="Arial"/>
          <w:sz w:val="21"/>
          <w:szCs w:val="21"/>
          <w:color w:val="auto"/>
        </w:rPr>
      </w:pPr>
    </w:p>
    <w:p>
      <w:pPr>
        <w:ind w:firstLine="8"/>
        <w:spacing w:after="0" w:line="269" w:lineRule="auto"/>
        <w:tabs>
          <w:tab w:leader="none" w:pos="567"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Jurisdiction</w:t>
      </w:r>
      <w:r>
        <w:rPr>
          <w:rFonts w:ascii="Arial" w:cs="Arial" w:eastAsia="Arial" w:hAnsi="Arial"/>
          <w:sz w:val="22"/>
          <w:szCs w:val="22"/>
          <w:color w:val="auto"/>
        </w:rPr>
        <w:t>. The substantive laws of Texas govern this Agreement, and exclusive venue for any dispute will be Bexar</w:t>
      </w:r>
      <w:r>
        <w:rPr>
          <w:rFonts w:ascii="Arial" w:cs="Arial" w:eastAsia="Arial" w:hAnsi="Arial"/>
          <w:sz w:val="22"/>
          <w:szCs w:val="22"/>
          <w:b w:val="1"/>
          <w:bCs w:val="1"/>
          <w:color w:val="auto"/>
        </w:rPr>
        <w:t xml:space="preserve"> </w:t>
      </w:r>
      <w:r>
        <w:rPr>
          <w:rFonts w:ascii="Arial" w:cs="Arial" w:eastAsia="Arial" w:hAnsi="Arial"/>
          <w:sz w:val="22"/>
          <w:szCs w:val="22"/>
          <w:color w:val="auto"/>
        </w:rPr>
        <w:t>County, Texas or in San Antonio,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164" w:name="page165"/>
    <w:bookmarkEnd w:id="164"/>
    <w:p>
      <w:pPr>
        <w:ind w:firstLine="8"/>
        <w:spacing w:after="0" w:line="269" w:lineRule="auto"/>
        <w:tabs>
          <w:tab w:leader="none" w:pos="648"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The headings in this Agreement were used for administrative convenience only and will not be used in</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interpreting or construing the meaning of any provision.</w:t>
      </w:r>
    </w:p>
    <w:p>
      <w:pPr>
        <w:spacing w:after="0" w:line="161" w:lineRule="exact"/>
        <w:rPr>
          <w:rFonts w:ascii="Arial" w:cs="Arial" w:eastAsia="Arial" w:hAnsi="Arial"/>
          <w:sz w:val="22"/>
          <w:szCs w:val="22"/>
          <w:color w:val="auto"/>
        </w:rPr>
      </w:pPr>
    </w:p>
    <w:p>
      <w:pPr>
        <w:jc w:val="both"/>
        <w:ind w:firstLine="8"/>
        <w:spacing w:after="0" w:line="252" w:lineRule="auto"/>
        <w:tabs>
          <w:tab w:leader="none" w:pos="513"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Invalid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Agreement is or may be held by a court of competent jurisdiction to be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void, or unenforceable to any extent, the validity of the remaining parts, terms or provision of this Agreement will not be affected thereby, and such illegal or invalid part, term, or provision will be deemed not to be part of this Agreement. The remaining provisions will nevertheless survive and continue in full force and effect.</w:t>
      </w:r>
    </w:p>
    <w:p>
      <w:pPr>
        <w:spacing w:after="0" w:line="179" w:lineRule="exact"/>
        <w:rPr>
          <w:rFonts w:ascii="Arial" w:cs="Arial" w:eastAsia="Arial" w:hAnsi="Arial"/>
          <w:sz w:val="22"/>
          <w:szCs w:val="22"/>
          <w:color w:val="auto"/>
        </w:rPr>
      </w:pPr>
    </w:p>
    <w:p>
      <w:pPr>
        <w:jc w:val="both"/>
        <w:ind w:firstLine="8"/>
        <w:spacing w:after="0" w:line="315" w:lineRule="auto"/>
        <w:tabs>
          <w:tab w:leader="none" w:pos="499" w:val="left"/>
        </w:tabs>
        <w:numPr>
          <w:ilvl w:val="0"/>
          <w:numId w:val="81"/>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This Agreement will be construed as a whole according to its fair meaning. It will not be construed strictly</w:t>
      </w:r>
      <w:r>
        <w:rPr>
          <w:rFonts w:ascii="Arial" w:cs="Arial" w:eastAsia="Arial" w:hAnsi="Arial"/>
          <w:sz w:val="19"/>
          <w:szCs w:val="19"/>
          <w:b w:val="1"/>
          <w:bCs w:val="1"/>
          <w:color w:val="auto"/>
        </w:rPr>
        <w:t xml:space="preserve"> </w:t>
      </w:r>
      <w:r>
        <w:rPr>
          <w:rFonts w:ascii="Arial" w:cs="Arial" w:eastAsia="Arial" w:hAnsi="Arial"/>
          <w:sz w:val="19"/>
          <w:szCs w:val="19"/>
          <w:color w:val="auto"/>
        </w:rPr>
        <w:t>for or against you. Unless the context indicates otherwise, the singular or plural number will be deemed to include the other. Captions are intended solely for the convenience of reference and will not be used in the interpretation of this Agreement.</w:t>
      </w:r>
    </w:p>
    <w:p>
      <w:pPr>
        <w:spacing w:after="0" w:line="125" w:lineRule="exact"/>
        <w:rPr>
          <w:rFonts w:ascii="Arial" w:cs="Arial" w:eastAsia="Arial" w:hAnsi="Arial"/>
          <w:sz w:val="19"/>
          <w:szCs w:val="19"/>
          <w:color w:val="auto"/>
        </w:rPr>
      </w:pPr>
    </w:p>
    <w:p>
      <w:pPr>
        <w:ind w:firstLine="8"/>
        <w:spacing w:after="0" w:line="269" w:lineRule="auto"/>
        <w:tabs>
          <w:tab w:leader="none" w:pos="540"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a number of identical counterparts, each of which for all purposes is</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and all of which constitute collectively one Agreement.</w:t>
      </w:r>
    </w:p>
    <w:p>
      <w:pPr>
        <w:spacing w:after="0" w:line="161" w:lineRule="exact"/>
        <w:rPr>
          <w:rFonts w:ascii="Arial" w:cs="Arial" w:eastAsia="Arial" w:hAnsi="Arial"/>
          <w:sz w:val="22"/>
          <w:szCs w:val="22"/>
          <w:color w:val="auto"/>
        </w:rPr>
      </w:pPr>
    </w:p>
    <w:p>
      <w:pPr>
        <w:ind w:firstLine="8"/>
        <w:spacing w:after="0" w:line="269" w:lineRule="auto"/>
        <w:tabs>
          <w:tab w:leader="none" w:pos="526"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if signed and returned to the Company, is effective and enforceable the later of: (i) your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End Date or (ii) the date it is signed and returned (the “Effective Date”).</w:t>
      </w:r>
    </w:p>
    <w:p>
      <w:pPr>
        <w:spacing w:after="0" w:line="161" w:lineRule="exact"/>
        <w:rPr>
          <w:rFonts w:ascii="Arial" w:cs="Arial" w:eastAsia="Arial" w:hAnsi="Arial"/>
          <w:sz w:val="22"/>
          <w:szCs w:val="22"/>
          <w:color w:val="auto"/>
        </w:rPr>
      </w:pPr>
    </w:p>
    <w:p>
      <w:pPr>
        <w:ind w:left="500" w:hanging="492"/>
        <w:spacing w:after="0"/>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Review by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the following:</w:t>
      </w:r>
    </w:p>
    <w:p>
      <w:pPr>
        <w:spacing w:after="0" w:line="225" w:lineRule="exact"/>
        <w:rPr>
          <w:rFonts w:ascii="Arial" w:cs="Arial" w:eastAsia="Arial" w:hAnsi="Arial"/>
          <w:sz w:val="22"/>
          <w:szCs w:val="22"/>
          <w:color w:val="auto"/>
        </w:rPr>
      </w:pPr>
    </w:p>
    <w:p>
      <w:pPr>
        <w:ind w:left="1120" w:hanging="464"/>
        <w:spacing w:after="0"/>
        <w:tabs>
          <w:tab w:leader="none" w:pos="11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That you carefully read this Agreement, and that you understood it;</w:t>
      </w:r>
    </w:p>
    <w:p>
      <w:pPr>
        <w:spacing w:after="0" w:line="111" w:lineRule="exact"/>
        <w:rPr>
          <w:rFonts w:ascii="Arial" w:cs="Arial" w:eastAsia="Arial" w:hAnsi="Arial"/>
          <w:sz w:val="22"/>
          <w:szCs w:val="22"/>
          <w:color w:val="auto"/>
        </w:rPr>
      </w:pPr>
    </w:p>
    <w:p>
      <w:pPr>
        <w:ind w:left="1300" w:hanging="644"/>
        <w:spacing w:after="0" w:line="263" w:lineRule="auto"/>
        <w:tabs>
          <w:tab w:leader="none" w:pos="1125"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That you were advised and have had the opportunity to consult an attorney, at your expense, regarding the terms and meaning of this Agreement;</w:t>
      </w:r>
    </w:p>
    <w:p>
      <w:pPr>
        <w:spacing w:after="0" w:line="66" w:lineRule="exact"/>
        <w:rPr>
          <w:rFonts w:ascii="Arial" w:cs="Arial" w:eastAsia="Arial" w:hAnsi="Arial"/>
          <w:sz w:val="22"/>
          <w:szCs w:val="22"/>
          <w:color w:val="auto"/>
        </w:rPr>
      </w:pPr>
    </w:p>
    <w:p>
      <w:pPr>
        <w:ind w:left="1120" w:hanging="464"/>
        <w:spacing w:after="0"/>
        <w:tabs>
          <w:tab w:leader="none" w:pos="112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That you understand your deadline of seven (7) days, to consider whether to agree and accept this Agreement;</w:t>
      </w:r>
    </w:p>
    <w:p>
      <w:pPr>
        <w:spacing w:after="0" w:line="146" w:lineRule="exact"/>
        <w:rPr>
          <w:rFonts w:ascii="Arial" w:cs="Arial" w:eastAsia="Arial" w:hAnsi="Arial"/>
          <w:sz w:val="19"/>
          <w:szCs w:val="19"/>
          <w:color w:val="auto"/>
        </w:rPr>
      </w:pPr>
    </w:p>
    <w:p>
      <w:pPr>
        <w:ind w:left="1120" w:hanging="464"/>
        <w:spacing w:after="0"/>
        <w:tabs>
          <w:tab w:leader="none" w:pos="1120"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That you understand that the Agreement is effective and enforceable on the Effective Date as defined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1289050</wp:posOffset>
            </wp:positionV>
            <wp:extent cx="7020560" cy="7543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020560" cy="7543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0"/>
        <w:spacing w:after="0" w:line="265" w:lineRule="auto"/>
        <w:rPr>
          <w:sz w:val="20"/>
          <w:szCs w:val="20"/>
          <w:color w:val="auto"/>
        </w:rPr>
      </w:pPr>
      <w:r>
        <w:rPr>
          <w:rFonts w:ascii="Arial" w:cs="Arial" w:eastAsia="Arial" w:hAnsi="Arial"/>
          <w:sz w:val="21"/>
          <w:szCs w:val="21"/>
          <w:color w:val="auto"/>
        </w:rPr>
        <w:t>PLEASE READ THIS AGREEMENT CAREFULLY AND CONSIDER ALL OF ITS PROVISIONS BEFORE SIGNING IT. IT INCLUDES A RELEASE OF KNOWN AND UNKNOWN CLAIMS, INCLUDING CLAIMS BASED ON NEGLIGENCE. IF YOU WISH, YOU SHOULD TAKE ADVANTAGE OF THE FULL REVIEW PERIOD AFFORDED UNDER THIS AGREEMENT AND YOU SHOULD CONSULT AN ATTORNEY OF YOUR CHOOSING.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355" w:lineRule="exact"/>
        <w:rPr>
          <w:sz w:val="20"/>
          <w:szCs w:val="20"/>
          <w:color w:val="auto"/>
        </w:rPr>
      </w:pPr>
    </w:p>
    <w:p>
      <w:pPr>
        <w:spacing w:after="0"/>
        <w:tabs>
          <w:tab w:leader="none" w:pos="840" w:val="left"/>
          <w:tab w:leader="none" w:pos="4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Dustin Semach</w:t>
      </w:r>
      <w:r>
        <w:rPr>
          <w:sz w:val="20"/>
          <w:szCs w:val="20"/>
          <w:color w:val="auto"/>
        </w:rPr>
        <w:tab/>
      </w:r>
      <w:r>
        <w:rPr>
          <w:rFonts w:ascii="Arial" w:cs="Arial" w:eastAsia="Arial" w:hAnsi="Arial"/>
          <w:sz w:val="19"/>
          <w:szCs w:val="19"/>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33020</wp:posOffset>
            </wp:positionV>
            <wp:extent cx="2057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5" w:lineRule="exact"/>
        <w:rPr>
          <w:sz w:val="20"/>
          <w:szCs w:val="20"/>
          <w:color w:val="auto"/>
        </w:rPr>
      </w:pPr>
    </w:p>
    <w:p>
      <w:pPr>
        <w:ind w:left="4100"/>
        <w:spacing w:after="0"/>
        <w:tabs>
          <w:tab w:leader="none" w:pos="6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33020</wp:posOffset>
            </wp:positionV>
            <wp:extent cx="24599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33020</wp:posOffset>
            </wp:positionV>
            <wp:extent cx="20574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Rackspace:</w:t>
      </w:r>
    </w:p>
    <w:p>
      <w:pPr>
        <w:spacing w:after="0" w:line="355" w:lineRule="exact"/>
        <w:rPr>
          <w:sz w:val="20"/>
          <w:szCs w:val="20"/>
          <w:color w:val="auto"/>
        </w:rPr>
      </w:pPr>
    </w:p>
    <w:p>
      <w:pPr>
        <w:spacing w:after="0"/>
        <w:tabs>
          <w:tab w:leader="none" w:pos="4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33020</wp:posOffset>
            </wp:positionV>
            <wp:extent cx="2057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5" w:lineRule="exact"/>
        <w:rPr>
          <w:sz w:val="20"/>
          <w:szCs w:val="20"/>
          <w:color w:val="auto"/>
        </w:rPr>
      </w:pPr>
    </w:p>
    <w:p>
      <w:pPr>
        <w:ind w:left="4100"/>
        <w:spacing w:after="0"/>
        <w:tabs>
          <w:tab w:leader="none" w:pos="6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33020</wp:posOffset>
            </wp:positionV>
            <wp:extent cx="24599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33020</wp:posOffset>
            </wp:positionV>
            <wp:extent cx="20574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33020</wp:posOffset>
            </wp:positionV>
            <wp:extent cx="2057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On Behalf of Rackspace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40"/>
          </w:cols>
          <w:pgMar w:left="340" w:top="1440" w:right="6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Subsidiaries of Rackspace Technology, Inc. (RXT)</w:t>
            </w:r>
          </w:p>
        </w:tc>
        <w:tc>
          <w:tcPr>
            <w:tcW w:w="3080" w:type="dxa"/>
            <w:vAlign w:val="bottom"/>
          </w:tcPr>
          <w:p>
            <w:pPr>
              <w:spacing w:after="0"/>
              <w:rPr>
                <w:sz w:val="19"/>
                <w:szCs w:val="19"/>
                <w:color w:val="auto"/>
              </w:rPr>
            </w:pPr>
          </w:p>
        </w:tc>
      </w:tr>
      <w:tr>
        <w:trPr>
          <w:trHeight w:val="216"/>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26, 2021</w:t>
            </w:r>
          </w:p>
        </w:tc>
        <w:tc>
          <w:tcPr>
            <w:tcW w:w="3080" w:type="dxa"/>
            <w:vAlign w:val="bottom"/>
          </w:tcPr>
          <w:p>
            <w:pPr>
              <w:spacing w:after="0"/>
              <w:rPr>
                <w:sz w:val="18"/>
                <w:szCs w:val="18"/>
                <w:color w:val="auto"/>
              </w:rPr>
            </w:pPr>
          </w:p>
        </w:tc>
      </w:tr>
      <w:tr>
        <w:trPr>
          <w:trHeight w:val="234"/>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8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Adapt Services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Bright Skies GmbH</w:t>
            </w:r>
          </w:p>
        </w:tc>
        <w:tc>
          <w:tcPr>
            <w:tcW w:w="308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Centric Telecom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Database Specialists, LLC</w:t>
            </w:r>
          </w:p>
        </w:tc>
        <w:tc>
          <w:tcPr>
            <w:tcW w:w="3080" w:type="dxa"/>
            <w:vAlign w:val="bottom"/>
          </w:tcPr>
          <w:p>
            <w:pPr>
              <w:ind w:left="240"/>
              <w:spacing w:after="0"/>
              <w:rPr>
                <w:sz w:val="20"/>
                <w:szCs w:val="20"/>
                <w:color w:val="auto"/>
              </w:rPr>
            </w:pPr>
            <w:r>
              <w:rPr>
                <w:rFonts w:ascii="Arial" w:cs="Arial" w:eastAsia="Arial" w:hAnsi="Arial"/>
                <w:sz w:val="18"/>
                <w:szCs w:val="18"/>
                <w:color w:val="auto"/>
              </w:rPr>
              <w:t>California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Asia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Hong Kong</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Europe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Israel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Israel</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Singapore Pte Ltd</w:t>
            </w:r>
          </w:p>
        </w:tc>
        <w:tc>
          <w:tcPr>
            <w:tcW w:w="308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Datapipe,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Drake Merger Sub II,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DualSparks Partners, LLC</w:t>
            </w:r>
          </w:p>
        </w:tc>
        <w:tc>
          <w:tcPr>
            <w:tcW w:w="3080" w:type="dxa"/>
            <w:vAlign w:val="bottom"/>
          </w:tcPr>
          <w:p>
            <w:pPr>
              <w:ind w:left="240"/>
              <w:spacing w:after="0"/>
              <w:rPr>
                <w:sz w:val="20"/>
                <w:szCs w:val="20"/>
                <w:color w:val="auto"/>
              </w:rPr>
            </w:pPr>
            <w:r>
              <w:rPr>
                <w:rFonts w:ascii="Arial" w:cs="Arial" w:eastAsia="Arial" w:hAnsi="Arial"/>
                <w:sz w:val="18"/>
                <w:szCs w:val="18"/>
                <w:color w:val="auto"/>
              </w:rPr>
              <w:t>California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Elinia Webservices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Elinia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Geekspace,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GoGrid,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Group Basis, LLC</w:t>
            </w:r>
          </w:p>
        </w:tc>
        <w:tc>
          <w:tcPr>
            <w:tcW w:w="3080" w:type="dxa"/>
            <w:vAlign w:val="bottom"/>
          </w:tcPr>
          <w:p>
            <w:pPr>
              <w:ind w:left="240"/>
              <w:spacing w:after="0"/>
              <w:rPr>
                <w:sz w:val="20"/>
                <w:szCs w:val="20"/>
                <w:color w:val="auto"/>
              </w:rPr>
            </w:pPr>
            <w:r>
              <w:rPr>
                <w:rFonts w:ascii="Arial" w:cs="Arial" w:eastAsia="Arial" w:hAnsi="Arial"/>
                <w:sz w:val="18"/>
                <w:szCs w:val="18"/>
                <w:color w:val="auto"/>
              </w:rPr>
              <w:t>Wisconsin</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Inception Intermediate,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Inception Parent,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Macro Capital Management,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Netbrains,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ObjectRocket,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Egypt LLC</w:t>
            </w:r>
          </w:p>
        </w:tc>
        <w:tc>
          <w:tcPr>
            <w:tcW w:w="3080" w:type="dxa"/>
            <w:vAlign w:val="bottom"/>
          </w:tcPr>
          <w:p>
            <w:pPr>
              <w:ind w:left="240"/>
              <w:spacing w:after="0"/>
              <w:rPr>
                <w:sz w:val="20"/>
                <w:szCs w:val="20"/>
                <w:color w:val="auto"/>
              </w:rPr>
            </w:pPr>
            <w:r>
              <w:rPr>
                <w:rFonts w:ascii="Arial" w:cs="Arial" w:eastAsia="Arial" w:hAnsi="Arial"/>
                <w:sz w:val="18"/>
                <w:szCs w:val="18"/>
                <w:color w:val="auto"/>
              </w:rPr>
              <w:t>Egypt</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Group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Holdings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Onica Technologies Canada, Inc.</w:t>
            </w:r>
          </w:p>
        </w:tc>
        <w:tc>
          <w:tcPr>
            <w:tcW w:w="308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Asia (Shanghai)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China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Asia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Hong Kong</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Benelux BV</w:t>
            </w:r>
          </w:p>
        </w:tc>
        <w:tc>
          <w:tcPr>
            <w:tcW w:w="3080" w:type="dxa"/>
            <w:vAlign w:val="bottom"/>
          </w:tcPr>
          <w:p>
            <w:pPr>
              <w:ind w:left="240"/>
              <w:spacing w:after="0"/>
              <w:rPr>
                <w:sz w:val="20"/>
                <w:szCs w:val="20"/>
                <w:color w:val="auto"/>
              </w:rPr>
            </w:pPr>
            <w:r>
              <w:rPr>
                <w:rFonts w:ascii="Arial" w:cs="Arial" w:eastAsia="Arial" w:hAnsi="Arial"/>
                <w:sz w:val="18"/>
                <w:szCs w:val="18"/>
                <w:color w:val="auto"/>
              </w:rPr>
              <w:t>Netherlands</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Canada, Inc.</w:t>
            </w:r>
          </w:p>
        </w:tc>
        <w:tc>
          <w:tcPr>
            <w:tcW w:w="308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Cloud Academy,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Cloud Office, LLC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DAL1DC Management, LLC</w:t>
            </w:r>
          </w:p>
        </w:tc>
        <w:tc>
          <w:tcPr>
            <w:tcW w:w="3080" w:type="dxa"/>
            <w:vAlign w:val="bottom"/>
          </w:tcPr>
          <w:p>
            <w:pPr>
              <w:ind w:left="240"/>
              <w:spacing w:after="0"/>
              <w:rPr>
                <w:sz w:val="20"/>
                <w:szCs w:val="20"/>
                <w:color w:val="auto"/>
              </w:rPr>
            </w:pPr>
            <w:r>
              <w:rPr>
                <w:rFonts w:ascii="Arial" w:cs="Arial" w:eastAsia="Arial" w:hAnsi="Arial"/>
                <w:sz w:val="18"/>
                <w:szCs w:val="18"/>
                <w:color w:val="auto"/>
              </w:rPr>
              <w:t>Texas</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Germany GmbH</w:t>
            </w:r>
          </w:p>
        </w:tc>
        <w:tc>
          <w:tcPr>
            <w:tcW w:w="3080" w:type="dxa"/>
            <w:vAlign w:val="bottom"/>
          </w:tcPr>
          <w:p>
            <w:pPr>
              <w:ind w:left="240"/>
              <w:spacing w:after="0"/>
              <w:rPr>
                <w:sz w:val="20"/>
                <w:szCs w:val="20"/>
                <w:color w:val="auto"/>
              </w:rPr>
            </w:pPr>
            <w:r>
              <w:rPr>
                <w:rFonts w:ascii="Arial" w:cs="Arial" w:eastAsia="Arial" w:hAnsi="Arial"/>
                <w:sz w:val="18"/>
                <w:szCs w:val="18"/>
                <w:color w:val="auto"/>
              </w:rPr>
              <w:t>Germany</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Government Solutions, Inc.</w:t>
            </w:r>
          </w:p>
        </w:tc>
        <w:tc>
          <w:tcPr>
            <w:tcW w:w="308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Hosting Australia Pty Ltd</w:t>
            </w:r>
          </w:p>
        </w:tc>
        <w:tc>
          <w:tcPr>
            <w:tcW w:w="3080" w:type="dxa"/>
            <w:vAlign w:val="bottom"/>
          </w:tcPr>
          <w:p>
            <w:pPr>
              <w:ind w:left="240"/>
              <w:spacing w:after="0"/>
              <w:rPr>
                <w:sz w:val="20"/>
                <w:szCs w:val="20"/>
                <w:color w:val="auto"/>
              </w:rPr>
            </w:pPr>
            <w:r>
              <w:rPr>
                <w:rFonts w:ascii="Arial" w:cs="Arial" w:eastAsia="Arial" w:hAnsi="Arial"/>
                <w:sz w:val="18"/>
                <w:szCs w:val="18"/>
                <w:color w:val="auto"/>
              </w:rPr>
              <w:t>Australia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India Private Limited</w:t>
            </w:r>
          </w:p>
        </w:tc>
        <w:tc>
          <w:tcPr>
            <w:tcW w:w="3080" w:type="dxa"/>
            <w:vAlign w:val="bottom"/>
          </w:tcPr>
          <w:p>
            <w:pPr>
              <w:ind w:left="240"/>
              <w:spacing w:after="0"/>
              <w:rPr>
                <w:sz w:val="20"/>
                <w:szCs w:val="20"/>
                <w:color w:val="auto"/>
              </w:rPr>
            </w:pPr>
            <w:r>
              <w:rPr>
                <w:rFonts w:ascii="Arial" w:cs="Arial" w:eastAsia="Arial" w:hAnsi="Arial"/>
                <w:sz w:val="18"/>
                <w:szCs w:val="18"/>
                <w:color w:val="auto"/>
              </w:rPr>
              <w:t>India</w:t>
            </w:r>
          </w:p>
        </w:tc>
      </w:tr>
      <w:tr>
        <w:trPr>
          <w:trHeight w:val="270"/>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Rackspace International GmbH</w:t>
            </w:r>
          </w:p>
        </w:tc>
        <w:tc>
          <w:tcPr>
            <w:tcW w:w="3080" w:type="dxa"/>
            <w:vAlign w:val="bottom"/>
          </w:tcPr>
          <w:p>
            <w:pPr>
              <w:ind w:left="240"/>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1240"/>
          </w:cols>
          <w:pgMar w:left="320" w:top="121" w:right="339" w:bottom="1440" w:gutter="0" w:footer="0" w:header="0"/>
        </w:sectPr>
      </w:pPr>
    </w:p>
    <w:bookmarkStart w:id="167" w:name="page168"/>
    <w:bookmarkEnd w:id="16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Rackspace International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International Mobility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Israel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Mexico s.de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New Zealand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Rackspace Professional Services Japan GK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Rackspace Receivables,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Reno Acquisition,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Singapore Ptd.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UK Leasing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Rackspace Technology Malaysia SDN. BHD.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Rackspace Technology Columbia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Rackspace US,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RelationEdge,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RSUS4,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Sleek Networks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SpinUp Cloud,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Sturdy Networks,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DBS,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Solutions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Tricore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Yocarnim Investments Sp. z o.o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ectPr>
          <w:pgSz w:w="11900" w:h="16838" w:orient="portrait"/>
          <w:cols w:equalWidth="0" w:num="2">
            <w:col w:w="7440" w:space="720"/>
            <w:col w:w="1739"/>
          </w:cols>
          <w:pgMar w:left="560" w:top="1440"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333-240498) of Rackspace Technology, Inc. of our report dated February 26, 2021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February 26,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February 26,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36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Kevin Jones,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14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February 26,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 Amar Maletira, President and Chief Financial Officer of Rackspace Technology, Inc. (the “Company”), certify pursuant to Section 906 of the Sarbanes-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38" w:lineRule="exact"/>
        <w:rPr>
          <w:sz w:val="20"/>
          <w:szCs w:val="20"/>
          <w:color w:val="auto"/>
        </w:rPr>
      </w:pPr>
    </w:p>
    <w:p>
      <w:pPr>
        <w:ind w:left="660" w:right="14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February 26,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lvl w:ilvl="1">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lvl w:ilvl="1">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lvl w:ilvl="1">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lvl w:ilvl="1">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lvl w:ilvl="1">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lvl w:ilvl="1">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lvl w:ilvl="1">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lvl w:ilvl="1">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lvl w:ilvl="1">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lvl w:ilvl="1">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decimal"/>
      <w:start w:val="1"/>
    </w:lvl>
    <w:lvl w:ilvl="1">
      <w:lvlJc w:val="left"/>
      <w:lvlText w:val="-"/>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lvl w:ilvl="1">
      <w:lvlJc w:val="left"/>
      <w:lvlText w:val="-"/>
      <w:numFmt w:val="bullet"/>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Roman"/>
      <w:start w:val="1"/>
    </w:lvl>
    <w:lvl w:ilvl="1">
      <w:lvlJc w:val="left"/>
      <w:lvlText w:val="-"/>
      <w:numFmt w:val="bullet"/>
      <w:start w:val="1"/>
    </w:lvl>
  </w:abstractNum>
  <w:abstractNum w:abstractNumId="44">
    <w:nsid w:val="2F305DEF"/>
    <w:multiLevelType w:val="hybridMultilevel"/>
    <w:lvl w:ilvl="0">
      <w:lvlJc w:val="left"/>
      <w:lvlText w:val="(%1)"/>
      <w:numFmt w:val="lowerLetter"/>
      <w:start w:val="1"/>
    </w:lvl>
    <w:lvl w:ilvl="1">
      <w:lvlJc w:val="left"/>
      <w:lvlText w:val="-"/>
      <w:numFmt w:val="bullet"/>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lowerRoman"/>
      <w:start w:val="4"/>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1"/>
    </w:lvl>
    <w:lvl w:ilvl="1">
      <w:lvlJc w:val="left"/>
      <w:lvlText w:val="-"/>
      <w:numFmt w:val="bullet"/>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lvl w:ilvl="1">
      <w:lvlJc w:val="left"/>
      <w:lvlText w:val="-"/>
      <w:numFmt w:val="bullet"/>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decimal"/>
      <w:start w:val="15"/>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2"/>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2"/>
    </w:lvl>
  </w:abstractNum>
  <w:abstractNum w:abstractNumId="72">
    <w:nsid w:val="1A32234B"/>
    <w:multiLevelType w:val="hybridMultilevel"/>
    <w:lvl w:ilvl="0">
      <w:lvlJc w:val="left"/>
      <w:lvlText w:val="%1."/>
      <w:numFmt w:val="decimal"/>
      <w:start w:val="1"/>
    </w:lvl>
    <w:lvl w:ilvl="1">
      <w:lvlJc w:val="left"/>
      <w:lvlText w:val="%2."/>
      <w:numFmt w:val="lowerLetter"/>
      <w:start w:val="1"/>
    </w:lvl>
  </w:abstractNum>
  <w:abstractNum w:abstractNumId="73">
    <w:nsid w:val="3B0FD379"/>
    <w:multiLevelType w:val="hybridMultilevel"/>
    <w:lvl w:ilvl="0">
      <w:lvlJc w:val="left"/>
      <w:lvlText w:val="%1."/>
      <w:numFmt w:val="decimal"/>
      <w:start w:val="4"/>
    </w:lvl>
  </w:abstractNum>
  <w:abstractNum w:abstractNumId="74">
    <w:nsid w:val="68EB2F63"/>
    <w:multiLevelType w:val="hybridMultilevel"/>
    <w:lvl w:ilvl="0">
      <w:lvlJc w:val="left"/>
      <w:lvlText w:val="%1."/>
      <w:numFmt w:val="decimal"/>
      <w:start w:val="5"/>
    </w:lvl>
    <w:lvl w:ilvl="1">
      <w:lvlJc w:val="left"/>
      <w:lvlText w:val="%2."/>
      <w:numFmt w:val="lowerLetter"/>
      <w:start w:val="1"/>
    </w:lvl>
  </w:abstractNum>
  <w:abstractNum w:abstractNumId="75">
    <w:nsid w:val="4962813B"/>
    <w:multiLevelType w:val="hybridMultilevel"/>
    <w:lvl w:ilvl="0">
      <w:lvlJc w:val="left"/>
      <w:lvlText w:val="%1"/>
      <w:numFmt w:val="decimal"/>
      <w:start w:val="1"/>
    </w:lvl>
    <w:lvl w:ilvl="1">
      <w:lvlJc w:val="left"/>
      <w:lvlText w:val="%2."/>
      <w:numFmt w:val="lowerLetter"/>
      <w:start w:val="4"/>
    </w:lvl>
  </w:abstractNum>
  <w:abstractNum w:abstractNumId="76">
    <w:nsid w:val="60B6DF70"/>
    <w:multiLevelType w:val="hybridMultilevel"/>
    <w:lvl w:ilvl="0">
      <w:lvlJc w:val="left"/>
      <w:lvlText w:val="%1."/>
      <w:numFmt w:val="decimal"/>
      <w:start w:val="6"/>
    </w:lvl>
    <w:lvl w:ilvl="1">
      <w:lvlJc w:val="left"/>
      <w:lvlText w:val="%2"/>
      <w:numFmt w:val="lowerLetter"/>
      <w:start w:val="1"/>
    </w:lvl>
  </w:abstractNum>
  <w:abstractNum w:abstractNumId="77">
    <w:nsid w:val="6A5EE64"/>
    <w:multiLevelType w:val="hybridMultilevel"/>
    <w:lvl w:ilvl="0">
      <w:lvlJc w:val="left"/>
      <w:lvlText w:val="%1."/>
      <w:numFmt w:val="decimal"/>
      <w:start w:val="10"/>
    </w:lvl>
  </w:abstractNum>
  <w:abstractNum w:abstractNumId="78">
    <w:nsid w:val="14330624"/>
    <w:multiLevelType w:val="hybridMultilevel"/>
    <w:lvl w:ilvl="0">
      <w:lvlJc w:val="left"/>
      <w:lvlText w:val="%1."/>
      <w:numFmt w:val="decimal"/>
      <w:start w:val="11"/>
    </w:lvl>
  </w:abstractNum>
  <w:abstractNum w:abstractNumId="79">
    <w:nsid w:val="7FFFCA11"/>
    <w:multiLevelType w:val="hybridMultilevel"/>
    <w:lvl w:ilvl="0">
      <w:lvlJc w:val="left"/>
      <w:lvlText w:val="%1."/>
      <w:numFmt w:val="decimal"/>
      <w:start w:val="12"/>
    </w:lvl>
  </w:abstractNum>
  <w:abstractNum w:abstractNumId="80">
    <w:nsid w:val="1A27709E"/>
    <w:multiLevelType w:val="hybridMultilevel"/>
    <w:lvl w:ilvl="0">
      <w:lvlJc w:val="left"/>
      <w:lvlText w:val="%1."/>
      <w:numFmt w:val="decimal"/>
      <w:start w:val="18"/>
    </w:lvl>
    <w:lvl w:ilvl="1">
      <w:lvlJc w:val="left"/>
      <w:lvlText w:val="(%2)"/>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83"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150" Type="http://schemas.openxmlformats.org/officeDocument/2006/relationships/hyperlink" Target="https://www.sec.gov/Archives/edgar/data/1810019/000119312520209647/d36076dex31.htm" TargetMode="External"/><Relationship Id="rId151" Type="http://schemas.openxmlformats.org/officeDocument/2006/relationships/hyperlink" Target="https://www.sec.gov/Archives/edgar/data/1810019/000119312520209647/d36076dex32.htm" TargetMode="External"/><Relationship Id="rId152" Type="http://schemas.openxmlformats.org/officeDocument/2006/relationships/hyperlink" Target="https://www.sec.gov/Archives/edgar/data/1810019/000119312520307306/d34164dex41.htm" TargetMode="External"/><Relationship Id="rId153" Type="http://schemas.openxmlformats.org/officeDocument/2006/relationships/hyperlink" Target="https://www.sec.gov/Archives/edgar/data/1810019/000119312520190902/d915709dex101.htm" TargetMode="External"/><Relationship Id="rId154" Type="http://schemas.openxmlformats.org/officeDocument/2006/relationships/hyperlink" Target="https://www.sec.gov/Archives/edgar/data/1810019/000119312520190902/d915709dex102.htm" TargetMode="External"/><Relationship Id="rId155" Type="http://schemas.openxmlformats.org/officeDocument/2006/relationships/hyperlink" Target="https://www.sec.gov/Archives/edgar/data/1810019/000119312520190902/d915709dex103.htm" TargetMode="External"/><Relationship Id="rId156" Type="http://schemas.openxmlformats.org/officeDocument/2006/relationships/hyperlink" Target="https://www.sec.gov/Archives/edgar/data/1810019/000119312520190902/d915709dex104.htm" TargetMode="External"/><Relationship Id="rId157" Type="http://schemas.openxmlformats.org/officeDocument/2006/relationships/hyperlink" Target="https://www.sec.gov/Archives/edgar/data/1810019/000119312520190902/d915709dex105.htm" TargetMode="External"/><Relationship Id="rId158" Type="http://schemas.openxmlformats.org/officeDocument/2006/relationships/hyperlink" Target="https://www.sec.gov/Archives/edgar/data/1810019/000119312520213058/d10215dex104.htm" TargetMode="External"/><Relationship Id="rId159" Type="http://schemas.openxmlformats.org/officeDocument/2006/relationships/hyperlink" Target="https://www.sec.gov/Archives/edgar/data/1810019/000119312520213058/d10215dex102.htm" TargetMode="External"/><Relationship Id="rId160" Type="http://schemas.openxmlformats.org/officeDocument/2006/relationships/hyperlink" Target="https://www.sec.gov/Archives/edgar/data/1810019/000119312520213058/d10215dex103.htm" TargetMode="External"/><Relationship Id="rId161" Type="http://schemas.openxmlformats.org/officeDocument/2006/relationships/hyperlink" Target="https://www.sec.gov/Archives/edgar/data/1810019/000119312520213058/d10215dex101.htm" TargetMode="External"/><Relationship Id="rId162" Type="http://schemas.openxmlformats.org/officeDocument/2006/relationships/hyperlink" Target="https://www.sec.gov/Archives/edgar/data/1810019/000119312520190902/d915709dex109.htm" TargetMode="External"/><Relationship Id="rId165" Type="http://schemas.openxmlformats.org/officeDocument/2006/relationships/hyperlink" Target="https://www.sec.gov/Archives/edgar/data/1810019/000119312520190902/d915709dex1010.htm" TargetMode="External"/><Relationship Id="rId166" Type="http://schemas.openxmlformats.org/officeDocument/2006/relationships/hyperlink" Target="https://www.sec.gov/Archives/edgar/data/1810019/000119312520190902/d915709dex1011.htm" TargetMode="External"/><Relationship Id="rId167" Type="http://schemas.openxmlformats.org/officeDocument/2006/relationships/hyperlink" Target="https://www.sec.gov/Archives/edgar/data/1810019/000119312520190902/d915709dex1012.htm" TargetMode="External"/><Relationship Id="rId168" Type="http://schemas.openxmlformats.org/officeDocument/2006/relationships/hyperlink" Target="https://www.sec.gov/Archives/edgar/data/1810019/000119312520190902/d915709dex1013.htm" TargetMode="External"/><Relationship Id="rId169" Type="http://schemas.openxmlformats.org/officeDocument/2006/relationships/hyperlink" Target="https://www.sec.gov/Archives/edgar/data/1810019/000119312520190902/d915709dex1014.htm" TargetMode="External"/><Relationship Id="rId170" Type="http://schemas.openxmlformats.org/officeDocument/2006/relationships/hyperlink" Target="https://www.sec.gov/Archives/edgar/data/1810019/000119312520190902/d915709dex1015.htm" TargetMode="External"/><Relationship Id="rId171" Type="http://schemas.openxmlformats.org/officeDocument/2006/relationships/hyperlink" Target="https://www.sec.gov/Archives/edgar/data/1810019/000119312520190902/d915709dex1016.htm" TargetMode="External"/><Relationship Id="rId172" Type="http://schemas.openxmlformats.org/officeDocument/2006/relationships/hyperlink" Target="https://www.sec.gov/Archives/edgar/data/1810019/000119312520190902/d915709dex1017.htm" TargetMode="External"/><Relationship Id="rId173" Type="http://schemas.openxmlformats.org/officeDocument/2006/relationships/hyperlink" Target="https://www.sec.gov/Archives/edgar/data/1810019/000119312520190902/d915709dex1018.htm" TargetMode="External"/><Relationship Id="rId174" Type="http://schemas.openxmlformats.org/officeDocument/2006/relationships/hyperlink" Target="https://www.sec.gov/Archives/edgar/data/1810019/000119312520190902/d915709dex1019.htm" TargetMode="External"/><Relationship Id="rId175" Type="http://schemas.openxmlformats.org/officeDocument/2006/relationships/hyperlink" Target="https://www.sec.gov/Archives/edgar/data/1810019/000119312520199062/d915709dex1020.htm" TargetMode="External"/><Relationship Id="rId176" Type="http://schemas.openxmlformats.org/officeDocument/2006/relationships/hyperlink" Target="https://www.sec.gov/Archives/edgar/data/1810019/000119312520199062/d915709dex1021.htm" TargetMode="External"/><Relationship Id="rId177" Type="http://schemas.openxmlformats.org/officeDocument/2006/relationships/hyperlink" Target="https://www.sec.gov/Archives/edgar/data/1810019/000119312520199062/d915709dex1022.htm" TargetMode="External"/><Relationship Id="rId178" Type="http://schemas.openxmlformats.org/officeDocument/2006/relationships/hyperlink" Target="https://www.sec.gov/Archives/edgar/data/1810019/000119312520199062/d915709dex1023.htm" TargetMode="External"/><Relationship Id="rId179" Type="http://schemas.openxmlformats.org/officeDocument/2006/relationships/hyperlink" Target="https://www.sec.gov/Archives/edgar/data/1810019/000119312520199062/d915709dex1024.htm" TargetMode="External"/><Relationship Id="rId180" Type="http://schemas.openxmlformats.org/officeDocument/2006/relationships/hyperlink" Target="https://www.sec.gov/Archives/edgar/data/1810019/000119312520199062/d915709dex1025.htm" TargetMode="External"/><Relationship Id="rId181" Type="http://schemas.openxmlformats.org/officeDocument/2006/relationships/hyperlink" Target="https://www.sec.gov/Archives/edgar/data/1810019/000119312520199062/d915709dex1026.htm" TargetMode="External"/><Relationship Id="rId182" Type="http://schemas.openxmlformats.org/officeDocument/2006/relationships/hyperlink" Target="https://www.sec.gov/Archives/edgar/data/1810019/000119312520199062/d915709dex1027.htm" TargetMode="External"/><Relationship Id="rId184" Type="http://schemas.openxmlformats.org/officeDocument/2006/relationships/hyperlink" Target="https://www.sec.gov/Archives/edgar/data/1810019/000119312520209647/d36076dex42.htm" TargetMode="External"/><Relationship Id="rId185" Type="http://schemas.openxmlformats.org/officeDocument/2006/relationships/hyperlink" Target="https://www.sec.gov/Archives/edgar/data/1810019/000119312520209647/d36076dex43.htm" TargetMode="External"/><Relationship Id="rId186" Type="http://schemas.openxmlformats.org/officeDocument/2006/relationships/hyperlink" Target="https://www.sec.gov/Archives/edgar/data/1810019/000181001920000047/rxt108q32020.htm" TargetMode="External"/><Relationship Id="rId187" Type="http://schemas.openxmlformats.org/officeDocument/2006/relationships/hyperlink" Target="https://www.sec.gov/Archives/edgar/data/1810019/000119312520190902/d915709dex1031.htm" TargetMode="External"/><Relationship Id="rId188" Type="http://schemas.openxmlformats.org/officeDocument/2006/relationships/hyperlink" Target="https://www.sec.gov/Archives/edgar/data/1810019/000119312520199062/d915709dex1032.htm" TargetMode="External"/><Relationship Id="rId189" Type="http://schemas.openxmlformats.org/officeDocument/2006/relationships/hyperlink" Target="https://www.sec.gov/Archives/edgar/data/1810019/000119312520195206/d915709dex1033.htm" TargetMode="External"/><Relationship Id="rId190" Type="http://schemas.openxmlformats.org/officeDocument/2006/relationships/hyperlink" Target="https://www.sec.gov/Archives/edgar/data/1810019/000119312520199062/d915709dex1034.htm" TargetMode="External"/><Relationship Id="rId191" Type="http://schemas.openxmlformats.org/officeDocument/2006/relationships/hyperlink" Target="https://www.sec.gov/Archives/edgar/data/1810019/000119312520273667/d270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2021-02-26T16:50:03Z</dcterms:created>
  <dcterms:modified xsi:type="dcterms:W3CDTF">2021-02-26T16:50:03Z</dcterms:modified>
</cp:coreProperties>
</file>