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63280.xml.htm"/>
      <w:bookmarkStart w:id="1" w:name="kswkform4_17821632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BENJAMIN JEFFREY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71,156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636,318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under the Non-Employee Director Compensation Policy of the Issuer in a transaction exempt under Section 16b-3. Each RSU represents the right to receive one share of common stock of Rackspace Technology, Inc. upon vesting. The shares underlying the RSUs will vest on the earlier of (a) the next subsequent annual meeting of stockholders following the grant date or (b) the one year anniversary of the grant date, subject to the reporting person remaining a member of the Issuer's board of directors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Jeffrey Benjamin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4016"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3590</Characters>
  <CharactersWithSpaces>4196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