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6"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8"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5"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001-39420</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RACKSPACE TECHNOLOGY,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81-3369925</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101" w:lineRule="exact"/>
        <w:rPr>
          <w:sz w:val="24"/>
          <w:szCs w:val="24"/>
          <w:color w:val="auto"/>
        </w:rPr>
      </w:pPr>
    </w:p>
    <w:p>
      <w:pPr>
        <w:sectPr>
          <w:pgSz w:w="11900" w:h="16838" w:orient="portrait"/>
          <w:cols w:equalWidth="0" w:num="2">
            <w:col w:w="6680" w:space="720"/>
            <w:col w:w="3840"/>
          </w:cols>
          <w:pgMar w:left="320" w:top="126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19122 US Highway 281N, Suite 128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Antonio, Texas 78258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1-800-961-4454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4"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type w:val="continuous"/>
        </w:sectPr>
      </w:pPr>
    </w:p>
    <w:bookmarkStart w:id="1" w:name="page2"/>
    <w:bookmarkEnd w:id="1"/>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5, 2024, 226,032,947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5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Unaudited Condensed Consolidated Balance Sheets as of December 31, 2023 and June 30, 2024</w:t>
            </w:r>
          </w:p>
        </w:tc>
        <w:tc>
          <w:tcPr>
            <w:tcW w:w="360" w:type="dxa"/>
            <w:vAlign w:val="bottom"/>
            <w:gridSpan w:val="2"/>
          </w:tcPr>
          <w:p>
            <w:pPr>
              <w:jc w:val="center"/>
              <w:ind w:left="170"/>
              <w:spacing w:after="0" w:line="194" w:lineRule="exact"/>
              <w:rPr>
                <w:sz w:val="20"/>
                <w:szCs w:val="20"/>
                <w:color w:val="auto"/>
              </w:rPr>
            </w:pPr>
            <w:r>
              <w:rPr>
                <w:rFonts w:ascii="Times New Roman" w:cs="Times New Roman" w:eastAsia="Times New Roman" w:hAnsi="Times New Roman"/>
                <w:sz w:val="18"/>
                <w:szCs w:val="18"/>
                <w:color w:val="0000FF"/>
              </w:rPr>
              <w:t>3</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and Six Months Ended June 30,</w:t>
            </w:r>
          </w:p>
        </w:tc>
        <w:tc>
          <w:tcPr>
            <w:tcW w:w="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rPr>
              <w:t>4</w:t>
            </w:r>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2023 and June 30, 2024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June 30, 2023 and June 30, 2024</w:t>
            </w:r>
          </w:p>
        </w:tc>
        <w:tc>
          <w:tcPr>
            <w:tcW w:w="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(Deficit) for the Three and Six Months Ended June 30,</w:t>
            </w:r>
          </w:p>
        </w:tc>
        <w:tc>
          <w:tcPr>
            <w:tcW w:w="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rPr>
              <w:t>7</w:t>
            </w:r>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2023 and June 30, 2024</w:t>
            </w:r>
          </w:p>
        </w:tc>
        <w:tc>
          <w:tcPr>
            <w:tcW w:w="28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the Unaudited Condensed Consolidated Financial Statements</w:t>
            </w:r>
          </w:p>
        </w:tc>
        <w:tc>
          <w:tcPr>
            <w:tcW w:w="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rPr>
              <w:t>9</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80" w:type="dxa"/>
            <w:vAlign w:val="bottom"/>
            <w:gridSpan w:val="5"/>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18"/>
                <w:szCs w:val="18"/>
                <w:color w:val="auto"/>
              </w:rPr>
            </w:pPr>
          </w:p>
        </w:tc>
        <w:tc>
          <w:tcPr>
            <w:tcW w:w="2980" w:type="dxa"/>
            <w:vAlign w:val="bottom"/>
            <w:gridSpan w:val="5"/>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65</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80" w:type="dxa"/>
            <w:vAlign w:val="bottom"/>
            <w:gridSpan w:val="7"/>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5"/>
        </w:trPr>
        <w:tc>
          <w:tcPr>
            <w:tcW w:w="20" w:type="dxa"/>
            <w:vAlign w:val="bottom"/>
          </w:tcPr>
          <w:p>
            <w:pPr>
              <w:spacing w:after="0"/>
              <w:rPr>
                <w:sz w:val="24"/>
                <w:szCs w:val="24"/>
                <w:color w:val="auto"/>
              </w:rPr>
            </w:pPr>
          </w:p>
        </w:tc>
        <w:tc>
          <w:tcPr>
            <w:tcW w:w="105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2"/>
          </w:tcPr>
          <w:p>
            <w:pPr>
              <w:jc w:val="center"/>
              <w:ind w:left="90"/>
              <w:spacing w:after="0" w:line="194" w:lineRule="exact"/>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8"/>
                <w:szCs w:val="18"/>
                <w:color w:val="auto"/>
              </w:rPr>
            </w:pPr>
          </w:p>
        </w:tc>
        <w:tc>
          <w:tcPr>
            <w:tcW w:w="8120" w:type="dxa"/>
            <w:vAlign w:val="bottom"/>
            <w:gridSpan w:val="10"/>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080" w:type="dxa"/>
            <w:vAlign w:val="bottom"/>
            <w:gridSpan w:val="7"/>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Pr>
          <w:p>
            <w:pPr>
              <w:spacing w:after="0"/>
              <w:rPr>
                <w:sz w:val="18"/>
                <w:szCs w:val="18"/>
                <w:color w:val="auto"/>
              </w:rPr>
            </w:pPr>
          </w:p>
        </w:tc>
        <w:tc>
          <w:tcPr>
            <w:tcW w:w="5080" w:type="dxa"/>
            <w:vAlign w:val="bottom"/>
            <w:gridSpan w:val="7"/>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00" w:type="dxa"/>
            <w:vAlign w:val="bottom"/>
            <w:gridSpan w:val="8"/>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20" w:type="dxa"/>
            <w:vAlign w:val="bottom"/>
            <w:gridSpan w:val="9"/>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0"/>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8"/>
                <w:szCs w:val="18"/>
                <w:color w:val="auto"/>
              </w:rPr>
            </w:pPr>
          </w:p>
        </w:tc>
        <w:tc>
          <w:tcPr>
            <w:tcW w:w="8120" w:type="dxa"/>
            <w:vAlign w:val="bottom"/>
            <w:gridSpan w:val="10"/>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68</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69</w:t>
            </w:r>
          </w:p>
        </w:tc>
        <w:tc>
          <w:tcPr>
            <w:tcW w:w="320" w:type="dxa"/>
            <w:vAlign w:val="bottom"/>
          </w:tcPr>
          <w:p>
            <w:pPr>
              <w:spacing w:after="0"/>
              <w:rPr>
                <w:sz w:val="24"/>
                <w:szCs w:val="24"/>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for the quarterly period ended June 30, 2024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18"/>
          <w:szCs w:val="18"/>
          <w:i w:val="1"/>
          <w:iCs w:val="1"/>
          <w:color w:val="auto"/>
        </w:rPr>
        <w:t>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2023.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54" w:lineRule="exact"/>
        <w:rPr>
          <w:sz w:val="20"/>
          <w:szCs w:val="20"/>
          <w:color w:val="auto"/>
        </w:rPr>
      </w:pPr>
    </w:p>
    <w:p>
      <w:pPr>
        <w:ind w:right="40" w:firstLine="486"/>
        <w:spacing w:after="0" w:line="227" w:lineRule="auto"/>
        <w:rPr>
          <w:sz w:val="20"/>
          <w:szCs w:val="20"/>
          <w:color w:val="auto"/>
        </w:rPr>
      </w:pPr>
      <w:r>
        <w:rPr>
          <w:rFonts w:ascii="Times New Roman" w:cs="Times New Roman" w:eastAsia="Times New Roman" w:hAnsi="Times New Roman"/>
          <w:sz w:val="18"/>
          <w:szCs w:val="18"/>
          <w:i w:val="1"/>
          <w:iCs w:val="1"/>
          <w:color w:val="auto"/>
        </w:rPr>
        <w:t>"Rackspace," "Rackspace Technology," "Fanatical," "Fanatical Experience," "Rackspace Fabric," "Rackspace Data Freedom," "Rackspace Services for VMware Cloud</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and "My Rackspace" are registered or unregistered trademarks of Rackspace US, Inc. in the United States and/or other countries. OpenStack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and accrued customer credits of $20.1 and $25.8,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$0.01 par value per share: 1,495.0 shares authorized; 220.5 and 228.7 shares issued; 217.4 and 225.6</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3.1 shares held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13"/>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07"/>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2"/>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on derivative contracts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 reclassified from accumulated other comprehensive</w:t>
            </w: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to earnings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operating right-of-use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loss on derivative contracts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investments,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bad debts and accrued customer credits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 and debt discount and premium</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Third party fees paid in connection with the Refinancing Transactions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07"/>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equipment and software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headquarters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withheld for employee taxes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borrowings under long-term debt arrangements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extinguishment costs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financing component of interest rate swap</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finance lease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financing obligations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213"/>
        </w:trPr>
        <w:tc>
          <w:tcPr>
            <w:tcW w:w="7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r>
      <w:tr>
        <w:trPr>
          <w:trHeight w:val="237"/>
        </w:trPr>
        <w:tc>
          <w:tcPr>
            <w:tcW w:w="7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net of amount capitalized</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 for income taxes, net of refunds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54"/>
        </w:trPr>
        <w:tc>
          <w:tcPr>
            <w:tcW w:w="7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finance leases</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financing obligations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property, equipment and software accrued in liabilities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2"/>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non-cash additions</w:t>
            </w:r>
          </w:p>
        </w:tc>
        <w:tc>
          <w:tcPr>
            <w:tcW w:w="6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purchases of property, equipment and software</w:t>
            </w: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60"/>
        </w:trPr>
        <w:tc>
          <w:tcPr>
            <w:tcW w:w="7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gain on sale of property and equipment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bl>
    <w:p>
      <w:pPr>
        <w:spacing w:after="0" w:line="31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of such amounts shown on the Condensed Consolidated Statements of Cash Flows.</w:t>
      </w:r>
    </w:p>
    <w:p>
      <w:pPr>
        <w:spacing w:after="0" w:line="232"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7"/>
        </w:trPr>
        <w:tc>
          <w:tcPr>
            <w:tcW w:w="7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(2,598.4)</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3"/>
        </w:trPr>
        <w:tc>
          <w:tcPr>
            <w:tcW w:w="2240" w:type="dxa"/>
            <w:vAlign w:val="bottom"/>
            <w:vMerge w:val="continue"/>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Overview, Basis of Presentation,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 and Basis of Presentation</w:t>
      </w:r>
    </w:p>
    <w:p>
      <w:pPr>
        <w:spacing w:after="0" w:line="256" w:lineRule="exact"/>
        <w:rPr>
          <w:sz w:val="20"/>
          <w:szCs w:val="20"/>
          <w:color w:val="auto"/>
        </w:rPr>
      </w:pPr>
    </w:p>
    <w:p>
      <w:pPr>
        <w:jc w:val="both"/>
        <w:ind w:right="320"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1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07"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For ease of reference, the terms "we," "our company," "the company," "us," or "our" as used in this report refer to Rackspace Technology and its consolidated subsidiaries.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Rackspace Technology, Inc. and our wholly-owned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 in consolidation.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June 30, 2024, and for the three and six months ended June 30, 2023 and 2024,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 periods. These unaudited interim condensed consolidated financial statements should be read in conjunction with the audited consolidated financial statements and the related notes thereto included in our Annual Report on Form 10-K for the year ended December 31, 2023 as filed with the SEC on March 15, 2024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June 30, 2024, our results of operations and stockholders' equity (deficit) for the three and six months ended June 30, 2023 and 2024, and our cash flows for the six months ended June 30, 2023 and 2024.</w:t>
      </w:r>
    </w:p>
    <w:p>
      <w:pPr>
        <w:spacing w:after="0" w:line="2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2024 are not necessarily indicative of the results of operations to be expected for the year ending December 31, 2024, or for any other interim period, or for any other future year.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Overview</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a highly leveraged company. As of June 30, 2024, we had $2,483.7 million aggregate principal amount outstanding under our debt instruments, which are comprised of the first lien first out senior secured term loan facility (the “FLFO Term Loan Facility”), the first lien second out senior secured term loan facility (the “FLSO Term Loan Facility”), the first lien term loan facility (the "Term Loan Facility"), 3.50% FLSO Senior Secured Notes due 2028 (the “3.50% FLSO Senior Secured Notes”), 5.375% Senior Notes due 2028 (the "5.375% Senior Notes"), and 3.50% Senior Secured Notes due 2028 (the "3.50% Senior Secured Notes"). We primarily finance our operations and capital expenditures with internally-generated cash from operations and hardware leases, and if necessary, borrowings under the senior secured first lien first out revolving credit facility (the " New Revolving Credit Facility"). As of June 30, 2024, the New Revolving Credit Facility provided for up to $375.0 million of borrowings, none of which was drawn and outstanding as of June 30, 2024. Our primary uses of cash are working capital requirements, debt service requirements and capital expenditures. Based on our current level of operations and available cash and cash equivalents of $190.2 million as of June 30, 2024,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25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Annual Report includes an additional discussion of the significant accounting policies and estimates used in the preparation of our consolidated financial statements. There were no material changes to our significant accounting policies and estimates during the six months ended June 30, 2024, except as described below.</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Change in Accounting Estimate</w:t>
      </w:r>
    </w:p>
    <w:p>
      <w:pPr>
        <w:spacing w:after="0" w:line="2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the first quarter of 2024, we completed an assessment of the useful lives of certain assets within the “Computers and equipment” asset class. The timing of this review was based on a combination of factors accumulating over time that provided the company with updated information to make a better estimate on the economic lives of certain property and equipment. These factors included changes in our business model and recent technological advances that have increased efficiencies in how we operate and manage customer gear. The assessment resulted in an increase in the estimated useful life range of the “Computers and equipment” asset class from three-to-five years to five-to-seven years. This change in accounting estimate took effect at the start of the first quarter of 2024. The impact of this change was a reduction in depreciation expense of $12.6 million and $24.8 million and an increase of $0.05 and $0.11 net basic earnings per share compared to previous estimates for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Indefinite-Lived Intangible Assets and Long-Lived Assets</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21" w:lineRule="exact"/>
        <w:rPr>
          <w:sz w:val="20"/>
          <w:szCs w:val="20"/>
          <w:color w:val="auto"/>
        </w:rPr>
      </w:pPr>
    </w:p>
    <w:p>
      <w:pPr>
        <w:ind w:right="260" w:firstLine="486"/>
        <w:spacing w:after="0" w:line="277" w:lineRule="auto"/>
        <w:rPr>
          <w:sz w:val="20"/>
          <w:szCs w:val="20"/>
          <w:color w:val="auto"/>
        </w:rPr>
      </w:pPr>
      <w:r>
        <w:rPr>
          <w:rFonts w:ascii="Times New Roman" w:cs="Times New Roman" w:eastAsia="Times New Roman" w:hAnsi="Times New Roman"/>
          <w:sz w:val="17"/>
          <w:szCs w:val="17"/>
          <w:color w:val="auto"/>
        </w:rPr>
        <w:t>In connection with the debt refinancing transactions that were completed in March and April 2024, as further described in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macroeconomic factors, to achieving our forecasts. Our Board of Directors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w:t>
      </w:r>
    </w:p>
    <w:p>
      <w:pPr>
        <w:spacing w:after="0" w:line="21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On January 1, 2023, as a result of the reorganization of our business around a two-business unit operating model, we changed our reportable segments to Private Cloud and Public Cloud. Due to the change in our segment reporting and the allocation of goodwill from our former reporting units to the Public Cloud and Private Cloud reporting units, we completed a quantitative goodwill impairment analysis both prior and subsequent to the aforementioned change. We reassigned goodwill to the updated reporting units using a relative fair value approach. The results of the quantitative goodwill impairment analysis performed as of January 1, 2023 subsequent to the reorganization, indicated an impairment within our Private Cloud reporting unit, and we recorded a non-cash impairment charge of $270.8 million in the first quarter of 2023.</w:t>
      </w:r>
    </w:p>
    <w:p>
      <w:pPr>
        <w:spacing w:after="0" w:line="214"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spacing w:after="0" w:line="20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Prior to October 1, 2023, we had two reporting units with goodwill: Public Cloud and Private Cloud. Goodwill allocated to our third reporting unit, OpenStack Public Cloud, was fully impaired during the fourth quarter of 2021. As of October 1, 2023, we reassessed our reporting unit structure and aggregated the OpenStack Public Cloud reporting unit into our Private Cloud reporting unit. We currently have two reporting units: Public Cloud and Private 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For the interim quantitative goodwill impairment analyses performed,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and considerations regarding revenue growth rates, projected gross profit margins, projected operating costs, projected capital expenditures, risk-adjusted discount rates, terminal period growth rates, and economic market trends. As part of the goodwill impairment test, we also consider our market capitalization in assessing the reasonableness of the combined fair values estimated for our reporting units. Goodwill impairment is measured as the excess of a reporting unit's carrying amount over its fair value, not to exceed the carrying amount of goodwill for that reporting unit.</w:t>
      </w:r>
    </w:p>
    <w:p>
      <w:pPr>
        <w:spacing w:after="0" w:line="216"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analysis as of February 29, 2024 indicated an impairment of goodwill within our Public Cloud and Private Cloud reporting units of $385.4 million and $187.8 million, respectively. We recorded these non-cash impairment charges within "Impairment of goodwill" in our Condensed Consolidated Statements of Comprehensive Income (Loss) in the first quarter of 2024.</w:t>
      </w:r>
    </w:p>
    <w:p>
      <w:pPr>
        <w:spacing w:after="0" w:line="203"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analyses as of January 1, 2023 and March 31, 2023 indicated an impairment of goodwill within our Private Cloud reporting unit, and we recorded non-cash impairment charges of $270.8 million and $272.3 million, respectively, within "Impairment of goodwill" in our Condensed Consolidated Statements of Comprehensive Income (Loss) in the first quarter of 2023.</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"Goodwill and Intangible Assets" for more information.</w:t>
      </w:r>
    </w:p>
    <w:p>
      <w:pPr>
        <w:spacing w:after="0" w:line="252"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w:t>
      </w:r>
    </w:p>
    <w:p>
      <w:pPr>
        <w:spacing w:after="0" w:line="203"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Due to the factors discussed in the goodwill analysis above and prior to testing our goodwill for impairment, we performed a quantitative assessment of our indefinite-lived intangible asset as of February 29, 2024. The quantitative assessment performed as of February 29, 2024 indicated the estimated fair value of the Rackspace trade name was less than its carrying value. As a result, we recorded a $20.0 million non-cash impairment charge which is included in "Impairment of assets, net" in our Condensed Consolidated Statements of Comprehensive Income (Loss) in the first quarter of 2024.</w:t>
      </w:r>
    </w:p>
    <w:p>
      <w:pPr>
        <w:spacing w:after="0" w:line="207"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 performed a quantitative assessment of our indefinite-lived intangible asset prior to testing our goodwill for impairment as of January 1, 2023 and March 31, 2023 which did not indicate any impairment of the Rackspace trade name.</w:t>
      </w:r>
    </w:p>
    <w:p>
      <w:pPr>
        <w:spacing w:after="0" w:line="18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fair value determination of our reporting units and our indefinite-lived intangible asset is judgmental in nature and requires the use of significant estimates and assumptions that are sensitive to changes. Assumptions include estimation of the royalty rate for the trade name, estimation of future revenue growth rates, projected gross profit margins, projected operating costs,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sustained declines in our stock price or market capitalization, or increases in costs of capital, it is possible that an additional impairment charge may be recorded in the future, which could be material.</w:t>
      </w:r>
    </w:p>
    <w:p>
      <w:pPr>
        <w:spacing w:after="0" w:line="2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Long-lived assets, including operating and finance lease assets,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goodwill impairment analyses as of January 1, 2023, March 31, 2023, and February 29, 2024, we performed recoverability tests of our long-lived assets, including finite-lived intangible assets, by comparing the net book value of our long-lived assets or asset groups, to the future undiscounted net cash flows attributable to such assets, which did not result in any impairment charges.</w:t>
      </w:r>
    </w:p>
    <w:p>
      <w:pPr>
        <w:spacing w:after="0" w:line="203"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our non-financial assets and liabilities, which include goodwill, intangible assets and property, plant and equipment, are measured on a non-recurring basis. The fair value of our reporting units, indefinite-lived intangible assets and long-lived assets are classified as Level 3 within the fair value hierarchy due to the significant unobservable inputs developed using company-specific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balances related to customer contracts: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Account</w:t>
            </w: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Pr>
          <w:p>
            <w:pPr>
              <w:spacing w:after="0"/>
              <w:rPr>
                <w:sz w:val="18"/>
                <w:szCs w:val="18"/>
                <w:color w:val="auto"/>
              </w:rPr>
            </w:pP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20" w:type="dxa"/>
            <w:vAlign w:val="bottom"/>
            <w:tcBorders>
              <w:top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contract assets</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contract assets</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deferred revenue</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bl>
    <w:p>
      <w:pPr>
        <w:spacing w:after="0" w:line="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Allowance for credit losses and accrued customer credits was $20.1 million and $25.8 million as of December 31, 2023 and June 30, 2024, respectively.</w:t>
      </w:r>
    </w:p>
    <w:p>
      <w:pPr>
        <w:spacing w:after="0" w:line="25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Amounts recognized in revenue for the three months ended June 30, 2023, and 2024, which were included in deferred revenue as of the beginning of each period totaled $44.5 million and $43.9 million, respectively. Amounts recognized in revenue for the six months ended June 30, 2023 and 2024, which were included in deferred revenue as of the beginning of each period totaled $55.1 million and $61.3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Incurred to Obtain and Fulfill a Contract</w:t>
      </w:r>
    </w:p>
    <w:p>
      <w:pPr>
        <w:spacing w:after="0" w:line="243" w:lineRule="exact"/>
        <w:rPr>
          <w:sz w:val="20"/>
          <w:szCs w:val="20"/>
          <w:color w:val="auto"/>
        </w:rPr>
      </w:pPr>
    </w:p>
    <w:p>
      <w:pPr>
        <w:ind w:right="60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2023 and June 30, 2024, the balances of capitalized costs to obtain a contract were $42.0 million and $34.9 million, respectively, and the balances of capitalized costs to fulfill a contract were $13.4 million and $12.6 million, respectively. These capitalized costs are included in "Other non-current assets" on the Condensed Consolidated Balance Sheets.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capitalized sales commissions and implementation costs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capitalized sales commissions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capitalized implementation costs</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June 30, 2024, the aggregate amount of transaction price allocated to remaining performance obligations was $458.5 million, of which approximately 41% is expected to be recognized as revenue during the remainder of 2024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Receivables</w:t>
      </w:r>
    </w:p>
    <w:p>
      <w:pPr>
        <w:spacing w:after="0" w:line="256"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On September 29, 2023, Rackspace US, Inc. and Rackspace Receivables II, LLC, a bankruptcy-remote special purpose vehicle (“SPV”), each an indirect subsidiary of the company, entered into an accounts receivable purchase agreement with PNC Bank, National Association (“PNC”) and other parties thereto. On February 12, 2024, the accounts receivable purchase agreement was amended to include certain international subsidiaries of the company as parties to the agreement and Rackspace Receivables Canada Limited, a Canadian indirect subsidiary of the company, was established as a SPV.</w:t>
      </w:r>
    </w:p>
    <w:p>
      <w:pPr>
        <w:spacing w:after="0" w:line="19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accounts receivable sold during the three and six months ended June 30, 2024, we recorded $5.1 million and $10.9 million of expense, respectively, in “Other income (expense), net” in the Condensed Consolidated Statements of Comprehensive Income (Loss). This expense consisted of $5.0 million and $10.3 million of yield charges and fees for the three and six months ended June 30, 2024, respectively, and $0.1 million and $0.6 million of upfront transaction costs associated with the execution of the agreement for the three and six months ended June 30, 2024, respectively. The outstanding portfolio of sold accounts receivable derecognized from our Condensed Consolidated Balance Sheet as of December 31, 2023 and June 30, 2024 was $223.8 million and $205.8 million, respectively. The SPVs hold unsold accounts receivable of $127.3 million as of June 30, 2024 that are pledged as collateral to PNC.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Earnings (Loss) Per Share</w:t>
      </w:r>
    </w:p>
    <w:p>
      <w:pPr>
        <w:spacing w:after="0" w:line="25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Basic net earnings (loss) per share is calculated by dividing net income (loss) attributable to common stockholders by the weighted average number of shares of common stock outstanding during the period. Diluted net earnings (loss) per share is calculated based on the weighted average number of shares of common stock plus the dilutive effect of potential common share equivalents outstanding during the period as determined under the treasury stock method.</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(loss)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earnings (loss) per share: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w:t>
            </w:r>
          </w:p>
        </w:tc>
      </w:tr>
      <w:tr>
        <w:trPr>
          <w:trHeight w:val="209"/>
        </w:trPr>
        <w:tc>
          <w:tcPr>
            <w:tcW w:w="4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Number of shares used in per share computations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r>
      <w:tr>
        <w:trPr>
          <w:trHeight w:val="212"/>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earnings (loss) per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4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r>
      <w:tr>
        <w:trPr>
          <w:trHeight w:val="229"/>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5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Number of shares used in per share computations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r>
      <w:tr>
        <w:trPr>
          <w:trHeight w:val="212"/>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We excluded</w:t>
      </w:r>
    </w:p>
    <w:p>
      <w:pPr>
        <w:ind w:right="80"/>
        <w:spacing w:after="0" w:line="255" w:lineRule="auto"/>
        <w:rPr>
          <w:sz w:val="20"/>
          <w:szCs w:val="20"/>
          <w:color w:val="auto"/>
        </w:rPr>
      </w:pPr>
      <w:r>
        <w:rPr>
          <w:rFonts w:ascii="Times New Roman" w:cs="Times New Roman" w:eastAsia="Times New Roman" w:hAnsi="Times New Roman"/>
          <w:sz w:val="18"/>
          <w:szCs w:val="18"/>
          <w:color w:val="auto"/>
        </w:rPr>
        <w:t>42.8 million and 44.3 million potential common shares from the computation of dilutive loss per share for the three months ended June 30, 2023 and 2024, respectively, and 42.8 million and 33.7 million for the six months ended June 30, 2023 and 2024, respectively,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Equipment and Software,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1,157.0</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410.9</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at cost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2,022.1</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(1,422.6)</w:t>
            </w: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2"/>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612.2</w:t>
            </w:r>
          </w:p>
        </w:tc>
      </w:tr>
      <w:tr>
        <w:trPr>
          <w:trHeight w:val="21"/>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In October 2022, we announced our intention to sell our current corporate headquarters facility located in Windcrest, Texas and relocate our corporate headquarters to leased office space in San Antonio, Texas. As such, as of December 31, 2022, this property met the criteria to be classified as held for sale under GAAP and the carrying amount of the property was remeasured each reporting period for changes in the estimated fair value, less cost to sell.</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March 2024, we completed the sale of the property. The property’s estimated fair value, less estimated cost to sell prior to the sale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 million and we received cash proceeds of $17.5 million, less brokerage and professional fees of $0.6 million, resulting in net cash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 million. In connection with the completion of the sale, we paid a $9.0 million early termination fee to certain local governments related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the Master Economic Incentives Agreement (the “MEIA”) associated with the property. This amount is included in “Selling,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in our Condensed Consolidated Statements of Comprehensive Income (Loss)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changes in the carrying amounts of goodwill by reportable segment.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Public Cloud</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Private Cloud</w:t>
            </w:r>
          </w:p>
        </w:tc>
        <w:tc>
          <w:tcPr>
            <w:tcW w:w="36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goodwill as of December 31, 2023</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impairment charges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r>
      <w:tr>
        <w:trPr>
          <w:trHeight w:val="212"/>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2023</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r>
      <w:tr>
        <w:trPr>
          <w:trHeight w:val="213"/>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goodwill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r>
      <w:tr>
        <w:trPr>
          <w:trHeight w:val="21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net as of June 30, 2024</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 as of June 30, 2024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2,159.7</w:t>
            </w:r>
          </w:p>
        </w:tc>
      </w:tr>
      <w:tr>
        <w:trPr>
          <w:trHeight w:val="219"/>
        </w:trPr>
        <w:tc>
          <w:tcPr>
            <w:tcW w:w="6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Less: accumulated impairment charges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net as of June 30, 2024</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877.7</w:t>
            </w:r>
          </w:p>
        </w:tc>
      </w:tr>
      <w:tr>
        <w:trPr>
          <w:trHeight w:val="21"/>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500" w:right="340" w:hanging="492"/>
        <w:spacing w:after="0" w:line="280" w:lineRule="auto"/>
        <w:tabs>
          <w:tab w:leader="none" w:pos="40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consolidated basis, gross and net goodwill as of June 30, 2024 was $3,041.6 million and $877.7 million, respectively. Accumulated impairment charges on a consolidated basis was $2,163.9 million as of June 30, 2024.</w:t>
      </w:r>
    </w:p>
    <w:p>
      <w:pPr>
        <w:spacing w:after="0" w:line="187"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See Note 1, "Company Overview, Basis of Presentation, and Summary of Significant Accounting Policies," for discussion of the goodwill impairment charges recorded during the six months ended June 30, 2023 and 2024.</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intangible assets other than goodwill: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780.9</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0" w:type="dxa"/>
            <w:vAlign w:val="bottom"/>
          </w:tcPr>
          <w:p>
            <w:pPr>
              <w:spacing w:after="0"/>
              <w:rPr>
                <w:sz w:val="1"/>
                <w:szCs w:val="1"/>
                <w:color w:val="auto"/>
              </w:rPr>
            </w:pPr>
          </w:p>
        </w:tc>
      </w:tr>
      <w:tr>
        <w:trPr>
          <w:trHeight w:val="213"/>
        </w:trPr>
        <w:tc>
          <w:tcPr>
            <w:tcW w:w="2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Trade name (indefinite-lived)</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145"/>
        </w:trPr>
        <w:tc>
          <w:tcPr>
            <w:tcW w:w="2740" w:type="dxa"/>
            <w:vAlign w:val="bottom"/>
            <w:tcBorders>
              <w:top w:val="single" w:sz="8" w:color="CCEEFF"/>
            </w:tcBorders>
            <w:shd w:val="clear" w:color="auto" w:fill="CCEEFF"/>
          </w:tcPr>
          <w:p>
            <w:pPr>
              <w:ind w:left="340"/>
              <w:spacing w:after="0" w:line="145" w:lineRule="exact"/>
              <w:rPr>
                <w:sz w:val="20"/>
                <w:szCs w:val="20"/>
                <w:color w:val="auto"/>
              </w:rPr>
            </w:pPr>
            <w:r>
              <w:rPr>
                <w:rFonts w:ascii="Times New Roman" w:cs="Times New Roman" w:eastAsia="Times New Roman" w:hAnsi="Times New Roman"/>
                <w:sz w:val="16"/>
                <w:szCs w:val="16"/>
                <w:color w:val="auto"/>
              </w:rPr>
              <w:t>Total intangible assets other than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(1,177.5)</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six months ended June 30, 2024 we recognized impairment charges of $20.0 million related to our trade name indefinite-lived intangible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w:t>
      </w:r>
    </w:p>
    <w:p>
      <w:pPr>
        <w:spacing w:after="0" w:line="234"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For more information, see the discussion of our impairment charges in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Debt Instrument</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54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b w:val="1"/>
                <w:bCs w:val="1"/>
                <w:color w:val="auto"/>
              </w:rPr>
              <w:t>Interest Rate</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980" w:type="dxa"/>
            <w:vAlign w:val="bottom"/>
            <w:gridSpan w:val="4"/>
          </w:tcPr>
          <w:p>
            <w:pPr>
              <w:jc w:val="right"/>
              <w:ind w:right="659"/>
              <w:spacing w:after="0" w:line="216" w:lineRule="exact"/>
              <w:rPr>
                <w:sz w:val="20"/>
                <w:szCs w:val="20"/>
                <w:color w:val="auto"/>
              </w:rPr>
            </w:pPr>
            <w:r>
              <w:rPr>
                <w:rFonts w:ascii="Times New Roman" w:cs="Times New Roman" w:eastAsia="Times New Roman" w:hAnsi="Times New Roman"/>
                <w:sz w:val="16"/>
                <w:szCs w:val="16"/>
                <w:b w:val="1"/>
                <w:bCs w:val="1"/>
                <w:color w:val="auto"/>
              </w:rPr>
              <w:t>Interest Rate</w:t>
            </w:r>
            <w:r>
              <w:rPr>
                <w:rFonts w:ascii="Times New Roman" w:cs="Times New Roman" w:eastAsia="Times New Roman" w:hAnsi="Times New Roman"/>
                <w:sz w:val="21"/>
                <w:szCs w:val="21"/>
                <w:b w:val="1"/>
                <w:bCs w:val="1"/>
                <w:color w:val="auto"/>
                <w:vertAlign w:val="superscript"/>
              </w:rPr>
              <w:t>(1)</w:t>
            </w: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0" w:type="dxa"/>
            <w:vAlign w:val="bottom"/>
          </w:tcPr>
          <w:p>
            <w:pPr>
              <w:spacing w:after="0"/>
              <w:rPr>
                <w:sz w:val="1"/>
                <w:szCs w:val="1"/>
                <w:color w:val="auto"/>
              </w:rPr>
            </w:pPr>
          </w:p>
        </w:tc>
      </w:tr>
      <w:tr>
        <w:trPr>
          <w:trHeight w:val="209"/>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FLSO Term Loan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15, 2028</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8.19%</w:t>
            </w: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1,659.4</w:t>
            </w:r>
          </w:p>
        </w:tc>
        <w:tc>
          <w:tcPr>
            <w:tcW w:w="0" w:type="dxa"/>
            <w:vAlign w:val="bottom"/>
          </w:tcPr>
          <w:p>
            <w:pPr>
              <w:spacing w:after="0"/>
              <w:rPr>
                <w:sz w:val="1"/>
                <w:szCs w:val="1"/>
                <w:color w:val="auto"/>
              </w:rPr>
            </w:pPr>
          </w:p>
        </w:tc>
      </w:tr>
      <w:tr>
        <w:trPr>
          <w:trHeight w:val="23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FLFO Term Loan Facility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11.69%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Facility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15,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110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8.19%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Revolving Credit Facility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August 7, 2025</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3.50% FLSO Senior Secured Notes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3.50%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3.50% Senior Secured Notes</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15,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w:t>
            </w:r>
          </w:p>
        </w:tc>
        <w:tc>
          <w:tcPr>
            <w:tcW w:w="110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3.50%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5.375% Senior Notes</w:t>
            </w:r>
          </w:p>
        </w:tc>
        <w:tc>
          <w:tcPr>
            <w:tcW w:w="17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1, 2028</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100" w:type="dxa"/>
            <w:vAlign w:val="bottom"/>
            <w:tcBorders>
              <w:bottom w:val="single" w:sz="8" w:color="CCEEFF"/>
            </w:tcBorders>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5.375%</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principal amount outstanding</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2,483.7</w:t>
            </w:r>
          </w:p>
        </w:tc>
        <w:tc>
          <w:tcPr>
            <w:tcW w:w="0" w:type="dxa"/>
            <w:vAlign w:val="bottom"/>
          </w:tcPr>
          <w:p>
            <w:pPr>
              <w:spacing w:after="0"/>
              <w:rPr>
                <w:sz w:val="1"/>
                <w:szCs w:val="1"/>
                <w:color w:val="auto"/>
              </w:rPr>
            </w:pPr>
          </w:p>
        </w:tc>
      </w:tr>
      <w:tr>
        <w:trPr>
          <w:trHeight w:val="162"/>
        </w:trPr>
        <w:tc>
          <w:tcPr>
            <w:tcW w:w="34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Unamortized debt issuance costs, debt premium,</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and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Contractual interest rate as of each respective balance sheet date.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Refinancing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Exchange</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12, 2024, we (together with certain of our subsidiaries) closed a private debt exchange (the “Private Exchange”) with (i) holders of the 3.50% Senior Secured Notes (the “Existing Secured Notes”) issued by Rackspace Technology Global (the “Existing Borrower”) representing more than 64% of the aggregate principal amount outstanding of the Existing Secured Notes as of December 31, 2023, and (ii) lenders representing more than 72% of the aggregate principal amount of the outstanding term loan facility under the First Lien Credit Agreement (the “Existing Term Loans”) as of December 31, 2023.</w:t>
      </w:r>
    </w:p>
    <w:p>
      <w:pPr>
        <w:spacing w:after="0" w:line="210"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Pursuant to the Private Exchange, (i) $331.4 million aggregate principal amount of Existing Secured Notes and $1,588.8 million aggregate principal amount of the Existing Term Loans were exchanged or purchased for cancellation and (ii) $267.3 million aggregate principal amount of new first lien second out senior secured notes (the “3.50% FLSO Senior Secured Notes”) and $1,312.0 million aggregate principal amount of new first lien second out senior secured term loans (the “FLSO Term Loan Facility” and the loans thereunder, the “FLSO Term Loans”) were issued by Rackspace Finance, LLC, a new subsidiary of the company (the “New Borrower”).</w:t>
      </w:r>
    </w:p>
    <w:p>
      <w:pPr>
        <w:spacing w:after="0" w:line="21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the New Borrower issued $275.0 million aggregate principal amount of new first lien first out senior secured term loans (the “FLFO Term Loan Facility” and the loans thereunder, the “FLFO Term Loans”) and we repurchased and cancelled $69.3 million aggregate principal amount of the 5.375% Senior Notes.</w:t>
      </w:r>
    </w:p>
    <w:p>
      <w:pPr>
        <w:spacing w:after="0" w:line="201" w:lineRule="exact"/>
        <w:rPr>
          <w:sz w:val="20"/>
          <w:szCs w:val="20"/>
          <w:color w:val="auto"/>
        </w:rPr>
      </w:pPr>
    </w:p>
    <w:p>
      <w:pPr>
        <w:ind w:right="180" w:firstLine="486"/>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New Debt Instruments</w:t>
      </w:r>
      <w:r>
        <w:rPr>
          <w:rFonts w:ascii="Times New Roman" w:cs="Times New Roman" w:eastAsia="Times New Roman" w:hAnsi="Times New Roman"/>
          <w:sz w:val="18"/>
          <w:szCs w:val="18"/>
          <w:color w:val="auto"/>
        </w:rPr>
        <w:t>” below for additional discussion of the new 3.50% FLSO Senior Secured Notes, FLSO Term Loan Facility, and FLFO Term Loan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Exchanges</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March 13, 2024, we launched an offer to all of the holders of the Existing Borrower’s remaining Existing Term Loans (the “Public Term Loan Exchange”). On March 26, 2024, we closed the Public Term Loan Exchange, pursuant to which (i) $529.9 million aggregate principal amount of the Existing Term Loans were exchanged or purchased for cancellation and (ii) $375.1 million aggregate principal amount of FLSO Term Loans was issued by the New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14, 2024, we launched an offer to all of the holders of the Existing Borrower’s remaining Existing Secured Notes (the “Public Note Exchange”). On April 16, 2024, we completed the Public Note Exchange, pursuant to which (i) $138.4 million aggregate principal amount of Existing Secured Notes were exchanged or purchased for cancellation and (ii) $96.9 million aggregate principal amount of 3.50% FLSO Senior Secured Notes were issued by the New Borrower.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Revolving Credit Facility</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12, 2024, the New Borrower also established the new first lien first out revolving credit commitments in an aggregate principal amount of $375.0 million (the “New Revolving Credit Facility”).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New Debt Instruments</w:t>
      </w:r>
      <w:r>
        <w:rPr>
          <w:rFonts w:ascii="Times New Roman" w:cs="Times New Roman" w:eastAsia="Times New Roman" w:hAnsi="Times New Roman"/>
          <w:sz w:val="18"/>
          <w:szCs w:val="18"/>
          <w:color w:val="auto"/>
        </w:rPr>
        <w:t>” below for additional discussion of the New Revolving Credit Facility.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Impacts</w:t>
      </w:r>
    </w:p>
    <w:p>
      <w:pPr>
        <w:spacing w:after="0" w:line="254"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performed an assessment of the March 2024 Refinancing Transactions and determined it met the criteria to be accounted for as a troubled debt restructuring under Accounting Standards Codification No. 470-60, </w:t>
      </w:r>
      <w:r>
        <w:rPr>
          <w:rFonts w:ascii="Times New Roman" w:cs="Times New Roman" w:eastAsia="Times New Roman" w:hAnsi="Times New Roman"/>
          <w:sz w:val="18"/>
          <w:szCs w:val="18"/>
          <w:i w:val="1"/>
          <w:iCs w:val="1"/>
          <w:color w:val="auto"/>
        </w:rPr>
        <w:t>Troubled Debt Restructurings by Debtors</w:t>
      </w:r>
      <w:r>
        <w:rPr>
          <w:rFonts w:ascii="Times New Roman" w:cs="Times New Roman" w:eastAsia="Times New Roman" w:hAnsi="Times New Roman"/>
          <w:sz w:val="18"/>
          <w:szCs w:val="18"/>
          <w:color w:val="auto"/>
        </w:rPr>
        <w:t>. For each series of the Existing Debt Instruments exchanged, the undiscounted cash flows associated with the New Debt Instruments issued were compared to the carrying value of the Existing Debt Instruments exchanged for such New Debt Instruments and the applicable exchange was accounted for as follows: (i) to the extent the undiscounted cash flows of the New Debt Instruments in question were lower than the carrying value of the applicable Existing Debt Instruments exchanged, the carrying value of the applicable New Debt Instruments was established at the total of these undiscounted cash flows, with a gain recorded for the remaining difference between this value and the carrying value of the applicable Existing Debt Instruments (as such, no interest expense will be recorded for the applicable 3.50% FLSO Senior Secured Notes prospectively) and (ii) to the extent the undiscounted cash flows of the New Debt Instruments in question exceeded the carrying value of the applicable Existing Debt Instruments exchanged, the carrying value of the applicable New Debt Instruments was established at the carrying value of the applicable Existing Debt Instruments and the company established new effective interest rates based on the carrying value of the applicable Existing Term Loans prior to the March 2024 Refinancing Transaction.</w:t>
      </w:r>
    </w:p>
    <w:p>
      <w:pPr>
        <w:spacing w:after="0" w:line="21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difference between the principal amount of the 3.50% FLSO Senior Secured Notes and the carrying value was recorded as a premium and is included in long-term debt on the company’s Condensed Consolidated Balance Sheets.</w:t>
      </w:r>
    </w:p>
    <w:p>
      <w:pPr>
        <w:spacing w:after="0" w:line="18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premium recorded on the 3.50% FLSO Senior Secured Notes was $39.1 million, which will be reduced as contractual interest payments are made on the 3.50% FLSO Senior Secured Notes.</w:t>
      </w:r>
    </w:p>
    <w:p>
      <w:pPr>
        <w:spacing w:after="0" w:line="18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March 2024 Refinancing Transactions, the company recorded a gain in the first quarter of 2024 of $56.7 million after deducting third-party costs and lender fees incurred. The gain is included in "Debt modification costs and gain on debt extinguishment" in our Condensed Consolidated Statements of Comprehensive Income (Loss). The company incurred third party fees of $28.4 million.</w:t>
      </w:r>
    </w:p>
    <w:p>
      <w:pPr>
        <w:spacing w:after="0" w:line="203"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The March 2024 Refinancing Transactions were completed in April 2024 with the closing of the Public Note Exchange. In connection with the Public Note Exchange, we recorded a $23.3 million gain, after deducting $3.3 million of third-party fees, in the second quarter of 2024. The gain is included in "Debt modification costs and gain on debt extinguishment" in our Condensed Consolidated Statements of Comprehensive Income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Senior Facilities</w:t>
      </w:r>
    </w:p>
    <w:p>
      <w:pPr>
        <w:spacing w:after="0" w:line="254" w:lineRule="exact"/>
        <w:rPr>
          <w:sz w:val="20"/>
          <w:szCs w:val="20"/>
          <w:color w:val="auto"/>
        </w:rPr>
      </w:pPr>
    </w:p>
    <w:p>
      <w:pPr>
        <w:ind w:right="280" w:firstLine="486"/>
        <w:spacing w:after="0" w:line="289" w:lineRule="auto"/>
        <w:rPr>
          <w:sz w:val="20"/>
          <w:szCs w:val="20"/>
          <w:color w:val="auto"/>
        </w:rPr>
      </w:pPr>
      <w:r>
        <w:rPr>
          <w:rFonts w:ascii="Times New Roman" w:cs="Times New Roman" w:eastAsia="Times New Roman" w:hAnsi="Times New Roman"/>
          <w:sz w:val="17"/>
          <w:szCs w:val="17"/>
          <w:color w:val="auto"/>
        </w:rPr>
        <w:t>On March 12, 2024, Rackspace Finance Holdings, LLC (“Rackspace Finance Holdings”), the New Borrower,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FLSO Term Loan Facility</w:t>
      </w:r>
    </w:p>
    <w:p>
      <w:pPr>
        <w:spacing w:after="0" w:line="25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New Borrower issued the FLSO Term Loan Facility in an aggregate principal amount of $1,687.2 million. The FLSO Term Loan Facility matures on May 15, 2028. Borrowings under the FLSO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2.75%.</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 contractual interest rate on the FLSO Term Loan Facility was 8.19%. We are required to make quarterly principal payments of $4.2 million, which began on March 31, 2024. See Note 11, “Derivatives,” for information on interest rate swap agreements we utilize to manage the interest rate risk on the FLSO Term Loan Facility.</w:t>
      </w:r>
    </w:p>
    <w:p>
      <w:pPr>
        <w:spacing w:after="0" w:line="203"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Affiliates of ABRY Partners, LLC and ABRY Partners II, LLC (collectively, “ABRY”) are FLSO Term Loan Facility lenders under the New First Lien Credit Agreement. As of June 30, 2024, the outstanding principal amount of the FLSO Term Loan Facility was $1,659.4 million, of which $49.8 million, or 3.0%, is due to ABRY affiliates. Investment funds affiliated with ABRY are also co-investors in Rackspace Technology.</w:t>
      </w:r>
    </w:p>
    <w:p>
      <w:pPr>
        <w:spacing w:after="0" w:line="20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Apollo Global Management, Inc. also held $80.9 million, or 4.9%, of the outstanding principal amount of the FLSO Term Loan Facility.</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Prior to September 12, 2025, the New Borrower may prepay some or all of the FLSO Term Loan Facility, together with accrued and unpaid interest, subject to the applicable “make-whole” premium. On or after September 12, 2025, the New Borrower may prepay some or all of the FLSO Term Loan Facility, together with accrued and unpaid interest, without prepayment premium or penalty.</w:t>
      </w:r>
    </w:p>
    <w:p>
      <w:pPr>
        <w:spacing w:after="0" w:line="20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the New Borrower repurchased and surrendered for cancellation $19.3 million principal amount of the FLSO Term Loan Facility for $9.4 million. In connection with these repurchases, we recorded a gain, included in "Debt modification costs and gain on debt extinguishment", of $14.1 million, in our Condensed Consolidated Statements of Comprehensive Income (Loss) for the three and six months ended June 30, 2024, which includes $4.1 million of unamortized debt issuance costs and debt premium write-offs.</w:t>
      </w:r>
    </w:p>
    <w:p>
      <w:pPr>
        <w:spacing w:after="0" w:line="207"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FLSO Term Loan Facility as of June 30, 2024 was $730.1 million, based on quoted market prices for identical assets that are traded in over-the-counter secondary markets that are not considered active. The fair value of the FLSO Term Loan Facility is classified as Level 2 within the fair value hierarchy.</w:t>
      </w:r>
    </w:p>
    <w:p>
      <w:pPr>
        <w:spacing w:after="0" w:line="203"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FLSO Term Loan Facility are guaranteed on a senior secured basis, jointly and severally, by Rackspace Finance Holdings on a limited-recourse basis and by certain of the New Borrower’s subsidiaries (the “Subsidiary Guarantors”). The obligations under the FLSO Term Loan Facility are secured by a pledge of the New Borrower’s capital stock directly held by Rackspace Finance Holdings and substantially all of the New Borrower’s and the Subsidiary Guarantors’ assets, subject to exceptions.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FLSO Term Loan Facility contains certain customary affirmative covenants, negative covenants, and events of default.</w:t>
      </w:r>
    </w:p>
    <w:p>
      <w:pPr>
        <w:spacing w:after="0" w:line="252"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New Borrower initiated repurchases of an additional $24.2 million aggregate principal amount of the FLSO Term Loan Facility for $11.2 million. These repurchases subsequently settled on July 15, 2024. As such, this amount is included within current debt on the Condensed Consolidated Balance Sheet as of June 30,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FLFO Term Loan Facility</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New Borrower issued the FLFO Term Loan Facility in an initial aggregate principal amount of $275.0 million. The FLFO Term Loan Facility matures on May 15, 2028. Borrowings under the FLFO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6.25% and were issued with 1.00% of original issue discount.</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 contractual interest rate on the FLFO Term Loan Facility was 11.69%. We are required to make quarterly principal payments of $0.7 million, which began on June 30, 2024. See Note 11, “Derivatives,” for information on interest rate swap agreements we utilize to manage the interest rate risk on the FLFO Term Loan Facility.</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Prior to September 12, 2025, the New Borrower may prepay some or all of the FLFO Term Loan Facility, together with accrued and unpaid interest, subject to the applicable “make-whole” premium. On or after September 12, 2025 but prior to September 12, 2027, the New Borrower 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the New Borrower may prepay some or all of the FLFO Term Loan Facility, together with accrued and unpaid interest, without prepayment premium or penalty.</w:t>
      </w:r>
    </w:p>
    <w:p>
      <w:pPr>
        <w:spacing w:after="0" w:line="214"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FLFO Term Loan Facility as of June 30, 2024 was $276.7 million, based on quoted market prices for identical assets that are traded in over-the-counter secondary markets that are not considered active. The fair value of the FLFO Term Loan Facility is classified as Level 2 within the fair value hierarchy.</w:t>
      </w:r>
    </w:p>
    <w:p>
      <w:pPr>
        <w:spacing w:after="0" w:line="203"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FLFO Term Loan Facility contains certain customary affirmative covenants, negative covenants, and events of default.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Revolving Credit Facility</w:t>
      </w:r>
    </w:p>
    <w:p>
      <w:pPr>
        <w:spacing w:after="0" w:line="25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New Borrower established the New Revolving Credit Facility in an aggregate principal amount of $375.0 million of commitments. The New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After June 30, 2024, the applicable margin became subject to a net first lien leverage-based pricing grid as set forth in the New First Lien Credit Agreement. In addition to paying interest on the outstanding principal under the New Revolving Credit Facility, the New Borrower is required to pay a commitment fee equal to initially 0.50% per annum to the lenders under the New Revolving Credit Facility in respect of the unutilized commitments thereunder. After June 30, 2024, the commitment fee became subject to a net first lien leverage-based pricing grid as set forth in the New First Lien Credit Agreement. The New Borrower may prepay loans incurred under the New Revolving Credit Facility, together with accrued and unpaid interest, without prepayment premium or penalty.</w:t>
      </w:r>
    </w:p>
    <w:p>
      <w:pPr>
        <w:spacing w:after="0" w:line="21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New Revolving Credit Facility are guaranteed on a senior secured basis, jointly and severally, by Rackspace Finance Holdings on a limited-recourse basis and by the Subsidiary Guarantors. The obligations under the New Revolving Credit Facility are secured by the same collateral that secures the FLSO Term Loan Facility, the FLFO Term Loan Facility and the 3.50% FLSO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New Revolving Credit Facility contains certain customary affirmative covenants, negative covenants, and events of default. In addition, the New Revolving Credit Facility contains a financial covenant which limits the super-priority net senior secured leverage ratio to a maximum of 5.00 to 1.00; however, this covenant is only applicable and tested if the aggregate amount of outstanding borrowings under the New Revolving Credit Facility and letters of credit issued thereunder (excluding $25.0 million of undrawn letters of credit and cash collateralized letters of credit) as of the last day of a fiscal quarter is greater than 35% of the New Revolving Credit Facility commitments as of the last day of such fiscal quarter.</w:t>
      </w:r>
    </w:p>
    <w:p>
      <w:pPr>
        <w:spacing w:after="0" w:line="210"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we had total commitments of $375.0 million, no outstanding borrowings under the New Revolving Credit Facility, and $23.5 million of letters of credit issued thereunder. As such, as of June 30, 2024, we had $375.0 million of available commitments remaining.</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we were in compliance with all covenants under the New Senior Facilities.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FLSO Senior Secured Notes due 2028</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12, 2024, the New Borrower issued $267.3 million initial aggregate principal amount of the 3.50% FLSO Senior Secured Notes. On April 2, 2024 and April 16, 2024, the New Borrower issued additional 3.50% FLSO Senior Secured Notes in an aggregate principal amount of $93.3 million and $3.6 million, respectively. The 3.50% FLSO Senior Secured Notes will mature on May 15, 2028 and bear interest at an annual fixed rate of 3.50%. Interest is payable semiannually on each February 15 and August 15, commencing on August 15, 2024. The 3.50% FLSO Senior Secured Notes are not subject to registration rights.</w:t>
      </w:r>
    </w:p>
    <w:p>
      <w:pPr>
        <w:spacing w:after="0" w:line="21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New Borrower may redeem some or all of the 3.50% FLSO Senior Secured Notes at its option prior to September 12, 2025 at a redemption price equal to 100% of the principal amount of the 3.50% FLSO Senior Secured Notes redeemed, plus a “make-whole” premium described in the indenture governing the 3.50% FLSO Senior Secured Notes (the “3.50% FLSO Senior Secured Notes Indenture”), plus accrued and unpaid interest, if any, to, but excluding, the redemption date. Commencing September 12, 2025, the New Borrower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New Borrower repurchased and surrendered for cancellation $45.7 million principal amount of the 3.50% FLSO Senior Secured Notes for $19.3 million, including accrued interest of $0.4 million. In connection with these repurchases, we recorded a gain, included in "Debt modification costs and gain on debt extinguishment", of $33.0 million, in our Condensed Consolidated Statements of Comprehensive Income (Loss) for the three and six months ended June 30, 2024, which includes $6.3 million of unamortized debt issuance costs and debt premium write-offs.</w:t>
      </w:r>
    </w:p>
    <w:p>
      <w:pPr>
        <w:spacing w:after="0" w:line="2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we were in compliance with all covenants under the 3.50% FLSO Senior Secured Notes Indenture.</w:t>
      </w:r>
    </w:p>
    <w:p>
      <w:pPr>
        <w:spacing w:after="0" w:line="25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3.50% FLSO Senior Secured Notes as of June 30, 2024 was $136.9 million based on quoted market prices for identical assets that are traded in over-the-counter secondary markets that are not considered active. The fair value of the 3.50% FLSO Senior Secured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Facilities</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senior secured credit facilities include the Term Loan Facility and the prior Revolving Credit Facility (together, the "Senior Facilities").</w:t>
      </w:r>
    </w:p>
    <w:p>
      <w:pPr>
        <w:spacing w:after="0" w:line="252"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On February 9, 2021, we amended and restated the credit agreement governing our Senior Facilities (the "First Lien Credit Agreement"), which included a seven-year $2,300.0 million senior secured first lien term loan facility due on February 15, 2028 and our existing $375.0 million Revolving Credit Facility.</w:t>
      </w:r>
    </w:p>
    <w:p>
      <w:pPr>
        <w:spacing w:after="0" w:line="20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On April 26, 2023, we executed an amendment to our First Lien Credit Agreement to establish Term SOFR as the benchmark rate for determining the applicable interest rate, replacing LIBOR.</w:t>
      </w:r>
    </w:p>
    <w:p>
      <w:pPr>
        <w:spacing w:after="0" w:line="189" w:lineRule="exact"/>
        <w:rPr>
          <w:sz w:val="20"/>
          <w:szCs w:val="20"/>
          <w:color w:val="auto"/>
        </w:rPr>
      </w:pPr>
    </w:p>
    <w:p>
      <w:pPr>
        <w:jc w:val="both"/>
        <w:ind w:right="20" w:firstLine="486"/>
        <w:spacing w:after="0" w:line="257" w:lineRule="auto"/>
        <w:rPr>
          <w:sz w:val="20"/>
          <w:szCs w:val="20"/>
          <w:color w:val="auto"/>
        </w:rPr>
      </w:pPr>
      <w:r>
        <w:rPr>
          <w:rFonts w:ascii="Times New Roman" w:cs="Times New Roman" w:eastAsia="Times New Roman" w:hAnsi="Times New Roman"/>
          <w:sz w:val="18"/>
          <w:szCs w:val="18"/>
          <w:color w:val="auto"/>
        </w:rPr>
        <w:t>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0.26% for an interest period of three-months' duration, and 0.43% for an interest period of six-months' duration, subject to a 0.75% floor, in the case of the Term Loan Facility, and a 1.00% floor, in the case of the Revolving Credit Facility, or (b) a base rate determined by reference to the highest of (i) the federal funds rate plus 0.50%, (ii) the prime rate of Citibank, N.A. and (iii) adjusted Term SOFR for a one-month tenor plus 1.00%.</w:t>
      </w:r>
    </w:p>
    <w:p>
      <w:pPr>
        <w:spacing w:after="0" w:line="21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applicable margin for the Term Loan Facility is 2.75% for SOFR loans and 1.75% for base rate loans and the applicable margin for the Revolving Credit Facility is 3.00% for SOFR loans and 2.00% for base rate loans. Interest is due at the end of each interest period elected, not exceeding 90 days, for SOFR loans and at the end of every calendar quarter for base rate loans.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material terms and conditions of the First Lien Credit Agreement were unchanged.</w:t>
      </w:r>
    </w:p>
    <w:p>
      <w:pPr>
        <w:spacing w:after="0" w:line="237"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color w:val="auto"/>
        </w:rPr>
        <w:t>As a result of the Private Exchange and the Public Term Loan Exchange, discussed within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over 97% of the $2,181.2 million aggregate principal amount of the Term Loan Facility outstanding as of December 31, 2023 was exchanged or purchased for cancellation.</w:t>
      </w:r>
    </w:p>
    <w:p>
      <w:pPr>
        <w:spacing w:after="0" w:line="20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203"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 contractual interest rate on the Term Loan Facility was 8.19%. We are required to make quarterly principal payments of $0.2 million. See Note 11, “Derivatives,” for information on interest rate swap agreements we utilize to manage the interest rate risk on the Term Loan Facility.</w:t>
      </w:r>
    </w:p>
    <w:p>
      <w:pPr>
        <w:spacing w:after="0" w:line="203"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w:t>
      </w:r>
    </w:p>
    <w:p>
      <w:pPr>
        <w:spacing w:after="0" w:line="210"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Term Loan Facility as of June 30, 2024 was $28.9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0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only financial covenant was with respect to the prior Revolving Credit Facility. As discussed 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on March 12, 2024, all revolving lenders under the prior Revolving Credit Facility exchanged their revolving loan commitments for commitments in respect of the New Revolving Credit Facility, which replaces in full the prior Revolving Credit Facility. See “</w:t>
      </w:r>
      <w:r>
        <w:rPr>
          <w:rFonts w:ascii="Times New Roman" w:cs="Times New Roman" w:eastAsia="Times New Roman" w:hAnsi="Times New Roman"/>
          <w:sz w:val="18"/>
          <w:szCs w:val="18"/>
          <w:i w:val="1"/>
          <w:iCs w:val="1"/>
          <w:color w:val="auto"/>
        </w:rPr>
        <w:t>New Revolving Credit Facility</w:t>
      </w:r>
      <w:r>
        <w:rPr>
          <w:rFonts w:ascii="Times New Roman" w:cs="Times New Roman" w:eastAsia="Times New Roman" w:hAnsi="Times New Roman"/>
          <w:sz w:val="18"/>
          <w:szCs w:val="18"/>
          <w:color w:val="auto"/>
        </w:rPr>
        <w:t>” above for information regarding this new debt instrument.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we were in compliance with all covenants under the Senior Facilities.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Senior Secured Notes due 2028</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9, 2021, Rackspace Technology Global issued $550.0 million aggregate principal amount of the 3.50% Senior Secured Notes.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Senior Secured Notes will mature on February 15, 2028 and bear interest at an annual fixed rate of 3.50%. Interest is payable semiannually 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on August 15, 2021. The 3.50% Senior Secured Notes are not subject to registration rights.</w:t>
      </w:r>
    </w:p>
    <w:p>
      <w:pPr>
        <w:spacing w:after="0" w:line="23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Rackspace Technology Global may redeem the 3.50% Senior Secured Notes at its option, in whole at any time or in part from time to time, at the following redemption prices: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2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indenture governing the 3.50% Senior Secured Notes (the “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Rackspace Technology Global was in compliance with all covenants under the 3.50% Notes Indenture.</w:t>
      </w:r>
    </w:p>
    <w:p>
      <w:pPr>
        <w:spacing w:after="0" w:line="25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Private Exchange and the Public Note Exchange, discussed above, over 91% of the $513.7 million aggregate principal amount of the 3.50% Senior Secured Notes outstanding as of December 31, 2023 was exchanged or purchased for cancellation.</w:t>
      </w:r>
    </w:p>
    <w:p>
      <w:pPr>
        <w:spacing w:after="0" w:line="18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3.50% Senior Secured Notes as of June 30, 2024 was $19.1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5.375% Senior Notes due 2028</w:t>
      </w:r>
    </w:p>
    <w:p>
      <w:pPr>
        <w:spacing w:after="0" w:line="254"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On December 1, 2020, Rackspace Technology Global issued $550.0 million aggregate principal amount of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20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Global may redeem the 5.375% Senior Notes at its option, in whole at any time or in part from time to time, at the following redemption prices: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2023, Rackspace Technology Global repurchased and surrendered for cancellation $142.1 million and $164.8 million principal amount of 5.375% Senior Notes for $46.8 million and $56.8 million, including accrued interest of $1.0 million and</w:t>
      </w:r>
    </w:p>
    <w:p>
      <w:pPr>
        <w:ind w:right="280"/>
        <w:spacing w:after="0" w:line="255" w:lineRule="auto"/>
        <w:rPr>
          <w:sz w:val="20"/>
          <w:szCs w:val="20"/>
          <w:color w:val="auto"/>
        </w:rPr>
      </w:pPr>
      <w:r>
        <w:rPr>
          <w:rFonts w:ascii="Times New Roman" w:cs="Times New Roman" w:eastAsia="Times New Roman" w:hAnsi="Times New Roman"/>
          <w:sz w:val="18"/>
          <w:szCs w:val="18"/>
          <w:color w:val="auto"/>
        </w:rPr>
        <w:t>$1.3 million, respectively. In connection with these repurchases, we recorded a gain, included in "Debt modification costs and gain on debt extinguishment", of $94.9 million and $107.7 million, respectively, in our Condensed Consolidated Statements of Comprehensive Income (Loss) for the three and six months ended June 30, 2023, which includes $1.3 million and $1.6 million of unamortized debt issuance costs write-offs, respectively.</w:t>
      </w:r>
    </w:p>
    <w:p>
      <w:pPr>
        <w:spacing w:after="0" w:line="211" w:lineRule="exact"/>
        <w:rPr>
          <w:sz w:val="20"/>
          <w:szCs w:val="20"/>
          <w:color w:val="auto"/>
        </w:rPr>
      </w:pPr>
    </w:p>
    <w:p>
      <w:pPr>
        <w:ind w:right="800" w:firstLine="486"/>
        <w:spacing w:after="0" w:line="284" w:lineRule="auto"/>
        <w:rPr>
          <w:sz w:val="20"/>
          <w:szCs w:val="20"/>
          <w:color w:val="auto"/>
        </w:rPr>
      </w:pPr>
      <w:r>
        <w:rPr>
          <w:rFonts w:ascii="Times New Roman" w:cs="Times New Roman" w:eastAsia="Times New Roman" w:hAnsi="Times New Roman"/>
          <w:sz w:val="18"/>
          <w:szCs w:val="18"/>
          <w:color w:val="auto"/>
        </w:rPr>
        <w:t>As previously described 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as part of the Private Exchange, we repurchased and cancelled $69.3 million aggregate principal amount of the 5.375% Senior Notes during the six months ended June 30, 2024.</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during the three months ended June 30, 2024, Rackspace Technology Global repurchased and surrendered for cancellation $2.9 million principal amount of 5.375% Senior Notes for $0.8 million. In connection with these repurchases, we recorded a gain, included in "Debt modification costs and gain on debt extinguishment", of $2.1 million, in our Condensed Consolidated Statements of Comprehensive Income (Loss) for the three and six months ended June 30, 2024.</w:t>
      </w:r>
    </w:p>
    <w:p>
      <w:pPr>
        <w:spacing w:after="0" w:line="20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indenture governing the 5.375% Senior Notes ( 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Rackspace Technology Global was in compliance with all covenants under the 5.375% Notes Indenture.</w:t>
      </w:r>
    </w:p>
    <w:p>
      <w:pPr>
        <w:spacing w:after="0" w:line="25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5.375% Senior Notes as of June 30, 2024 was $34.2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207"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20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Headquarters Lease</w:t>
      </w:r>
    </w:p>
    <w:p>
      <w:pPr>
        <w:spacing w:after="0" w:line="25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February 2023, we signed an agreement to lease approximately 93,000 square feet of office space in San Antonio, Texas, which will serve as our new corporate headquarters. The initial lease term is 11 years, with three 5-year renewal options. In addition to monthly base rent, we will also pay a share of common area maintenance and operating expenses. The lease commenced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5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On April 22, 2024, the Board of Directors approved an amendment to the Rackspace Technology, Inc. 2020 Equity Incentive Plan (the "2020 Incentive Plan") to increase the maximum number of shares of our common stock available for issuance under the 2020 Incentive Plan from 57.9 million shares to 87.9 million shares, subject to stockholder approval. The amendment was subsequently approved by our stockholders as part of the 2024 Annual Meeting of Stockholders held on June 14, 2024.</w:t>
      </w:r>
    </w:p>
    <w:p>
      <w:pPr>
        <w:spacing w:after="0" w:line="20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granted 9.5 million restricted stock units ("RSUs") under the 2020 Incentive Plan with a weighted-average grant date fair value of $1.85. The majority of the RSUs were granted as part of our annual compensation award process and vest ratably over a three-year period, subject to continued service.</w:t>
      </w:r>
    </w:p>
    <w:p>
      <w:pPr>
        <w:spacing w:after="0" w:line="20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during the six months ended June 30, 2024, 0.6 million performance stock units ("PSUs") were granted under the 2020 Incentive Plan with a weighted-average grant date fair value of $2.78. The PSUs represent the target amount of grants, and the actual number of shares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w:t>
      </w:r>
    </w:p>
    <w:p>
      <w:pPr>
        <w:spacing w:after="0" w:line="21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Lastly, during the three and six months ended June 30, 2024, we granted 31.8 million long-term incentive cash units (“LTIC units”) under the 2020 Incentive Plan. The awards were valued using a Monte Carlo simulation and as of June 30, 2024 the LTIC units had a weighted average fair value of $0.98. The LTIC units represent the target amount of grants, and the actual number of units awarded upon vesting may vary depending upon the achievement of the relevant market condition which is based on the performance of our common stock. The awards are eligible to vest in equal installments over three years based on the attainment of the market condition and the employee’s continued service through the vesting date. As the company intends to settle the LTIC units in cash, they were classified as liabilities within “Other current liabilities” and “Other non-current liabilities” in the Condensed Consolidated Balance Sheets.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is comprised of the following equity and liability classified award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awards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Liability classified awards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37"/>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recognized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2"/>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Pre-tax share-based compensation expense</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3"/>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Income tax benefit</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37"/>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 net of tax</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there was $60.8 million of total unrecognized compensation cost related to stock options, RSUs, and PSUs, which will be recognized using the service period or over our best estimate of the period over which the performance condition will be met, as applicable.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Taxes</w:t>
      </w:r>
    </w:p>
    <w:p>
      <w:pPr>
        <w:spacing w:after="0" w:line="25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June 30, 2024, our effective tax rate is lower than the U.S. federal statutory rate of 21% primarily due to the tax impact associated with changes in the valuation allowance and the additional second quarter impact of the March 2024 Refinancing Transactions which were completed in April 2024. For the six months ended June 30, 2024, our effective tax rate is lower than the U.S. federal statutory rate of 21% primarily due to the tax impact associated with changes in the valuation allowance related to disallowed interest, the tax impact associated with the goodwill impairment recorded in the first quarter of 2024, the majority of which was nondeductible for income tax purposes, and the tax impact of the March 2024 Refinancing Transactions discussed below. The tax impact of the March 2024 Refinancing Transactions include excluded cancellation of indebtedness income (“CODI”), federal and state attribution reduction and changes in valuation allowance. In December 2021, the Organisation for Economic Co-operation and Development (the “OECD”) issued model rules for a new global minimum tax framework (Pillar Two). Governments in many of the countries where we operate have issued, or are in the process of issuing, legislation on this rule. We are currently evaluating, but do not expect this rule to have a material impact on our consolidated financial statements.</w:t>
      </w:r>
    </w:p>
    <w:p>
      <w:pPr>
        <w:spacing w:after="0" w:line="22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a result of the March 2024 Refinancing Transactions, discussed in Note 7, “Debt”, specifically upon the completion of the Private Exchange and Public Term Loan Exchange in March 2024, and the completion of the Public Note Exchange in April 2024, the company realized CODI for US tax purposes of $531.5 million and $80.5 million, respectively, for a total $612.0 million for the six months ended June 30, 2024. Pursuant to Internal Revenue Code (“IRC”) Section 108, an insolvent debtor may exclude CODI from taxable income to the extent of the debtor’s insolvency (liabilities greater than the fair value of its assets) but must reduce its tax attributes, subject to certain limitations and according to prescribed ordering rules, based on the amount of CODI excluded from taxable income. The company currently estimates that the level of its insolvency (as defined for US Tax purposes) exceeds the amount of CODI resulting from the March 2024 Refinancing Transactions, such that all resulting CODI will be excluded from the company’s taxable income.</w:t>
      </w:r>
    </w:p>
    <w:p>
      <w:pPr>
        <w:spacing w:after="0" w:line="21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process for determining the amount of tax attribute reduction is complex and the actual reduction to attributes does not occur until the first day of the company’s tax year subsequent to the date of the discharge event, or January 1, 2025. Therefore, the estimated impact of the tax attribute reduction from the March 2024 Refinancing Transactions is subject to change until the finalization of the company’s tax returns for the year ending December 31, 2024.</w:t>
      </w:r>
    </w:p>
    <w:p>
      <w:pPr>
        <w:spacing w:after="0" w:line="20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For purposes of determining the interim tax provision for the six months ended June 30, 2024, the company estimates that all its federal (and certain of its state) net operating loss and tax credit carryovers will be eliminated resulting from the tax attribute reduction for excluded CODI. For the six months ended June 30, 2024, the company recorded an income tax benefit of $88.0 million related to the total effects of the March 2024 Refinancing Transactions, including excluded CODI, federal and state tax attribute reduction, and resulting changes in valuation allowance. The total income tax benefit recorded in the six months ended June 30, 2024 was a tax benefit of $34.6 million which includes the $88.0 million tax benefit from the March 2024 Refinancing Transactions.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Derivatives</w:t>
      </w:r>
    </w:p>
    <w:p>
      <w:pPr>
        <w:spacing w:after="0" w:line="256"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5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the floating-rate Term Loan Facility, FLSO Term Loan Facility, and FLFO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210"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Condensed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approach.</w:t>
      </w:r>
    </w:p>
    <w:p>
      <w:pPr>
        <w:spacing w:after="0" w:line="21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14"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amount remaining in "Accumulated other comprehensive income" for the de-designated December 2016 and December 2018 swaps at the de-designation date was approximately $51.6 million, and is amortized as an increase to "Interest expense" over the effective period of the original swap agreements.</w:t>
      </w:r>
    </w:p>
    <w:p>
      <w:pPr>
        <w:spacing w:after="0" w:line="20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new receive-fixed interest rate swap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Condensed Consolidated Statements of Cash Flows.</w:t>
      </w:r>
    </w:p>
    <w:p>
      <w:pPr>
        <w:spacing w:after="0" w:line="20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new pay-fixed interest rate swap also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Condensed Consolidated Statements of Cash Flows while the portion treated as an at-market derivative will be classified as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7, "Debt", on April 26, 2023 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2.3820% to 2.34150% as a result of the swap agreement amendment.</w:t>
      </w:r>
    </w:p>
    <w:p>
      <w:pPr>
        <w:spacing w:after="0" w:line="21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On a monthly basis, we net settle with the counterparty for the difference between the fixed rate of 2.34150% and the variable rate based upon the one-month Term SOFR (subject to a floor of 0.75%) as applied to the notional amount of the swap.</w:t>
      </w:r>
    </w:p>
    <w:p>
      <w:pPr>
        <w:spacing w:after="0" w:line="189"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In conjunction with the March 2024 Refinancing Transactions, as discussed in Note 7, “Debt”, we issued additional borrowings and used the proceeds to repay previously hedged borrowings under the Term Loan Facility. Given that the specific intent of the new borrowings was a replacement of the previously hedged borrowings and the economic characteristics were the same, we continue to apply hedge accounting on the replacement borrowings.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and June 30, 2024, the cash flow hedge was highly effective.</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interest rate swaps are presented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19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20" w:type="dxa"/>
            <w:vAlign w:val="bottom"/>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100" w:type="dxa"/>
            <w:vAlign w:val="bottom"/>
            <w:vMerge w:val="restart"/>
          </w:tcPr>
          <w:p>
            <w:pPr>
              <w:spacing w:after="0"/>
              <w:rPr>
                <w:sz w:val="14"/>
                <w:szCs w:val="14"/>
                <w:color w:val="auto"/>
              </w:rPr>
            </w:pPr>
          </w:p>
        </w:tc>
        <w:tc>
          <w:tcPr>
            <w:tcW w:w="130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Fixed Rate Paid</w:t>
            </w:r>
          </w:p>
        </w:tc>
        <w:tc>
          <w:tcPr>
            <w:tcW w:w="168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1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00" w:type="dxa"/>
            <w:vAlign w:val="bottom"/>
            <w:vMerge w:val="restart"/>
          </w:tcPr>
          <w:p>
            <w:pPr>
              <w:spacing w:after="0"/>
              <w:rPr>
                <w:sz w:val="14"/>
                <w:szCs w:val="14"/>
                <w:color w:val="auto"/>
              </w:rPr>
            </w:pPr>
          </w:p>
        </w:tc>
        <w:tc>
          <w:tcPr>
            <w:tcW w:w="1980" w:type="dxa"/>
            <w:vAlign w:val="bottom"/>
            <w:gridSpan w:val="3"/>
          </w:tcPr>
          <w:p>
            <w:pPr>
              <w:jc w:val="center"/>
              <w:ind w:right="380"/>
              <w:spacing w:after="0" w:line="161"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20" w:type="dxa"/>
            <w:vAlign w:val="bottom"/>
            <w:vMerge w:val="restart"/>
          </w:tcPr>
          <w:p>
            <w:pPr>
              <w:spacing w:after="0"/>
              <w:rPr>
                <w:sz w:val="14"/>
                <w:szCs w:val="14"/>
                <w:color w:val="auto"/>
              </w:rPr>
            </w:pPr>
          </w:p>
        </w:tc>
        <w:tc>
          <w:tcPr>
            <w:tcW w:w="178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(Received)</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00" w:type="dxa"/>
            <w:vAlign w:val="bottom"/>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Entered into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February 3, 2019</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2.7490%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2.7350%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2.7360%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2022</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2.7800%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4"/>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Entered into February 2021:</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9, 2021</w:t>
            </w:r>
          </w:p>
        </w:tc>
        <w:tc>
          <w:tcPr>
            <w:tcW w:w="12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w w:val="95"/>
              </w:rPr>
              <w:t xml:space="preserve">2.34150% </w:t>
            </w:r>
            <w:r>
              <w:rPr>
                <w:rFonts w:ascii="Times New Roman" w:cs="Times New Roman" w:eastAsia="Times New Roman" w:hAnsi="Times New Roman"/>
                <w:sz w:val="21"/>
                <w:szCs w:val="21"/>
                <w:color w:val="auto"/>
                <w:w w:val="95"/>
                <w:vertAlign w:val="superscript"/>
              </w:rPr>
              <w:t>(1)</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r>
      <w:tr>
        <w:trPr>
          <w:trHeight w:val="210"/>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r>
      <w:tr>
        <w:trPr>
          <w:trHeight w:val="20"/>
        </w:trPr>
        <w:tc>
          <w:tcPr>
            <w:tcW w:w="2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rate paid prior to the May 9, 2023 amendment was 2.3820%.</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9"/>
              </w:rPr>
              <w:t>Matured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Matured</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November 3, 2023</w:t>
            </w:r>
          </w:p>
        </w:tc>
      </w:tr>
      <w:tr>
        <w:trPr>
          <w:trHeight w:val="216"/>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9"/>
              </w:rPr>
              <w:t>Matured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Matured</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November 3, 2023</w:t>
            </w:r>
          </w:p>
        </w:tc>
      </w:tr>
      <w:tr>
        <w:trPr>
          <w:trHeight w:val="216"/>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9"/>
              </w:rPr>
              <w:t>Matured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Matured</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November 3, 2023</w:t>
            </w:r>
          </w:p>
        </w:tc>
      </w:tr>
      <w:tr>
        <w:trPr>
          <w:trHeight w:val="216"/>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9"/>
              </w:rPr>
              <w:t>Matured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Matured</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November 3, 2023</w:t>
            </w:r>
          </w:p>
        </w:tc>
      </w:tr>
      <w:tr>
        <w:trPr>
          <w:trHeight w:val="597"/>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8"/>
              </w:rPr>
              <w:t>Active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Active</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February 9, 2026</w:t>
            </w:r>
          </w:p>
        </w:tc>
      </w:tr>
      <w:tr>
        <w:trPr>
          <w:trHeight w:val="210"/>
        </w:trPr>
        <w:tc>
          <w:tcPr>
            <w:tcW w:w="9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3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
        </w:trPr>
        <w:tc>
          <w:tcPr>
            <w:tcW w:w="9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-967740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-693420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2">
            <w:col w:w="5100" w:space="420"/>
            <w:col w:w="5720"/>
          </w:cols>
          <w:pgMar w:left="320" w:top="121" w:right="339" w:bottom="1440" w:gutter="0" w:footer="0" w:header="0"/>
          <w:type w:val="continuous"/>
        </w:sectPr>
      </w:pPr>
    </w:p>
    <w:p>
      <w:pPr>
        <w:spacing w:after="0" w:line="4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interest rate swap agreements, excluding the portion treated as debt, are recognized at fair value in the Condensed Consolidated Balance Sheets and are valued using pricing models that rely on market observable inputs such as yield curve data, which are classified as Level 2 inputs within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Derivatives on the Condensed Consolidated Balance Sheets</w:t>
      </w:r>
    </w:p>
    <w:p>
      <w:pPr>
        <w:spacing w:after="0" w:line="256"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fair values of our derivatives and their location on the Condensed Consolidated Balance Sheets as of December 31, 2023 and June 30, 2024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46"/>
        </w:trPr>
        <w:tc>
          <w:tcPr>
            <w:tcW w:w="248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26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6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 xml:space="preserve">Other current liabilities </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Other non-current liabilities </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entire balance is comprised of the financing component of the pay-fixed interest rate swap.</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1"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Counterparty</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Net Amounts</w:t>
            </w: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180" w:type="dxa"/>
            <w:vAlign w:val="bottom"/>
            <w:gridSpan w:val="3"/>
            <w:vMerge w:val="continue"/>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Derivatives on the Condensed Consolidated Statements of Comprehensive Income (Loss)</w:t>
      </w:r>
    </w:p>
    <w:p>
      <w:pPr>
        <w:spacing w:after="0" w:line="25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effect of our derivatives and their location on the Condensed Consolidated Statements of Comprehensive Income (Loss) for the three and six months ended June 30, 2023 and 2024 was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46"/>
        </w:trPr>
        <w:tc>
          <w:tcPr>
            <w:tcW w:w="28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Derivatives not designated as hedging</w:t>
            </w:r>
          </w:p>
        </w:tc>
        <w:tc>
          <w:tcPr>
            <w:tcW w:w="23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3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23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3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Interest expense was $57.3 million and $18.4 million for the three months ended June 30, 2023 and 2024, respectively, and $114.2 million and $62.1 million for the six months ended June 30, 2023 and 2024, respectively. As of June 30, 2024, the amount of cash flow hedge gain included within "Accumulated other comprehensive income" that is expected to be reclassified as a reduction to "Interest expense" over the next 12 months is approximately $52.6 million. See Note 12, "Accumulated Other Comprehensive Income (Loss)," for information regarding changes in fair value of our derivatives designated as hedging instruments.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Credit-risk-related Contingent Features</w:t>
      </w:r>
    </w:p>
    <w:p>
      <w:pPr>
        <w:spacing w:after="0" w:line="25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have agreements with interest rate swap counterparties that contain a provision whereby if we default on any of our material indebtedness, then we could also be declared in default of our interest rate swap agreements. As of June 30, 2024, our outstanding interest rate swap agreement was in a net asset position.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 (loss)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$0.5</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$6.6</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$2.2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500" w:right="200" w:hanging="492"/>
        <w:spacing w:after="0" w:line="280" w:lineRule="auto"/>
        <w:tabs>
          <w:tab w:leader="none" w:pos="40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reduction to interest expense recognized of $13.5 million related to the cash flow hedge gain for the three months ended June 30, 2023, partially offset by an increase to interest expense for the amortization of off-market swap value and accumulated loss at hedge de-designation of $4.5 million.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$0.9</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$4.7</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$4.2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right="120" w:hanging="492"/>
        <w:spacing w:after="0" w:line="307" w:lineRule="auto"/>
        <w:tabs>
          <w:tab w:leader="none" w:pos="4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a reduction to interest expense recognized of $25.7 million related to the cash flow hedge gain for the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6"/>
          <w:szCs w:val="16"/>
          <w:color w:val="auto"/>
        </w:rPr>
        <w:t xml:space="preserve"> months ended June 30, 2023, partially offset by an increase to interest expense for the amortization of off-market swap value and accumulated loss at hedge de-designation of $9.1 million.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$0.1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$1.6</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$3.8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reduction to interest expense recognized of $14.9 million related to the cash flow hedge gain for the three months ended June 30, 2024.</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1"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benefit of $0.1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$6.1</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$7.6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 xml:space="preserve">Includes a reduction to interest expense recognized of $29.8 million related to the cash flow hedge gain for the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6"/>
          <w:szCs w:val="16"/>
          <w:color w:val="auto"/>
        </w:rPr>
        <w:t xml:space="preserve"> months ended June 30, 2024.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organized our operations into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Amazon Web Services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p>
    <w:p>
      <w:pPr>
        <w:spacing w:after="0" w:line="21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operating profit.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w:t>
      </w:r>
    </w:p>
    <w:p>
      <w:pPr>
        <w:spacing w:after="0" w:line="21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we identified that an immaterial amount of revenue for a certain Private Cloud product offering was incorrectly reported in the Public Cloud segment in historical periods. Revenue by segment has been corrected in the table below by reducing Public Cloud revenue by $1.2 million and increasing Private Cloud revenue by $1.2 million for the three months ended June 30, 2023 and reducing Public Cloud revenue by $2.3 million and increasing Private Cloud revenue by $2.3 million for the six months ended June 30,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revenue by reportable segment to consolidated revenue and a reconciliation of consolidated segment operating profit to consolidated loss before income taxes for the three and six months ended June 30, 2023 and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 by segment: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consolidated revenue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Segment operating profit: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segment operating profit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functions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62"/>
        </w:trPr>
        <w:tc>
          <w:tcPr>
            <w:tcW w:w="4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3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(4)</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goodwill</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(5)</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2"/>
        </w:trPr>
        <w:tc>
          <w:tcPr>
            <w:tcW w:w="4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consolidated loss before income taxes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right="80" w:hanging="344"/>
        <w:spacing w:after="0" w:line="263" w:lineRule="auto"/>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2" w:lineRule="exact"/>
        <w:rPr>
          <w:rFonts w:ascii="Times New Roman" w:cs="Times New Roman" w:eastAsia="Times New Roman" w:hAnsi="Times New Roman"/>
          <w:sz w:val="16"/>
          <w:szCs w:val="16"/>
          <w:color w:val="auto"/>
        </w:rPr>
      </w:pPr>
    </w:p>
    <w:p>
      <w:pPr>
        <w:ind w:left="480" w:right="100" w:hanging="344"/>
        <w:spacing w:after="0" w:line="263" w:lineRule="auto"/>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 w:lineRule="exact"/>
        <w:rPr>
          <w:rFonts w:ascii="Times New Roman" w:cs="Times New Roman" w:eastAsia="Times New Roman" w:hAnsi="Times New Roman"/>
          <w:sz w:val="16"/>
          <w:szCs w:val="16"/>
          <w:color w:val="auto"/>
        </w:rPr>
      </w:pPr>
    </w:p>
    <w:p>
      <w:pPr>
        <w:jc w:val="both"/>
        <w:ind w:left="480" w:right="360" w:hanging="344"/>
        <w:spacing w:after="0" w:line="263" w:lineRule="auto"/>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The six months ended June 30, 2024 also includes a $9.0 million MEIA early termination fee associated with the sale of our corporate headquarters in March 2024.</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depreciation expense included in segment operating profit above for the three and six months ended June 30,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2"/>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r>
      <w:tr>
        <w:trPr>
          <w:trHeight w:val="21"/>
        </w:trPr>
        <w:tc>
          <w:tcPr>
            <w:tcW w:w="4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Management does not use total assets by segment to evaluate segment performance or allocate resources. As such, total assets by segment are not disclosed.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32"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Rackspace Technology,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Rackspace Technology, Inc. and its consolidated subsidiaries.</w:t>
      </w:r>
    </w:p>
    <w:p>
      <w:pPr>
        <w:spacing w:after="0" w:line="210"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contains forward-looking statements that are subject to risks and uncertainties. Actual results may differ materially from those contained in any forward-looking statements.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contained elsewhere in this Quarterly Report.</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are a leading end-to-end, hybrid, multicloud,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0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operate our business and report our results through two reportable segments: Public Cloud and Private Cloud. Our Public Cloud segment is a services-centric, capital-light model providing value-added cloud solutions through managed services, Elastic Engineering and professional services offerings for customer environments hosted on the AWS, Microsoft Azure and Google Cloud public cloud platforms. Our Private Cloud segment is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See Item 1 of Part I, Financial Statements - Note 13, "Segment Reporting," for additional information about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Differentiating Our Service Offerings in a Competitive Market Environment</w:t>
      </w:r>
    </w:p>
    <w:p>
      <w:pPr>
        <w:spacing w:after="0" w:line="256"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 and Retention</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Mix Shift</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Components of Statement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25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discuss our historical results of operations, and the key components of those results, below. Past financial results are not necessarily indicative of future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2023 Compared to Three Months Ended June 30, 2024</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Debt modification costs and gain on debt</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extinguishment</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1"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Revenue decreased $61 million, or 8.2%, to $685 million in the three months ended June 30, 2024 from $746 million in the three months ended June 30, 2023. Revenue declined due to decreases in both Private Cloud and Public Cloud revenue, as discussed below.</w:t>
      </w:r>
    </w:p>
    <w:p>
      <w:pPr>
        <w:spacing w:after="0" w:line="203"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After removing the impact of foreign currency fluctuations, on a constant currency basis, revenue decreased 8.3% year-over-year. The following table presents revenue growth by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34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(a)</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9"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Public Cloud revenue in the three months ended June 30, 2024 decreased 2.0% on an actual and constant currency basis, from the three months ended June 30, 2023. The decline was due to macro-economic pressures, which caused a tightening of customer discretionary spend and optimizations, along with continued cyclical headwinds in IT services.</w:t>
      </w:r>
    </w:p>
    <w:p>
      <w:pPr>
        <w:spacing w:after="0" w:line="20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Private Cloud revenue in the three months ended June 30, 2024 decreased 16.8% on an actual basis and 17.0% on a constant currency basis, from the three months ended June 30, 2023, due to customers rolling off old generation private cloud offerings and expected decline in legacy OpenStack offerings.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Cost of revenue decreased $40 million, or 7%, to $554 million in the three months ended June 30, 2024 from $593 million in the three months ended June 30, 2023. The decrease in cost of revenue was primarily due to a decline in personnel costs associated with a reduction in headcount between periods and lower severance expense. Also contributing to the reduction in cost of revenue was an increase in the useful life of certain customer gear assets, as discussed in Item 1 of Part I, Financial Statements - Note 1, "Company Overview, Basis of Presentation, and Summary of Significant Accounting Policies", which resulted in a decline in depreciation expense between periods. A reduction in license expense due to decreased usage further contributed to the decrease in cost of revenue between periods. Increased usage charges for third-party infrastructure partially offset these reductions.</w:t>
      </w:r>
    </w:p>
    <w:p>
      <w:pPr>
        <w:spacing w:after="0" w:line="214"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cost of revenue increased 130 basis points in the three months ended June 30, 2024 to 80.8% from 79.5% in the three months ended June 30, 2023 as the decline in revenue growth outpaced the decrease in cost of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gross profit was $131 million in the three months ended June 30, 2024, a decrease of $22 million from $153 million in the three months ended June 30, 2023. Our gross margin was 19.2% in the three months ended June 30, 2024, a decrease of 130 basis points from 20.5% in the three months ended June 30,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$32 million, or 15%, to $185 million in the three months ended June 30, 2024 from $217 million in the three months ended June 30, 2023. The three months ended June 30, 2023 includes $12 million of expense recognized for a UK office that we exited in the second quarter of 2023, prior to the lease end date. Other cost fluctuations included lower professional fees, a reduction in depreciation and amortization expense, and business optimization related expenses between periods. Personnel costs decreased marginally between periods driven by a reduction in severance and commissions expense.</w:t>
      </w:r>
    </w:p>
    <w:p>
      <w:pPr>
        <w:spacing w:after="0" w:line="21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selling, general and administrative expenses decreased 210 basis points, to 27.0% in the three months ended June 30, 2024 from 29.1% in the three months ended June 30, 2023 driven by the factors discussed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 Segment Operating Profit, and Non-GAAP Operating Profit</w:t>
      </w:r>
    </w:p>
    <w:p>
      <w:pPr>
        <w:spacing w:after="0" w:line="254"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Our loss from operations was $54 million in the three months ended June 30, 2024 compared to $64 million in the three months ended June 30, 2023. Our Non-GAAP Operating Profit was $23 million in the three months ended June 30, 2024, a decrease of $16 million from $39 million in the three months ended June 30, 2023. Non-GAAP Operating Profit is a non-GAAP financial measure. See "Non-GAAP Financial Measures" below for more information.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loss from operations to Non-GAAP Operating Profit.</w:t>
      </w:r>
    </w:p>
    <w:p>
      <w:pPr>
        <w:spacing w:after="0" w:line="390"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 our insurance coverage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right="80" w:hanging="339"/>
        <w:spacing w:after="0" w:line="254" w:lineRule="auto"/>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23" w:lineRule="exact"/>
        <w:rPr>
          <w:rFonts w:ascii="Times New Roman" w:cs="Times New Roman" w:eastAsia="Times New Roman" w:hAnsi="Times New Roman"/>
          <w:sz w:val="16"/>
          <w:szCs w:val="16"/>
          <w:color w:val="auto"/>
        </w:rPr>
      </w:pPr>
    </w:p>
    <w:p>
      <w:pPr>
        <w:ind w:left="480" w:right="100" w:hanging="344"/>
        <w:spacing w:after="0" w:line="254" w:lineRule="auto"/>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3" w:lineRule="exact"/>
        <w:rPr>
          <w:rFonts w:ascii="Times New Roman" w:cs="Times New Roman" w:eastAsia="Times New Roman" w:hAnsi="Times New Roman"/>
          <w:sz w:val="16"/>
          <w:szCs w:val="16"/>
          <w:color w:val="auto"/>
        </w:rPr>
      </w:pPr>
    </w:p>
    <w:p>
      <w:pPr>
        <w:ind w:left="480" w:right="380" w:hanging="339"/>
        <w:spacing w:after="0" w:line="280" w:lineRule="auto"/>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segment operating profit and segment operating margin for the periods indicated, and the change between periods is shown in the table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180" w:type="dxa"/>
            <w:vAlign w:val="bottom"/>
          </w:tcPr>
          <w:p>
            <w:pPr>
              <w:spacing w:after="0"/>
              <w:rPr>
                <w:sz w:val="13"/>
                <w:szCs w:val="13"/>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11.8</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69.7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consolidated segment operating profit</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81.5</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Corporate functions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left="339"/>
              <w:spacing w:after="0"/>
              <w:rPr>
                <w:sz w:val="20"/>
                <w:szCs w:val="20"/>
                <w:color w:val="auto"/>
              </w:rPr>
            </w:pPr>
            <w:r>
              <w:rPr>
                <w:rFonts w:ascii="Times New Roman" w:cs="Times New Roman" w:eastAsia="Times New Roman" w:hAnsi="Times New Roman"/>
                <w:sz w:val="16"/>
                <w:szCs w:val="16"/>
                <w:color w:val="auto"/>
                <w:w w:val="98"/>
              </w:rPr>
              <w:t>(58.7)</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Non-GAAP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22.8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Public Cloud operating profit decreased 25% in the three months ended June 30, 2024 from the three months ended June 30, 2023. Segment operating profit as a percentage of segment revenue decreased by 80 basis points, reflecting a 2% decrease in segment revenue, partially offset by a 1% decrease in segment operating expenses.</w:t>
      </w:r>
    </w:p>
    <w:p>
      <w:pPr>
        <w:spacing w:after="0" w:line="20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Private Cloud operating profit decreased 21% in the three months ended June 30, 2024 from the three months ended June 30, 2023. Segment operating profit as a percentage of segment revenue decreased by 140 basis points due to a 17% decrease in segment revenue, partially offset by a 15% decrease in segment operating expenses. The decrease in costs was mainly driven by a reduction in personnel costs from cost savings as a result of shifting roles to lower-cost locations as part of our continued focus on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40" w:firstLine="486"/>
        <w:spacing w:after="0" w:line="261" w:lineRule="auto"/>
        <w:rPr>
          <w:sz w:val="20"/>
          <w:szCs w:val="20"/>
          <w:color w:val="auto"/>
        </w:rPr>
      </w:pPr>
      <w:r>
        <w:rPr>
          <w:rFonts w:ascii="Times New Roman" w:cs="Times New Roman" w:eastAsia="Times New Roman" w:hAnsi="Times New Roman"/>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9% in the three months ended June 30, 2024 from the three months ended June 30, 2023 due to a reduction in depreciation and amortization expense driven by certain assets reaching the end of their useful life. Additionally, our continued focus on cost management further contributed to the cost reduction.</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about our segment operating profit, see Item 1 of Part I, Financial Statements - Note 13, "Segment Reporting."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Interest expense decreased $39 million, or 68%, to $18 million in the three months ended June 30, 2024 from $57 million in the three months ended June 30, 2023, primarily due to the accounting for contractual interest payments on debt instruments entered into as part of the March 2024 Refinancing Transactions, portions of which are recorded as a reduction of related premiums and not as interest expense, which reduces interest expense relative to contractual interest cost.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Modification Costs and Gain on Debt Extinguishment</w:t>
      </w:r>
    </w:p>
    <w:p>
      <w:pPr>
        <w:spacing w:after="0" w:line="2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recorded $73 million of debt modification costs and gain on debt extinguishment in the three months ended June 30, 2024, which included a $49 million gain on debt extinguishment related to repurchases of an aggregate $68 million principal amount of 3.50% FLSO Senior Secured Notes, FLSO Term Loan Facility, and 5.375% Senior Notes during the period. The remaining amount is related to the closing of the Public Note Exchange in April 2024, which was initiated as part of the March 2024 Refinancing Transactions.</w:t>
      </w:r>
    </w:p>
    <w:p>
      <w:pPr>
        <w:spacing w:after="0" w:line="20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recorded a $95 million gain on debt extinguishment in the three months ended June 30, 2023 related to repurchases of $142 million principal amount of 5.375% Senior Notes.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see Item 1 of Part I, Financial Statements - Note 7,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had $5 million of other expense and $0.2 million of other income in the three months ended June 30, 2024 and June 30, 2023, respectively, primarily due to costs incurred in the three months ended June 30, 2024 related to the accounts receivable purchase agreement entered into in September 2023 and the impact of foreign currency losses.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254"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income tax benefit was $30 million in the three months ended June 30, 2024 compared to $1 million income tax expense in the three months ended June 30, 2023. Our effective tax rate increased to 612.6% in the three months ended June 30, 2024 from (5.1)% in the three months ended June 30, 2023. The increase in the effective tax rate year-over-year is primarily due to the tax impact associated with changes in the valuation allowance and the March 2024 Refinancing Transactions. The difference between the effective tax rate and the statutory rate for the three months ended June 30, 2024 is primarily due to the tax impact associated with changes in the valuation allowance and the impact of the March 2024 Refinancing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2023 Compared to Six Months Ended June 30, 2024</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3"/>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Debt modification costs and gain on debt</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extinguishment</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Revenue decreased $129 million, or 8.6%, to $1,376 million in the six months ended June 30, 2024 from $1,505 million in the six months ended June 30, 2023. Revenue declined due to decreases in both Private Cloud and Public Cloud revenue, as discussed below.</w:t>
      </w:r>
    </w:p>
    <w:p>
      <w:pPr>
        <w:spacing w:after="0" w:line="18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After removing the impact from foreign currency fluctuations, on a constant currency basis, revenue decreased 8.8% year-over-year. The following table presents revenue growth by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(a)</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4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Public Cloud revenue in the six months ended June 30, 2024 decreased 3.4% on an actual basis and 3.5% on a constant currency basis, from the six months ended June 30, 2023. The decline was due to macro-economic pressures, which caused a tightening of customer discretionary spend and optimizations, along with continued cyclical headwinds in IT services.</w:t>
      </w:r>
    </w:p>
    <w:p>
      <w:pPr>
        <w:spacing w:after="0" w:line="20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Private Cloud revenue in the six months ended June 30, 2024 decreased 15.8% on an actual basis and 16.3% on a constant currency basis, from the six months ended June 30, 2023, due to customers rolling off old generation private cloud offerings and expected decline in legacy OpenStack offerings.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Cost of revenue decreased $71 million, or 6%, to $1,112 million in the six months ended June 30, 2024 from $1,182 million in the six months ended June 30, 2023. The decrease in cost of revenue was primarily due to a decline in personnel costs associated with a reduction in headcount between periods and lower severance expense. Also contributing to the reduction in cost of revenue was an increase in the useful life of certain customer gear assets, as discussed in Item 1 of Part I, Financial Statements - Note 1, "Company Overview, Basis of Presentation, and Summary of Significant Accounting Policies", which resulted in a decline in depreciation expense between periods. A reduction in license expense due to decreased usage further contributed to the decrease in cost of revenue between periods. Increased usage charges for third-party infrastructure partially offset these reductions.</w:t>
      </w:r>
    </w:p>
    <w:p>
      <w:pPr>
        <w:spacing w:after="0" w:line="21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a percentage of revenue, cost of revenue increased 220 basis points in the six months ended June 30, 2024 to 80.8% from 78.6% in the six months ended June 30, 2023, as the decline in revenue growth outpaced the decrease in cost of revenue. Usage charges for third-party infrastructure drove a 470 basis point increase. The decrease in personnel costs and depreciation expense, discussed above, partially offset the increase.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Our gross profit was $264 million in the six months ended June 30, 2024, a decrease of $59 million from $323 million in the six months ended June 30, 2023. Our gross margin was 19.2% in the six months ended June 30, 2024, a decrease of 220 basis points from 21.4% in the six months ended June 30,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decreased $47 million, or 11%, to $378 million in the six months ended June 30, 2024 from $424 million in the six months ended June 30, 2023. The six months ended June 30, 2023 includes $12 million of expense recognized for a UK office that we exited in the second quarter of 2023, prior to the lease end date. In addition, personnel costs decreased due to a reduction in salaries driven by lower headcount and decreases in severance and commissions expense, partially offset by an increase in non-equity incentive compensation. Other non-personnel cost fluctuations included lower professional fees, a reduction in depreciation and amortization expense, and business optimization related expenses between periods.</w:t>
      </w:r>
    </w:p>
    <w:p>
      <w:pPr>
        <w:spacing w:after="0" w:line="21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selling, general and administrative expenses decreased 70 basis points, to 27.5% in the six months ended June 30, 2024 from 28.2% in the six months ended June 30,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 Segment Operating Profit, and Non-GAAP Operating Profit</w:t>
      </w:r>
    </w:p>
    <w:p>
      <w:pPr>
        <w:spacing w:after="0" w:line="254"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Our loss from operations was $707 million in the six months ended June 30, 2024 compared to $645 million in the six months ended June 30, 2023. Our Non-GAAP Operating Profit was $39 million in the six months ended June 30, 2024, a decrease of $51 million from $90 million in the six months ended June 30, 2023. Non-GAAP Operating Profit is a non-GAAP financial measure. See "Non-GAAP Financial Measures" below for more information.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loss from operations to Non-GAAP Operating Profit.</w:t>
      </w:r>
    </w:p>
    <w:p>
      <w:pPr>
        <w:spacing w:after="0" w:line="295"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 our insurance coverage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80" w:right="80" w:hanging="339"/>
        <w:spacing w:after="0" w:line="254" w:lineRule="auto"/>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23" w:lineRule="exact"/>
        <w:rPr>
          <w:rFonts w:ascii="Times New Roman" w:cs="Times New Roman" w:eastAsia="Times New Roman" w:hAnsi="Times New Roman"/>
          <w:sz w:val="16"/>
          <w:szCs w:val="16"/>
          <w:color w:val="auto"/>
        </w:rPr>
      </w:pPr>
    </w:p>
    <w:p>
      <w:pPr>
        <w:ind w:left="480" w:right="100" w:hanging="344"/>
        <w:spacing w:after="0" w:line="254" w:lineRule="auto"/>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3" w:lineRule="exact"/>
        <w:rPr>
          <w:rFonts w:ascii="Times New Roman" w:cs="Times New Roman" w:eastAsia="Times New Roman" w:hAnsi="Times New Roman"/>
          <w:sz w:val="16"/>
          <w:szCs w:val="16"/>
          <w:color w:val="auto"/>
        </w:rPr>
      </w:pPr>
    </w:p>
    <w:p>
      <w:pPr>
        <w:ind w:left="480" w:right="20" w:hanging="339"/>
        <w:spacing w:after="0" w:line="254" w:lineRule="auto"/>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The six months ended June 30, 2024 also includes a $9.0 million MEIA early termination fee associated with the sale of our corporate headquarters in March 2024.</w:t>
      </w:r>
    </w:p>
    <w:p>
      <w:pPr>
        <w:spacing w:after="0" w:line="23"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segment operating profit and segment operating margin for the periods indicated, and the change between periods is shown in the table below: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180" w:type="dxa"/>
            <w:vAlign w:val="bottom"/>
          </w:tcPr>
          <w:p>
            <w:pPr>
              <w:spacing w:after="0"/>
              <w:rPr>
                <w:sz w:val="13"/>
                <w:szCs w:val="13"/>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consolidated segment operating profit</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Corporate functions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Non-GAAP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Public Cloud operating profit decreased 46% in the six months ended June 30, 2024 from the six months ended June 30, 2023. Segment operating profit as a percentage of segment revenue decreased by 200 basis points, reflecting a 3% decrease in segment revenue, partially offset by a 1% decrease in segment operating expenses.</w:t>
      </w:r>
    </w:p>
    <w:p>
      <w:pPr>
        <w:spacing w:after="0" w:line="203"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Private Cloud operating profit decreased 22% in the six months ended June 30, 2024 from the six months ended June 30, 2023. Segment operating profit as a percentage of segment revenue decreased by 220 basis points, due to a 16% decrease in segment revenue, partially offset by a 13% decrease in segment operating expenses. The decrease in costs was mainly driven by a reduction in personnel costs from cost savings as a result of shifting roles to lower cost locations as part of our continued focus on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6% in the six months ended June 30, 2024 from the six months ended June 30, 2023 due to a reduction in depreciation and amortization expense driven by certain assets reaching the end of their useful life. Additionally, our continued focus on cost management further contributed to the cost reduction.</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about our segment operating profit, see Item 1 of Part I, Financial Statements - Note 13, "Segment Reporting."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5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We recorded a total of $543 million and $573 million in non-cash goodwill impairment charges in the six months ended June 30, 2023 and June 30, 2024,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debt refinancing transactions that were completed in March and April 2024, as further described in Item 1 of Part I, Financial</w:t>
      </w:r>
    </w:p>
    <w:p>
      <w:pPr>
        <w:spacing w:after="0" w:line="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Statements - Note 7, "Debt", we updated our internal forecasts.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The results of this goodwill impairment analysis indicated an impairment of goodwill within our Public Cloud and Private Cloud reporting units of $385 million and $188 million, respectively, recorded in the first quarter of 2024.</w:t>
      </w:r>
    </w:p>
    <w:p>
      <w:pPr>
        <w:spacing w:after="0" w:line="2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 Net</w:t>
      </w:r>
    </w:p>
    <w:p>
      <w:pPr>
        <w:spacing w:after="0" w:line="254"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evaluated our indefinite-lived intangible asset for impairment as of February 29, 2024. As a result of this evaluation, we recorded a $20 million impairment of our indefinite-lived intangible asset in the six months ended June 30, 2024. There was no such impairment in the six months ended June 30, 2023</w:t>
      </w:r>
      <w:r>
        <w:rPr>
          <w:rFonts w:ascii="Times New Roman" w:cs="Times New Roman" w:eastAsia="Times New Roman" w:hAnsi="Times New Roman"/>
          <w:sz w:val="18"/>
          <w:szCs w:val="18"/>
          <w:i w:val="1"/>
          <w:iCs w:val="1"/>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Interest expense decreased $52 million, or 46%, to $62 million in the six months ended June 30, 2024 from $114 million in the six months ended June 30, 2023, primarily due to the accounting for contractual interest payments on debt instruments entered into as part of the March 2024 Refinancing Transactions, portions of which are recorded as a reduction of related premiums and not as interest expense, which reduces interest expense relative to contractual interest cost.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Modification Costs and Gain on Debt Extinguishment</w:t>
      </w:r>
    </w:p>
    <w:p>
      <w:pPr>
        <w:spacing w:after="0" w:line="254"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We recorded $80 million debt modification costs and gain on debt extinguishment in the six months ended June 30, 2024 related to the March 2024 Refinancing Transactions. In addition, we recorded a $49 million gain on debt extinguishment related to repurchases of an aggregate $68 million principal amount of 3.50% FLSO Senior Secured Notes, FLSO Term Loan Facility, and 5.375% Senior Notes during the period.</w:t>
      </w:r>
    </w:p>
    <w:p>
      <w:pPr>
        <w:spacing w:after="0" w:line="203"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We recorded a $108 million gain on debt extinguishment in the six months ended June 30, 2023 related to repurchases of $165 million principal amount of 5.375% Senior Notes.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see Item 1 of Part I, Financial Statements - Note 7,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had $11 million of other expense in the six months ended June 30, 2024 and $2 million of other income in the six months ended June 30, 2023, respectively, primarily due to costs incurred in the six months ended June 30, 2024 related to the accounts receivable purchase agreement entered into in September 2023 and the impact of foreign currency losses.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income tax benefit increased to $35 million in the six months ended June 30, 2024 from $10 million in the six months ended June 30, 2023. Our effective tax rate increased to 5.3% in the six months ended June 30, 2024 from 1.5% in the six months ended June 30, 2023. The increase in the effective tax rate year-over-year is primarily due to the tax impact associated with changes in the valuation allowance, geographic distribution of profits, the tax impact associated with goodwill impairments recorded in both the first quarter of 2024 and the first quarter of 2023, the majority of which were nondeductible for income tax purposes, and the income tax benefit of $88 million related to the March 2024 Refinancing Transactions discussed above. The difference between the effective tax rate and the statutory rate for the six months ended June 30, 2024 is primarily due to the tax impact associated with changes in the valuation allowance, the tax impact associated with the goodwill impairment recorded in the first quarter of 2024, and the impact of the March 2024 Refinancing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Revenue</w:t>
      </w:r>
    </w:p>
    <w:p>
      <w:pPr>
        <w:spacing w:after="0" w:line="24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1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by segment, actual and constant currency revenue and constant currency revenue growth rates, for and between the periods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4140" w:type="dxa"/>
            <w:vAlign w:val="bottom"/>
            <w:gridSpan w:val="7"/>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00" w:type="dxa"/>
            <w:vAlign w:val="bottom"/>
          </w:tcPr>
          <w:p>
            <w:pPr>
              <w:spacing w:after="0"/>
              <w:rPr>
                <w:sz w:val="16"/>
                <w:szCs w:val="16"/>
                <w:color w:val="auto"/>
              </w:rPr>
            </w:pPr>
          </w:p>
        </w:tc>
        <w:tc>
          <w:tcPr>
            <w:tcW w:w="180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0" w:type="dxa"/>
            <w:vAlign w:val="bottom"/>
          </w:tcPr>
          <w:p>
            <w:pPr>
              <w:spacing w:after="0"/>
              <w:rPr>
                <w:sz w:val="13"/>
                <w:szCs w:val="13"/>
                <w:color w:val="auto"/>
              </w:rPr>
            </w:pPr>
          </w:p>
        </w:tc>
        <w:tc>
          <w:tcPr>
            <w:tcW w:w="12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Revenue in</w:t>
            </w:r>
          </w:p>
        </w:tc>
        <w:tc>
          <w:tcPr>
            <w:tcW w:w="100" w:type="dxa"/>
            <w:vAlign w:val="bottom"/>
          </w:tcPr>
          <w:p>
            <w:pPr>
              <w:spacing w:after="0"/>
              <w:rPr>
                <w:sz w:val="13"/>
                <w:szCs w:val="13"/>
                <w:color w:val="auto"/>
              </w:rPr>
            </w:pPr>
          </w:p>
        </w:tc>
        <w:tc>
          <w:tcPr>
            <w:tcW w:w="18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2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Translation </w:t>
            </w:r>
            <w:r>
              <w:rPr>
                <w:rFonts w:ascii="Times New Roman" w:cs="Times New Roman" w:eastAsia="Times New Roman" w:hAnsi="Times New Roman"/>
                <w:sz w:val="21"/>
                <w:szCs w:val="21"/>
                <w:b w:val="1"/>
                <w:bCs w:val="1"/>
                <w:color w:val="auto"/>
                <w:w w:val="95"/>
                <w:vertAlign w:val="superscript"/>
              </w:rPr>
              <w:t>(a)</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00" w:type="dxa"/>
            <w:vAlign w:val="bottom"/>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684.9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16"/>
          <w:szCs w:val="16"/>
          <w:color w:val="auto"/>
        </w:rPr>
        <w:t>(a)</w:t>
        <w:tab/>
        <w:t>The effect of foreign currency is calculated by translating current period results using the average exchange rate from the prior comparative period.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0" w:type="dxa"/>
            <w:vAlign w:val="bottom"/>
          </w:tcPr>
          <w:p>
            <w:pPr>
              <w:spacing w:after="0"/>
              <w:rPr>
                <w:sz w:val="16"/>
                <w:szCs w:val="16"/>
                <w:color w:val="auto"/>
              </w:rPr>
            </w:pPr>
          </w:p>
        </w:tc>
        <w:tc>
          <w:tcPr>
            <w:tcW w:w="178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0" w:type="dxa"/>
            <w:vAlign w:val="bottom"/>
          </w:tcPr>
          <w:p>
            <w:pPr>
              <w:spacing w:after="0"/>
              <w:rPr>
                <w:sz w:val="13"/>
                <w:szCs w:val="13"/>
                <w:color w:val="auto"/>
              </w:rPr>
            </w:pPr>
          </w:p>
        </w:tc>
        <w:tc>
          <w:tcPr>
            <w:tcW w:w="11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Revenue in</w:t>
            </w:r>
          </w:p>
        </w:tc>
        <w:tc>
          <w:tcPr>
            <w:tcW w:w="120" w:type="dxa"/>
            <w:vAlign w:val="bottom"/>
          </w:tcPr>
          <w:p>
            <w:pPr>
              <w:spacing w:after="0"/>
              <w:rPr>
                <w:sz w:val="13"/>
                <w:szCs w:val="13"/>
                <w:color w:val="auto"/>
              </w:rPr>
            </w:pPr>
          </w:p>
        </w:tc>
        <w:tc>
          <w:tcPr>
            <w:tcW w:w="17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2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Translation </w:t>
            </w:r>
            <w:r>
              <w:rPr>
                <w:rFonts w:ascii="Times New Roman" w:cs="Times New Roman" w:eastAsia="Times New Roman" w:hAnsi="Times New Roman"/>
                <w:sz w:val="21"/>
                <w:szCs w:val="21"/>
                <w:b w:val="1"/>
                <w:bCs w:val="1"/>
                <w:color w:val="auto"/>
                <w:w w:val="97"/>
                <w:vertAlign w:val="superscript"/>
              </w:rPr>
              <w:t>(a)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846.6</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525.8</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80" w:hanging="339"/>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is calculated by translating current period results using the average exchange rate from the prior comparative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9"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w:t>
      </w:r>
    </w:p>
    <w:p>
      <w:pPr>
        <w:spacing w:after="0" w:line="25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present Non-GAAP Gross Profit in this MD&amp;A because we believe the measure is useful in analyzing trends in our underlying, recurring gross margins. We define Non-GAAP Gross Profit as gross profit, adjusted to exclude the impact of share-based compensation expense and other non-recurring or unusual compensation items, purchase accounting-related effects, certain business transformation-related costs, and costs related to the Hosted Exchange incident.</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gross profit to Non-GAAP Gross Profit: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Purchase accounting impact on expense </w:t>
            </w:r>
            <w:r>
              <w:rPr>
                <w:rFonts w:ascii="Times New Roman" w:cs="Times New Roman" w:eastAsia="Times New Roman" w:hAnsi="Times New Roman"/>
                <w:sz w:val="21"/>
                <w:szCs w:val="21"/>
                <w:color w:val="auto"/>
                <w:vertAlign w:val="superscript"/>
              </w:rPr>
              <w:t>(b)</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34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3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80" w:right="80" w:hanging="454"/>
        <w:spacing w:after="0" w:line="232" w:lineRule="auto"/>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for retention bonuses, mainly in connection with restructuring and transformation projects, and the related payroll tax,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6"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purchase accounting from the Rackspace Acquisition on expenses.</w:t>
      </w:r>
    </w:p>
    <w:p>
      <w:pPr>
        <w:spacing w:after="0" w:line="59" w:lineRule="exact"/>
        <w:rPr>
          <w:rFonts w:ascii="Times New Roman" w:cs="Times New Roman" w:eastAsia="Times New Roman" w:hAnsi="Times New Roman"/>
          <w:sz w:val="16"/>
          <w:szCs w:val="16"/>
          <w:color w:val="auto"/>
        </w:rPr>
      </w:pPr>
    </w:p>
    <w:p>
      <w:pPr>
        <w:ind w:left="480" w:right="120" w:hanging="454"/>
        <w:spacing w:after="0" w:line="245" w:lineRule="auto"/>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business transformation and optimization activities, as well as associated severance, certain facility closure costs and lease termination expenses.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 Non-GAAP Operating Profit and Adjusted EBITDA</w:t>
      </w:r>
    </w:p>
    <w:p>
      <w:pPr>
        <w:spacing w:after="0" w:line="25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21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the interest expense impact from the debt Refinancing Transactions, and certain other non-operating, non-recurring or non-core gains and losses, as well as the tax effects of these non-GAAP adjustments.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w:t>
      </w:r>
    </w:p>
    <w:p>
      <w:pPr>
        <w:spacing w:after="0" w:line="20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the impact of non-cash charges for share-based compensation, special bonuses and other compensation expense, transaction-related costs and adjustments, restructuring and transformation charges, costs related to the Hosted Exchange incident, costs related to the closure of a UK office, certain other non-operating, non-recurring or non-core gains and losses, interest expense, expenses for our accounts receivable purchase agreement, income taxes, depreciation and amortization, and goodwill and asset impairment charges.</w:t>
      </w:r>
    </w:p>
    <w:p>
      <w:pPr>
        <w:spacing w:after="0" w:line="20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20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02" w:lineRule="exact"/>
        <w:rPr>
          <w:sz w:val="20"/>
          <w:szCs w:val="20"/>
          <w:color w:val="auto"/>
        </w:rPr>
      </w:pPr>
    </w:p>
    <w:p>
      <w:pPr>
        <w:ind w:right="200" w:firstLine="486"/>
        <w:spacing w:after="0" w:line="250" w:lineRule="auto"/>
        <w:rPr>
          <w:sz w:val="20"/>
          <w:szCs w:val="20"/>
          <w:color w:val="auto"/>
        </w:rPr>
      </w:pPr>
      <w:r>
        <w:rPr>
          <w:rFonts w:ascii="Times New Roman" w:cs="Times New Roman" w:eastAsia="Times New Roman" w:hAnsi="Times New Roman"/>
          <w:sz w:val="18"/>
          <w:szCs w:val="18"/>
          <w:color w:val="auto"/>
        </w:rPr>
        <w:t>The following tables present a reconciliation of Non-GAAP Net Income (Loss) and Adjusted EBITDA to the most directly comparable GAAP financial measures. For a reconciliation of income (loss) from operations to Non-GAAP Operating Profit, see "</w:t>
      </w:r>
      <w:r>
        <w:rPr>
          <w:rFonts w:ascii="Times New Roman" w:cs="Times New Roman" w:eastAsia="Times New Roman" w:hAnsi="Times New Roman"/>
          <w:sz w:val="18"/>
          <w:szCs w:val="18"/>
          <w:i w:val="1"/>
          <w:iCs w:val="1"/>
          <w:color w:val="auto"/>
        </w:rPr>
        <w:t>Loss from Operations, Segment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Profit, and Non-GAAP Operating Profit</w:t>
      </w:r>
      <w:r>
        <w:rPr>
          <w:rFonts w:ascii="Times New Roman" w:cs="Times New Roman" w:eastAsia="Times New Roman" w:hAnsi="Times New Roman"/>
          <w:sz w:val="18"/>
          <w:szCs w:val="18"/>
          <w:color w:val="auto"/>
        </w:rPr>
        <w:t>" in the year-over-year comparison under "Results of Operations" above.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reconciliation to Non-GAAP Net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10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10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(d)</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gain on divestiture and investments </w:t>
            </w:r>
            <w:r>
              <w:rPr>
                <w:rFonts w:ascii="Times New Roman" w:cs="Times New Roman" w:eastAsia="Times New Roman" w:hAnsi="Times New Roman"/>
                <w:sz w:val="21"/>
                <w:szCs w:val="21"/>
                <w:color w:val="auto"/>
                <w:vertAlign w:val="superscript"/>
              </w:rPr>
              <w:t>(e)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impact from the Refinancing Transactions </w:t>
            </w:r>
            <w:r>
              <w:rPr>
                <w:rFonts w:ascii="Times New Roman" w:cs="Times New Roman" w:eastAsia="Times New Roman" w:hAnsi="Times New Roman"/>
                <w:sz w:val="21"/>
                <w:szCs w:val="21"/>
                <w:color w:val="auto"/>
                <w:vertAlign w:val="superscript"/>
              </w:rPr>
              <w:t>(f)</w:t>
            </w:r>
          </w:p>
        </w:tc>
        <w:tc>
          <w:tcPr>
            <w:tcW w:w="10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1"/>
                <w:szCs w:val="21"/>
                <w:color w:val="auto"/>
                <w:vertAlign w:val="superscript"/>
              </w:rPr>
              <w:t>(g)</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(h)</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non-GAAP adjustments </w:t>
            </w:r>
            <w:r>
              <w:rPr>
                <w:rFonts w:ascii="Times New Roman" w:cs="Times New Roman" w:eastAsia="Times New Roman" w:hAnsi="Times New Roman"/>
                <w:sz w:val="21"/>
                <w:szCs w:val="21"/>
                <w:color w:val="auto"/>
                <w:vertAlign w:val="superscript"/>
              </w:rPr>
              <w:t>(i)</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9"/>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Net Loss</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reconciliation to Adjusted EBITDA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10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10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(d)</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gain on divestiture and investments </w:t>
            </w:r>
            <w:r>
              <w:rPr>
                <w:rFonts w:ascii="Times New Roman" w:cs="Times New Roman" w:eastAsia="Times New Roman" w:hAnsi="Times New Roman"/>
                <w:sz w:val="21"/>
                <w:szCs w:val="21"/>
                <w:color w:val="auto"/>
                <w:vertAlign w:val="superscript"/>
              </w:rPr>
              <w:t>(e)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(income) expense, net </w:t>
            </w:r>
            <w:r>
              <w:rPr>
                <w:rFonts w:ascii="Times New Roman" w:cs="Times New Roman" w:eastAsia="Times New Roman" w:hAnsi="Times New Roman"/>
                <w:sz w:val="21"/>
                <w:szCs w:val="21"/>
                <w:color w:val="auto"/>
                <w:vertAlign w:val="superscript"/>
              </w:rPr>
              <w:t>(j)</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(k)</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209"/>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right="80" w:hanging="339"/>
        <w:spacing w:after="0" w:line="263"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2" w:lineRule="exact"/>
        <w:rPr>
          <w:rFonts w:ascii="Times New Roman" w:cs="Times New Roman" w:eastAsia="Times New Roman" w:hAnsi="Times New Roman"/>
          <w:sz w:val="16"/>
          <w:szCs w:val="16"/>
          <w:color w:val="auto"/>
        </w:rPr>
      </w:pPr>
    </w:p>
    <w:p>
      <w:pPr>
        <w:ind w:left="480" w:right="100" w:hanging="344"/>
        <w:spacing w:after="0" w:line="263"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 w:lineRule="exact"/>
        <w:rPr>
          <w:rFonts w:ascii="Times New Roman" w:cs="Times New Roman" w:eastAsia="Times New Roman" w:hAnsi="Times New Roman"/>
          <w:sz w:val="16"/>
          <w:szCs w:val="16"/>
          <w:color w:val="auto"/>
        </w:rPr>
      </w:pPr>
    </w:p>
    <w:p>
      <w:pPr>
        <w:ind w:left="480" w:right="20" w:hanging="339"/>
        <w:spacing w:after="0" w:line="263"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The six months ended June 30, 2024 also includes a $9.0 million MEIA early termination fee associated with the sale of our corporate headquarters in March 2024.</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59"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gains and losses on investment and from dispositions.</w:t>
      </w:r>
    </w:p>
    <w:p>
      <w:pPr>
        <w:spacing w:after="0" w:line="59" w:lineRule="exact"/>
        <w:rPr>
          <w:rFonts w:ascii="Times New Roman" w:cs="Times New Roman" w:eastAsia="Times New Roman" w:hAnsi="Times New Roman"/>
          <w:sz w:val="16"/>
          <w:szCs w:val="16"/>
          <w:color w:val="auto"/>
        </w:rPr>
      </w:pPr>
    </w:p>
    <w:p>
      <w:pPr>
        <w:ind w:left="480" w:right="60" w:hanging="330"/>
        <w:spacing w:after="0" w:line="280"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impact due to the accounting for contractual interest payments on debt instruments entered into as part of the March 2024 Refinancing Transactions, which reduced interest expense relative to contractual interest cost.</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sz w:val="20"/>
          <w:szCs w:val="20"/>
          <w:color w:val="auto"/>
        </w:rPr>
      </w:pPr>
    </w:p>
    <w:p>
      <w:pPr>
        <w:ind w:left="480" w:right="60" w:hanging="326"/>
        <w:spacing w:after="0" w:line="248" w:lineRule="auto"/>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2023 and 2024 interim periods, we based it on an average of the 2022 and estimated 2023 tax rates and 2023 and estimated 2024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18" w:lineRule="exact"/>
        <w:rPr>
          <w:rFonts w:ascii="Times New Roman" w:cs="Times New Roman" w:eastAsia="Times New Roman" w:hAnsi="Times New Roman"/>
          <w:sz w:val="16"/>
          <w:szCs w:val="16"/>
          <w:color w:val="auto"/>
        </w:rPr>
      </w:pPr>
    </w:p>
    <w:p>
      <w:pPr>
        <w:ind w:left="480" w:hanging="326"/>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 and expense related to our accounts receivable purchase agreement.</w:t>
      </w:r>
    </w:p>
    <w:p>
      <w:pPr>
        <w:spacing w:after="0" w:line="59"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16"/>
          <w:szCs w:val="16"/>
          <w:color w:val="auto"/>
        </w:rPr>
        <w:t>(k)</w:t>
        <w:tab/>
        <w:t>Excludes accelerated depreciation expense related to facility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Earnings (Loss) Per Share</w:t>
      </w:r>
    </w:p>
    <w:p>
      <w:pPr>
        <w:spacing w:after="0" w:line="25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but dilutive to Non-GAAP Earnings (Loss) Per Share. Management uses Non-GAAP Earnings (Loss) Per Share to evaluate the performance of our business on a comparable basis from period to period, including by adjusting for the impact of the issuance of shares that would be dilutive to Non-GAAP Earnings (Loss) Per Share. The following table reconciles Non-GAAP Earnings (Loss) Per Share to our GAAP net earnings (loss) per share on a diluted basis: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Loss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73"/>
        </w:trPr>
        <w:tc>
          <w:tcPr>
            <w:tcW w:w="48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 Diluted</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Effect of dilutive securities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0"/>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weighted average number of shares - Diluted</w:t>
            </w:r>
          </w:p>
        </w:tc>
        <w:tc>
          <w:tcPr>
            <w:tcW w:w="10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tabs>
          <w:tab w:leader="none" w:pos="4860" w:val="left"/>
        </w:tabs>
        <w:rPr>
          <w:sz w:val="20"/>
          <w:szCs w:val="20"/>
          <w:color w:val="auto"/>
        </w:rPr>
      </w:pPr>
      <w:r>
        <w:rPr>
          <w:rFonts w:ascii="Times New Roman" w:cs="Times New Roman" w:eastAsia="Times New Roman" w:hAnsi="Times New Roman"/>
          <w:sz w:val="16"/>
          <w:szCs w:val="16"/>
          <w:color w:val="auto"/>
        </w:rPr>
        <w:t>Net earnings (loss) per share - Diluted</w:t>
      </w:r>
      <w:r>
        <w:rPr>
          <w:sz w:val="20"/>
          <w:szCs w:val="20"/>
          <w:color w:val="auto"/>
        </w:rPr>
        <w:tab/>
      </w:r>
      <w:r>
        <w:rPr>
          <w:rFonts w:ascii="Times New Roman" w:cs="Times New Roman" w:eastAsia="Times New Roman" w:hAnsi="Times New Roman"/>
          <w:sz w:val="16"/>
          <w:szCs w:val="16"/>
          <w:color w:val="auto"/>
        </w:rPr>
        <w: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Per share impacts of adjustments to net income (loss) </w:t>
      </w:r>
      <w:r>
        <w:rPr>
          <w:rFonts w:ascii="Times New Roman" w:cs="Times New Roman" w:eastAsia="Times New Roman" w:hAnsi="Times New Roman"/>
          <w:sz w:val="21"/>
          <w:szCs w:val="21"/>
          <w:color w:val="auto"/>
          <w:vertAlign w:val="superscript"/>
        </w:rPr>
        <w:t>(b)</w:t>
      </w:r>
    </w:p>
    <w:p>
      <w:pPr>
        <w:ind w:left="20"/>
        <w:spacing w:after="0" w:line="189" w:lineRule="auto"/>
        <w:rPr>
          <w:sz w:val="20"/>
          <w:szCs w:val="20"/>
          <w:color w:val="auto"/>
        </w:rPr>
      </w:pPr>
      <w:r>
        <w:rPr>
          <w:rFonts w:ascii="Times New Roman" w:cs="Times New Roman" w:eastAsia="Times New Roman" w:hAnsi="Times New Roman"/>
          <w:sz w:val="10"/>
          <w:szCs w:val="10"/>
          <w:color w:val="auto"/>
        </w:rPr>
        <w:t>Per share impacts of shares dilutive after adjustments to net income (loss)</w:t>
      </w:r>
    </w:p>
    <w:p>
      <w:pPr>
        <w:ind w:left="20"/>
        <w:spacing w:after="0"/>
        <w:rPr>
          <w:sz w:val="20"/>
          <w:szCs w:val="20"/>
          <w:color w:val="auto"/>
        </w:rPr>
      </w:pPr>
      <w:r>
        <w:rPr>
          <w:rFonts w:ascii="Times New Roman" w:cs="Times New Roman" w:eastAsia="Times New Roman" w:hAnsi="Times New Roman"/>
          <w:sz w:val="11"/>
          <w:szCs w:val="11"/>
          <w:color w:val="auto"/>
        </w:rPr>
        <w:t>(a)</w:t>
      </w:r>
    </w:p>
    <w:p>
      <w:pPr>
        <w:spacing w:after="0" w:line="102" w:lineRule="exact"/>
        <w:rPr>
          <w:sz w:val="20"/>
          <w:szCs w:val="20"/>
          <w:color w:val="auto"/>
        </w:rPr>
      </w:pPr>
    </w:p>
    <w:p>
      <w:pPr>
        <w:ind w:left="240"/>
        <w:spacing w:after="0"/>
        <w:tabs>
          <w:tab w:leader="none" w:pos="4860" w:val="left"/>
        </w:tabs>
        <w:rPr>
          <w:sz w:val="20"/>
          <w:szCs w:val="20"/>
          <w:color w:val="auto"/>
        </w:rPr>
      </w:pPr>
      <w:r>
        <w:rPr>
          <w:rFonts w:ascii="Times New Roman" w:cs="Times New Roman" w:eastAsia="Times New Roman" w:hAnsi="Times New Roman"/>
          <w:sz w:val="16"/>
          <w:szCs w:val="16"/>
          <w:color w:val="auto"/>
        </w:rPr>
        <w:t>Non-GAAP Earnings (Loss) Per Share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(0.13)</w:t>
            </w: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2"/>
              </w:rPr>
              <w:t>0.11</w:t>
            </w:r>
          </w:p>
        </w:tc>
        <w:tc>
          <w:tcPr>
            <w:tcW w:w="8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(2.77)</w:t>
            </w:r>
          </w:p>
        </w:tc>
      </w:tr>
      <w:tr>
        <w:trPr>
          <w:trHeight w:val="216"/>
        </w:trPr>
        <w:tc>
          <w:tcPr>
            <w:tcW w:w="5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0.06</w:t>
            </w:r>
          </w:p>
        </w:tc>
        <w:tc>
          <w:tcPr>
            <w:tcW w:w="620" w:type="dxa"/>
            <w:vAlign w:val="bottom"/>
          </w:tcPr>
          <w:p>
            <w:pPr>
              <w:spacing w:after="0"/>
              <w:rPr>
                <w:sz w:val="18"/>
                <w:szCs w:val="18"/>
                <w:color w:val="auto"/>
              </w:rPr>
            </w:pPr>
          </w:p>
        </w:tc>
        <w:tc>
          <w:tcPr>
            <w:tcW w:w="96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w w:val="98"/>
              </w:rPr>
              <w:t>(0.19)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2.90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2.57</w:t>
            </w:r>
          </w:p>
        </w:tc>
      </w:tr>
      <w:tr>
        <w:trPr>
          <w:trHeight w:val="324"/>
        </w:trPr>
        <w:tc>
          <w:tcPr>
            <w:tcW w:w="5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0.01</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0.00</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w w:val="99"/>
              </w:rPr>
              <w:t>0.00</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5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(0.06)</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w w:val="98"/>
              </w:rPr>
              <w:t>(0.08)</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rPr>
              <w:t>(0.19)</w:t>
            </w:r>
          </w:p>
        </w:tc>
      </w:tr>
      <w:tr>
        <w:trPr>
          <w:trHeight w:val="23"/>
        </w:trPr>
        <w:tc>
          <w:tcPr>
            <w:tcW w:w="5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-521970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-179070</wp:posOffset>
            </wp:positionV>
            <wp:extent cx="713232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5300" w:space="720"/>
            <w:col w:w="5220"/>
          </w:cols>
          <w:pgMar w:left="320" w:top="121" w:right="339" w:bottom="1440" w:gutter="0" w:footer="0" w:header="0"/>
          <w:type w:val="continuous"/>
        </w:sectPr>
      </w:pPr>
    </w:p>
    <w:p>
      <w:pPr>
        <w:ind w:left="480" w:right="60" w:hanging="339"/>
        <w:spacing w:after="0" w:line="252"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impact of awards that would have been anti-dilutive to net loss per share, and therefore not included in the calculation, but would be dilutive to Non-GAAP Earnings (Loss) Per Share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Times New Roman" w:cs="Times New Roman" w:eastAsia="Times New Roman" w:hAnsi="Times New Roman"/>
          <w:sz w:val="17"/>
          <w:szCs w:val="17"/>
          <w:color w:val="auto"/>
        </w:rPr>
        <w:t>C")</w:t>
      </w:r>
      <w:r>
        <w:rPr>
          <w:rFonts w:ascii="Times New Roman" w:cs="Times New Roman" w:eastAsia="Times New Roman" w:hAnsi="Times New Roman"/>
          <w:sz w:val="16"/>
          <w:szCs w:val="16"/>
          <w:color w:val="auto"/>
        </w:rPr>
        <w:t>, which are included in the denominator for the entire period if such shares would be issuable as of the end of the reporting period assuming the end of the reporting period was the end of the contingency period.</w:t>
      </w:r>
    </w:p>
    <w:p>
      <w:pPr>
        <w:spacing w:after="0" w:line="26" w:lineRule="exact"/>
        <w:rPr>
          <w:rFonts w:ascii="Times New Roman" w:cs="Times New Roman" w:eastAsia="Times New Roman" w:hAnsi="Times New Roman"/>
          <w:sz w:val="16"/>
          <w:szCs w:val="16"/>
          <w:color w:val="auto"/>
        </w:rPr>
      </w:pPr>
    </w:p>
    <w:p>
      <w:pPr>
        <w:ind w:left="480" w:right="380" w:hanging="344"/>
        <w:spacing w:after="0" w:line="280"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adjustments made to reconcile Non-GAAP Net Income (Loss) to our net income (loss), as noted in the above table, divided by the GAAP diluted number of shares outstanding for the relevant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6"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with internally-generated cash from operations and hardware leases, and if necessary, borrowings under the New Revolving Credit Facility. As of June 30, 2024, the New Revolving Credit Facility provided for up to $375 million of borrowings, none of which was drawn and outstanding as of June 30, 2024.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1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3.50% FLSO Senior Secured Notes (the “3.50% FLSO Senior Secured Notes Indenture”), the indenture governing the 5.375% Senior Notes (the "5.375% Notes Indenture") or the indenture governing the 3.50% Senior Secured Notes (the "3.50% Notes Indenture" and, together with the 3.50% FLSO Senior Secured Notes Indenture and 5.375% Notes Indenture, the "Indentures"), if applicable), for cash or other consideration.</w:t>
      </w:r>
    </w:p>
    <w:p>
      <w:pPr>
        <w:spacing w:after="0" w:line="21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On September 29, 2023, indirect subsidiaries of the company entered into a revolving agreement where a bankruptcy-remote special purpose vehicle can sell accounts receivable, based upon the face amount of eligible receivables in the collateral pool, up to an aggregate maximum limit of $300 million to a financial institution on a recurring basis in exchange for cash. On February 12, 2024, the revolving agreement was amended to include certain international subsidiaries of the company as parties to the agreement and Rackspace Receivables Canada Limited, a Canadian indirect subsidiary of the company, was established as a special purpose vehicle.</w:t>
      </w:r>
    </w:p>
    <w:p>
      <w:pPr>
        <w:spacing w:after="0" w:line="21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At June 30, 2024, we held $190 million in cash and cash equivalents (not including $3 million in restricted cash, which is included in "Other non-current assets"), of which $124 million was held by foreign entities.</w:t>
      </w:r>
    </w:p>
    <w:p>
      <w:pPr>
        <w:spacing w:after="0" w:line="18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installment payment arrangements with certain equipment and software vendors, along with sale-leaseback arrangements for equipment and certain property leases that are considered financing obligations. We had $58 million outstanding with respect to these arrangements as of June 30, 2024. We may choose to utilize these various sources of funding in future periods.</w:t>
      </w:r>
    </w:p>
    <w:p>
      <w:pPr>
        <w:spacing w:after="0" w:line="203"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also lease certain equipment and real estate under operating and finance lease agreements. We had $495 million outstanding with respect to operating and finance lease agreements as of June 30, 2024. We may choose to utilize such leasing arrangements in future periods.</w:t>
      </w:r>
    </w:p>
    <w:p>
      <w:pPr>
        <w:spacing w:after="0" w:line="189"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As of June 30, 2024, we had $2,484 million aggregate principal amount outstanding under the FLSO Term Loan Facility, the FLFO Term Loan Facility, the Term Loan Facility, 3.50% FLSO Senior Secured Notes, 5.375% Senior Notes, and 3.50% Senior Secured Notes, with $375 million of borrowing capacity available under the New Revolving Credit Facility. Our liquidity requirements are significant, primarily due to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jc w:val="both"/>
        <w:ind w:right="160" w:firstLine="486"/>
        <w:spacing w:after="0" w:line="289" w:lineRule="auto"/>
        <w:rPr>
          <w:sz w:val="20"/>
          <w:szCs w:val="20"/>
          <w:color w:val="auto"/>
        </w:rPr>
      </w:pPr>
      <w:r>
        <w:rPr>
          <w:rFonts w:ascii="Times New Roman" w:cs="Times New Roman" w:eastAsia="Times New Roman" w:hAnsi="Times New Roman"/>
          <w:sz w:val="17"/>
          <w:szCs w:val="17"/>
          <w:color w:val="auto"/>
        </w:rPr>
        <w:t>In March 2024, we initiated a series of debt refinancing transactions that substantially impacted our existing debt instruments: the Senior Facilities, the 3.50% Senior Secured Notes, and the 5.375% Senior Notes. We also entered into new debt instruments: the New Senior Facilities, which includes the FLSO Term Loan Facility, the FLFO Term Loan Facility, and the New Revolving Credit Facility, and the 3.50% FLSO Senior Secured Notes.</w:t>
      </w:r>
    </w:p>
    <w:p>
      <w:pPr>
        <w:spacing w:after="0" w:line="18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See Item 1 of Part I, Financial Statements - Note 7, “Debt,” for more information regarding the March 2024 Refinancing Transactions and the related accounting impacts.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Senior Facilities</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March 12, 2024, Rackspace Finance Holdings, LLC ( “Rackspace Finance Holdings”), Rackspace Finance, LLC ( “Rackspace Finance”),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FLSO Term Loan Facility</w:t>
      </w:r>
    </w:p>
    <w:p>
      <w:pPr>
        <w:spacing w:after="0" w:line="23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Rackspace Finance issued the FLSO Term Loan Facility in an aggregate principal amount of $1,687 million. The FLSO Term Loan Facility matures on May 15, 2028.</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the contractual interest rate on the FLSO Term Loan Facility was 8.19%. We are required to make quarterly principal payments of $4 million, which began on March 31, 2024.</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FLSO Term Loan Facility are guaranteed on a senior secured basis, jointly and severally, by Rackspace Finance Holdings on a limited-recourse basis and by certain of Rackspace Finance’s subsidiaries (the “Subsidiary Guarantors”). The obligations under the FLSO Term Loan Facility are secured by a pledge of Rackspace Finance’s capital stock directly held by Rackspace Finance Holdings and substantially all of Rackspace Finance’s and the Subsidiary Guarantors’ assets, subject to exceptions.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Rackspace Finance repurchased and surrendered for cancellation $19 million principal amount of the FLSO Term Loan Facility for $9 million.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$1,659 million in aggregate principal amount of the FLSO Term Loan Facility remained outstanding.</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FLSO Term Loan Facility that result from fluctuations in Term SOFR. See Item 1 of Part I, Financial Statements - Note 11, “Derivatives,” for more information on the interest rate swap agreements.</w:t>
      </w:r>
    </w:p>
    <w:p>
      <w:pPr>
        <w:spacing w:after="0" w:line="20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Rackspace Finance initiated repurchases of an additional $24 million aggregate principal amount of the FLSO Term Loan Facility for $11 million. These repurchases subsequently settled on July 15,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FLFO Term Loan Facility</w:t>
      </w:r>
    </w:p>
    <w:p>
      <w:pPr>
        <w:spacing w:after="0" w:line="25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Rackspace Finance issued the FLFO Term Loan Facility in an aggregate principal amount $275 million. The FLFO Term Loan Facility matures on May 15, 2028.</w:t>
      </w:r>
    </w:p>
    <w:p>
      <w:pPr>
        <w:spacing w:after="0" w:line="18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the contractual interest rate on the FLFO Term Loan Facility was 11.69%. We are required to make quarterly principal payments of $0.7 million, which began on June 30,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$274 million aggregate principal amount of the FLFO Term Loan Facility remained outstanding.</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FLFO Term Loan Facility that result from fluctuations in Term SOFR. See Item 1 of Part I, Financial Statements - Note 11, “Derivatives,” for more information on the interest rate swap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Revolving Credit Facility</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Rackspace Finance established the New Revolving Credit Facility in an aggregate principal amount of $375 million of commitments.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New Revolving Credit Facility includes a commitment fee equal to 0.50% per annum in respect of the unused commitments that is due quarterly. This fee is subject to one step-down based on the net first lien leverage ratio.</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New Revolving Credit Facility are guaranteed on a senior secured basis, jointly and severally, by Rackspace Finance Holdings on a limited-recourse basis and by the Subsidiary Guarantors. The obligations under the New Revolving Credit Facility are secured by the same collateral that secures the FLSO Term Loan Facility, the FLFO Term Loan Facility and the 3.50% FLSO Senior Secured Notes.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we had total commitments of $375 million, no outstanding borrowings under the New Revolving Credit Facility, and $24 million of letters of credit issued thereunder. As such, as of June 30, 2024, we had $375 million of available commitments remaining.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FLSO Senior Secured Notes due 2028</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March 12, 2024, Rackspace Finance issued $267 million initial aggregate principal amount of 3.50% FLSO Senior Secured Notes. The 3.50%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FLSO Senior Secured Notes will mature on May 15, 2028 and bear interest at an annual fixed rate of 3.50%. Interest is payable semiannually 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on August 15, 2024.</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16, 2024, we completed the Public Note Exchange, pursuant to which (i) $138 million aggregate principal amount of the existing 3.50% Senior Secured Notes were exchanged or purchased for cancellation and (ii) $97 million aggregate principal amount of 3.50% FLSO Senior Secured Notes were issued by Rackspace Finance.</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Rackspace Finance repurchased and surrendered for cancellation $46 million principal amount of the 3.50% FLSO Senior Secured Notes for $19 million, including accrued interest of $0.4 million.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$319 million aggregate principal amount of the 3.50% FLSO Senior Secured Notes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Debt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Facilitie</w:t>
      </w:r>
      <w:r>
        <w:rPr>
          <w:rFonts w:ascii="Times New Roman" w:cs="Times New Roman" w:eastAsia="Times New Roman" w:hAnsi="Times New Roman"/>
          <w:sz w:val="18"/>
          <w:szCs w:val="18"/>
          <w:b w:val="1"/>
          <w:bCs w:val="1"/>
          <w:i w:val="1"/>
          <w:iCs w:val="1"/>
          <w:color w:val="auto"/>
        </w:rPr>
        <w:t>s</w:t>
      </w:r>
    </w:p>
    <w:p>
      <w:pPr>
        <w:spacing w:after="0" w:line="256" w:lineRule="exact"/>
        <w:rPr>
          <w:sz w:val="20"/>
          <w:szCs w:val="20"/>
          <w:color w:val="auto"/>
        </w:rPr>
      </w:pPr>
    </w:p>
    <w:p>
      <w:pPr>
        <w:ind w:right="460" w:firstLine="486"/>
        <w:spacing w:after="0" w:line="261" w:lineRule="auto"/>
        <w:rPr>
          <w:sz w:val="20"/>
          <w:szCs w:val="20"/>
          <w:color w:val="auto"/>
        </w:rPr>
      </w:pPr>
      <w:r>
        <w:rPr>
          <w:rFonts w:ascii="Times New Roman" w:cs="Times New Roman" w:eastAsia="Times New Roman" w:hAnsi="Times New Roman"/>
          <w:sz w:val="18"/>
          <w:szCs w:val="18"/>
          <w:color w:val="auto"/>
        </w:rPr>
        <w:t>On February 9, 2021, we amended and restated the credit agreement governing our senior secured credit facilities (the "First Lien Credit Agreement"), which included a new seven-year $2,300 million senior secured first lien term loan facility (the "Term Loan Facility") and the prior Revolving Credit Facility (together, the "Senior Facilities"). The Term Loan Facility will mature on February 15, 2028 and the prior Revolving Credit Facility was set to mature on August 7, 2025.</w:t>
      </w:r>
    </w:p>
    <w:p>
      <w:pPr>
        <w:spacing w:after="0" w:line="207"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Interest on the Term Loan Facility is due at the end of each interest period elected, not exceeding 90 days, for SOFR loans and at the end of every calendar quarter for base rate loans. As of June 30, 2024, the contractual interest rate on the Term Loan Facility was 8.19%. We are required to make quarterly amortization payments of $0.2 million. The Revolving Credit Facility included a commitment fee equal to 0.50% per annum in respect of the unused commitments that was due quarterly. This fee was subject to one step-down based on the net first lien leverage ratio. The Senior Facilities require us to make certain mandatory prepayments under certain conditions defined in the First Lien Credit Agreement.</w:t>
      </w:r>
    </w:p>
    <w:p>
      <w:pPr>
        <w:spacing w:after="0" w:line="21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$62 million aggregate principal amount of the Term Loan Facility remained outstanding and the prior Revolving Credit Facility was replaced in full by the New Revolving Credit Facility. See Item 1 of Part I, Financial Statements - Note 7, “Debt,” for more information regarding our Senior Facilities.</w:t>
      </w:r>
    </w:p>
    <w:p>
      <w:pPr>
        <w:spacing w:after="0" w:line="203"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Term Loan Facility that result from fluctuations in Term SOFR. See Item 1 of Part I, Financial Statements - Note 11, "Derivatives," for more information on the interest rate swap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Senior Secured Notes due 2028</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9, 2021, Rackspace Technology Global issued $550 million aggregate principal amount of 3.50% Senior Secured Notes. The 3.50%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will mature on February 15, 2028 and bear interest at an annual fixed rate of 3.50%. Interest is payable semiannually 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on August 15, 2021.</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$44 million aggregate principal amount of the 3.50% Senior Secured Notes remained outstanding.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5.375% Senior Notes due 2028</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The 5.375% Senior Notes are guaranteed on a senior unsecured basis by all of Rackspace Technology Global's wholly-owned domestic restricted subsidiaries that guarantee the Senior Facilities.</w:t>
      </w:r>
    </w:p>
    <w:p>
      <w:pPr>
        <w:spacing w:after="0" w:line="20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Rackspace Technology Global repurchased and surrendered for cancellation $3 million principal amount of 5.375% Senior Notes for $1 million.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$125 million aggregate principal amount of the 5.375% Senior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54"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FLSO Term Loan Facility, FLFO Term Loan Facility, and Term Loan Facility are not subject to a financial maintenance covenant. The New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New First Lien Credit Agreement governing the New Senior Facilities). However, this financial maintenance covenant will only be applicable and tested if the aggregate amount of outstanding borrowings under the New Revolving Credit Facility and letters of credit issued thereunder (excluding $25 million of undrawn letters of credit and cash collateralized letters of credit) as of the last day of a fiscal quarter is greater than 35% of the New Revolving Credit Facility commitments as of the last day of such fiscal quarter. Additional covenants in the New Senior Facilities and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2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respectively, at a price in cash equal to 101.000% of the aggregate principal amount, plus accrued and unpaid interest, if any, to, but not including the purchase date.</w:t>
      </w:r>
    </w:p>
    <w:p>
      <w:pPr>
        <w:spacing w:after="0" w:line="21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New Senior Facilities and Senior Facilities the calculation of consolidated EBITDA takes into account the impact of certain changes in GAAP subsequent to December 1, 2020 other than with respect to capital leases.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we were in compliance with all covenants under the New Senior Facilities, the Senior Facilities and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w:t>
      </w:r>
    </w:p>
    <w:p>
      <w:pPr>
        <w:spacing w:after="0" w:line="254"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w:t>
      </w:r>
    </w:p>
    <w:p>
      <w:pPr>
        <w:spacing w:after="0" w:line="207"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As of June 30, 2024, the New Credit Group had total assets of $3,316 million and total liabilities of $3,891 million, which included total debt of $2,640 million. The financial information for the New Credit Group differs from the financial information for the company and its consolidated subsidiaries primarily because Rackspace Technology Global has (i) debt that is not guaranteed by the New Credit Group, which debt was $230 million as of June 30, 2024, and (ii) Rackspace Technology Global is the party to the interest rate swap which had a net asset value of $49 million as of June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our total capital expenditures for the periods indicated:</w:t>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Data center build outs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 build outs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37"/>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Capital expenditures were $79 million in the six months ended June 30, 2024, compared to $116 million in the six months ended June 30, 2023, a decrease of $38 million. The decrease in capital expenditures was driven by purchases of customer gear originally intended to support a specific new customer during the first quarter of 2023. This new customer did not materialize as expected; however, the gear is fungible and has been redeployed to support other business requirements. This gear was acquired through a finance 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certain cash flow information for the periods indicated:</w:t>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operating activities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35.9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(66.2)</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(49.5)</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110.4</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w:t>
      </w:r>
    </w:p>
    <w:p>
      <w:pPr>
        <w:spacing w:after="0" w:line="2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(used in)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20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$66 million in the six months ended June 30, 2024 compared to cash provided by operating activities of $36 million in the six months ended June 30, 2023. The reduction in operating cash between periods was primarily driven by decreased customer receipts, $32 million in third party fees paid in connection with the March 2024 Refinancing Transactions, a $9 million early termination fee associated with the sale of our corporate headquarters, and lower cash interest payments, including the impact of the March 2024 Refinancing Transactions for which a portion of our contractual cash interest payments are now presented as repayments of debt in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5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spacing w:after="0" w:line="203"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$15 million, or 42%, in the six months ended June 30, 2024 compared to the six months ended June 30, 2023 due to a $31 million increase in cash purchases of property, equipment, and software between periods, partially offset by $17 million of net proceeds received in the current year from the March 2024 sale of our corporate headquarters facility.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25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0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$110 million in the six months ended June 30, 2024 compared to $71 million of net cash used in financing activities in the six months ended June 30, 2023. The change was primarily driven by proceeds from the new FLFO Term Loan Facility as part of the the March 2024 Refinancing Transactions, partially offset by higher debt repayments which includes the impact of certain contractual cash interest payments that were previously classified within operating cash flow but are now presented as repayments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estimates have not changed from those described in our Annual Report under "Management's Discussion and Analysis of Financial Condition and Results of Operations - Critical Accounting Policies and Estimates."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Prior to October 1, 2023, we had two reporting units with goodwill: Public Cloud and Private Cloud. Goodwill allocated to our third reporting unit, OpenStack Public Cloud, was fully impaired during the fourth quarter of 2021. As of October 1, 2023, we reassessed our reporting unit structure and aggregated the OpenStack Public Cloud reporting unit into our Private Cloud reporting unit. We currently have two reporting units: Public Cloud and Private Cloud.</w:t>
      </w:r>
    </w:p>
    <w:p>
      <w:pPr>
        <w:spacing w:after="0" w:line="21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growth rates, projected gross profit margins, projected operating costs, and projected capital expenditures, which are dependent on internal cash flow forecasts; (iii) estimation of the terminal growth rates; and (iv) determination of the risk-adjusted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1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For the quantitative goodwill impairment analysis, we utilize the income approach to determine the fair value of our reporting units. The income approach utilizes a discounted cash flow method which is based on the present value of projected cash flows. The discounted cash flow models reflect our assumptions and considerations regarding revenue growth rates, projected gross profit margins, projected operating costs, projected capital expenditures, risk-adjusted discount rates, terminal period growth rates, and economic market trends. The terminal period growth rate is selected based on economic conditions and consideration of growth rates used in the forecast period and historical performance of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In connection with the debt refinancing transactions that were completed in March and April 2024, as further described in Item 1 of Part I, Financial Statements -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risks, including macroeconomic factors, to achieving our forecasts. Our Board of Directors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w:t>
      </w:r>
    </w:p>
    <w:p>
      <w:pPr>
        <w:spacing w:after="0" w:line="216"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February 29, 2024, we utilized a range of our weighted-average cost of capital of 13.0% to 14.0% as our base rate, which was then subsequently risk-adjusted to determine the discount rate used for each reporting unit. After determining the fair value of our reporting units, we reconciled the combined fair value of the reporting units to the company's market capitalization as of February 29, 2024. As a result, we determined that the carrying amount of our Public Cloud and Private Cloud reporting units exceeded their fair value. We recorded a goodwill impairment charge of $385 million and $188 million for Public Cloud and Private Cloud, respectively, during the first quarter of 2024, which is included in "Impairment of goodwill" in our Condensed Consolidated Statements of Comprehensive Income (Loss). The impairment was driven by the company's cash flow projections as revised in the first quarter of 2024 to reflect current market conditions and expected business performance, including strategic business shifts and the timing when the benefits of such shifts will be realized.</w:t>
      </w:r>
    </w:p>
    <w:p>
      <w:pPr>
        <w:spacing w:after="0" w:line="21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or decrease in the discount rate assumption would result in decreases or increases in fair value of our Private Cloud and Public Cloud reporting units of approximately $101 million and $14 million, respectively.</w:t>
      </w:r>
    </w:p>
    <w:p>
      <w:pPr>
        <w:spacing w:after="0" w:line="210"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Due to the change in our segment reporting as a result of the business reorganization as of January 1, 2023, we completed a quantitative goodwill impairment analysis both prior and subsequent to the aforementioned change. We reassigned goodwill to the updated reporting units using a relative fair value approach.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January 1, 2023, we utilized a range of our weighted-average cost of capital of 10.5% to 12.0% as our discount rate, which was risk-adjusted for each reporting unit. After determining the fair value of our reporting units, we reconciled the combined fair value of the reporting units to the company's market capitalization as of January 1, 2023. As a result, we determined that the carrying amount of our Private Cloud reporting unit exceeded its fair value and recorded a goodwill impairment charge of $271 million during the first quarter of 2023, which is included in "Impairment of goodwill" in our Condensed Consolidated Statements of Comprehensive Income (Loss). The impairment primarily resulted from the reallocation of certain costs between the three reporting units to reflect the going-forward operating model following the business reorganization. The Public Cloud reporting unit was determined to have a fair value that exceeded its carrying value by approximately 20% and therefore no impairment was recognized.</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$175 million and $67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spacing w:after="0" w:line="200"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March 31, 2023, we utilized a range of our weighted-average cost of capital of 10.0% to 11.5% as our discount rate, which was risk-adjusted for each reporting unit. After determining the fair value of our reporting units, we reconciled the combined fair value of the reporting units to the company's market capitalization as of March 31, 2023. As a result, we determined that the carrying amount of our Private Cloud reporting unit exceeded its fair value and recorded a goodwill impairment charge of $272 million during the first quarter of 2023, which is included in "Impairment of goodwill" in our Condensed Consolidated Statements of Comprehensive Income (Loss). The impairment was driven by the company's most recent cash flow projections as revised in the first quarter of 2023 which reflected current market conditions and current trends in business performance, including slower than anticipated actualization of bookings. The Public Cloud reporting unit was determined to have a fair value that exceeded its carrying value by approximately 14% and therefore no impairment was recognized.</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$80 million and $65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5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As of January 1, 2023, March 31, 2023 and February 29, 2024,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all periods and a discount rate of 11.0% as of January 1, 2023 and March 31, 2023, and a discount rate of 13.7% as of February 29, 2024. We completed the quantitative assessments of our indefinite-lived intangible asset prior to testing our goodwill for impairment as of January 1, 2023 and March 31, 2023 which did not indicate any impairment of the Rackspace trade name.</w:t>
      </w:r>
    </w:p>
    <w:p>
      <w:pPr>
        <w:spacing w:after="0" w:line="21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quantitative test as of February 29, 2024 indicated that the estimated fair value of the Rackspace trade name was less than its carrying value. As a result, we recorded a $20 million non-cash impairment charge during the first quarter of 2024 which is included in "Impairment of assets, net" in our Condensed Consolidated Statements of Comprehensive Income (Loss).</w:t>
      </w:r>
    </w:p>
    <w:p>
      <w:pPr>
        <w:spacing w:after="0" w:line="203"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The fair value determination of our reporting units and our indefinite-lived intangible asset is judgmental in nature and requires the use of estimates and assumptions that are sensitive to changes. Assumptions include estimation of the royalty rate for the trade name, estimation of future revenue growth rates, projected gross profit margins, projected operating costs,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also performed recoverability tests of our long-lived assets in conjunction with the goodwill impairment analyses as of January 1, 2023, March 31, 2023, and February 29, 2024 which did not result in any impairment charges.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56"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our floating-rate debt under our Senior Facilities and New Senior Facilities, which includes our $375 million New Revolving Credit Facility and $1,996 million outstanding under the Term Loan Facility, FLSO Term Loan Facility, and FLFO Term Loan Facility. As of June 30, 2024, there was no outstanding borrowings under the New Revolving Credit Facility and therefore our only variable-rate debt outstanding was the $1,996 million outstanding under the Term Loan Facility, FLSO Term Loan Facility, and FLFO Term Loan Facility. As of June 30, 2024, assuming the New Revolving Credit Facility was fully drawn, each 0.125% change in assumed blended interest rates would result in a $3 million change in annual interest expense on indebtedness under the Senior Facilities and New Senior Facilities.</w:t>
      </w:r>
    </w:p>
    <w:p>
      <w:pPr>
        <w:spacing w:after="0" w:line="21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Term Loan Facility, FLSO Term Loan Facility, and FLFO Term Loan Facility bear interest at an annual rate equal to an applicable margin plus one-month Term SOFR, subject to a 0.75% floor. We have entered into an interest rate swap agreement indexed to one-month Term SOFR (subject to a floor of 0.75%) in order to manage our risk from fluctuations in one-month Term SOFR above the 0.75% floor.</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the swap outstanding as of June 30, 2024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Notional Amount (in</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Fixed Rate Paid</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580" w:type="dxa"/>
            <w:vAlign w:val="bottom"/>
            <w:gridSpan w:val="2"/>
            <w:vMerge w:val="continue"/>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820" w:type="dxa"/>
            <w:vAlign w:val="bottom"/>
            <w:gridSpan w:val="2"/>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2021</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2.34150%</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1 of Part I, Financial Statements - Note 11, "Derivatives," for more information on interest rate swaps.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 w:cs="Times New Roman" w:eastAsia="Times New Roman" w:hAnsi="Times New Roman"/>
          <w:sz w:val="18"/>
          <w:szCs w:val="18"/>
          <w:i w:val="1"/>
          <w:iCs w:val="1"/>
          <w:color w:val="auto"/>
        </w:rPr>
        <w:t>Constant Currency Revenue</w:t>
      </w:r>
      <w:r>
        <w:rPr>
          <w:rFonts w:ascii="Times New Roman" w:cs="Times New Roman" w:eastAsia="Times New Roman" w:hAnsi="Times New Roman"/>
          <w:sz w:val="18"/>
          <w:szCs w:val="18"/>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six months ended June 30, 2024, we recognized foreign currency transaction losses of $0.1 million within "Other income (expense), net" in our Condensed Consolidated Statements of Comprehensive Income (Loss). As we grow our international operations, our exposure to foreign currency translation and transaction risk could become more significant.</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in the past and may in the future enter into foreign currency hedging instruments to limit our exposure to foreign currency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Prices</w:t>
      </w:r>
    </w:p>
    <w:p>
      <w:pPr>
        <w:spacing w:after="0" w:line="243" w:lineRule="exact"/>
        <w:rPr>
          <w:sz w:val="20"/>
          <w:szCs w:val="20"/>
          <w:color w:val="auto"/>
        </w:rPr>
      </w:pPr>
    </w:p>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We are a large consumer of power. In the six months ended June 30, 2024, we expensed approximately $22 million for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5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56" w:lineRule="exact"/>
        <w:rPr>
          <w:sz w:val="20"/>
          <w:szCs w:val="20"/>
          <w:color w:val="auto"/>
        </w:rPr>
      </w:pPr>
    </w:p>
    <w:p>
      <w:pPr>
        <w:jc w:val="both"/>
        <w:ind w:right="600" w:firstLine="486"/>
        <w:spacing w:after="0" w:line="266" w:lineRule="auto"/>
        <w:rPr>
          <w:sz w:val="20"/>
          <w:szCs w:val="20"/>
          <w:color w:val="auto"/>
        </w:rPr>
      </w:pPr>
      <w:r>
        <w:rPr>
          <w:rFonts w:ascii="Times New Roman" w:cs="Times New Roman" w:eastAsia="Times New Roman" w:hAnsi="Times New Roman"/>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03"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03"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5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06" w:lineRule="exact"/>
        <w:rPr>
          <w:sz w:val="20"/>
          <w:szCs w:val="20"/>
          <w:color w:val="auto"/>
        </w:rPr>
      </w:pPr>
    </w:p>
    <w:p>
      <w:pPr>
        <w:ind w:right="2000" w:firstLine="2024"/>
        <w:spacing w:after="0" w:line="534" w:lineRule="auto"/>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 Unregistered Sales of Equity Securities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5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2024, none of the company’s directors or officers (as defined in Rule 16a-1(f) of the Exchange Act) adopted, modified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ITEM 6 – EXHIBITS</w:t>
      </w:r>
    </w:p>
    <w:p>
      <w:pPr>
        <w:sectPr>
          <w:pgSz w:w="11900" w:h="16838" w:orient="portrait"/>
          <w:cols w:equalWidth="0" w:num="1">
            <w:col w:w="11080"/>
          </w:cols>
          <w:pgMar w:left="320" w:top="121" w:right="499" w:bottom="1440" w:gutter="0" w:footer="0" w:header="0"/>
        </w:sect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9944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w:t>
      </w:r>
    </w:p>
    <w:p>
      <w:pPr>
        <w:spacing w:after="0" w:line="50"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w:t>
      </w:r>
    </w:p>
    <w:p>
      <w:pPr>
        <w:spacing w:after="0" w:line="266"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w:t>
      </w:r>
    </w:p>
    <w:p>
      <w:pPr>
        <w:spacing w:after="0" w:line="266"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w:t>
      </w:r>
    </w:p>
    <w:p>
      <w:pPr>
        <w:spacing w:after="0" w:line="266"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jc w:val="right"/>
        <w:spacing w:after="0"/>
        <w:tabs>
          <w:tab w:leader="none" w:pos="1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spacing w:after="0"/>
        <w:tabs>
          <w:tab w:leader="none" w:pos="1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20"/>
        <w:spacing w:after="0"/>
        <w:tabs>
          <w:tab w:leader="none" w:pos="124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6"/>
          <w:szCs w:val="16"/>
          <w:color w:val="auto"/>
        </w:rPr>
        <w:t>*</w:t>
      </w:r>
    </w:p>
    <w:p>
      <w:pPr>
        <w:spacing w:after="0" w:line="26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19685</wp:posOffset>
            </wp:positionV>
            <wp:extent cx="60521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Rackspace Technology, Inc. Amendment No. 3 to 2020 Equity Incentive Plan</w:t>
      </w:r>
    </w:p>
    <w:p>
      <w:pPr>
        <w:spacing w:after="0" w:line="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between Rackspace Technology, Inc. and certain of its executive officers under the 2020 Equity Incentive Plan.</w:t>
      </w:r>
    </w:p>
    <w:p>
      <w:pPr>
        <w:spacing w:after="0" w:line="1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Cash-Settled Performance Award Agreement between Rackspace Technology, Inc. and certain of its executive officers under the 2020 Equity Incentive Plan.</w:t>
      </w:r>
    </w:p>
    <w:p>
      <w:pPr>
        <w:spacing w:after="0" w:line="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Long-Term Cash-Settled Performance Award Agreement between Rackspace Technology, Inc. and certain of its directors under the 2020 Equity Incentive Plan.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Section 302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302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Section 906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906 of the Sarbanes-Oxley Act of 2002</w:t>
      </w:r>
    </w:p>
    <w:p>
      <w:pPr>
        <w:spacing w:after="0" w:line="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50" w:lineRule="exact"/>
        <w:rPr>
          <w:sz w:val="20"/>
          <w:szCs w:val="20"/>
          <w:color w:val="auto"/>
        </w:rPr>
      </w:pPr>
    </w:p>
    <w:p>
      <w:pPr>
        <w:ind w:right="4420"/>
        <w:spacing w:after="0" w:line="314" w:lineRule="auto"/>
        <w:rPr>
          <w:sz w:val="20"/>
          <w:szCs w:val="20"/>
          <w:color w:val="auto"/>
        </w:rPr>
      </w:pPr>
      <w:r>
        <w:rPr>
          <w:rFonts w:ascii="Times New Roman" w:cs="Times New Roman" w:eastAsia="Times New Roman" w:hAnsi="Times New Roman"/>
          <w:sz w:val="17"/>
          <w:szCs w:val="17"/>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2" w:lineRule="exact"/>
        <w:rPr>
          <w:sz w:val="20"/>
          <w:szCs w:val="20"/>
          <w:color w:val="auto"/>
        </w:rPr>
      </w:pPr>
    </w:p>
    <w:p>
      <w:pPr>
        <w:sectPr>
          <w:pgSz w:w="11900" w:h="16838" w:orient="portrait"/>
          <w:cols w:equalWidth="0" w:num="2">
            <w:col w:w="1440" w:space="280"/>
            <w:col w:w="9360"/>
          </w:cols>
          <w:pgMar w:left="320" w:top="121" w:right="499" w:bottom="1440" w:gutter="0" w:footer="0" w:header="0"/>
          <w:type w:val="continuous"/>
        </w:sectPr>
      </w:pPr>
    </w:p>
    <w:p>
      <w:pPr>
        <w:ind w:left="420" w:hanging="250"/>
        <w:spacing w:after="0"/>
        <w:tabs>
          <w:tab w:leader="none" w:pos="42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Filed herewith.</w:t>
      </w:r>
    </w:p>
    <w:p>
      <w:pPr>
        <w:spacing w:after="0" w:line="23" w:lineRule="exact"/>
        <w:rPr>
          <w:sz w:val="20"/>
          <w:szCs w:val="20"/>
          <w:color w:val="auto"/>
        </w:rPr>
      </w:pPr>
    </w:p>
    <w:p>
      <w:pPr>
        <w:ind w:left="500" w:hanging="330"/>
        <w:spacing w:after="0"/>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5" w:lineRule="exact"/>
        <w:rPr>
          <w:sz w:val="20"/>
          <w:szCs w:val="20"/>
          <w:color w:val="auto"/>
        </w:rPr>
      </w:pPr>
    </w:p>
    <w:p>
      <w:pPr>
        <w:ind w:left="420" w:hanging="250"/>
        <w:spacing w:after="0"/>
        <w:tabs>
          <w:tab w:leader="none" w:pos="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2024</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04"/>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- 69 -</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0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Rackspace Technology, Inc. 2020 Equity Incentive Plan, as amended, (the “2020 Equity Incentive Plan”) of Rackspace Technology, Inc. (the “Company”) is hereby amended, effective as of April 24, 2024 (the “Effective Date”), as follows:</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3.1(a)</w:t>
      </w:r>
      <w:r>
        <w:rPr>
          <w:rFonts w:ascii="Times New Roman" w:cs="Times New Roman" w:eastAsia="Times New Roman" w:hAnsi="Times New Roman"/>
          <w:sz w:val="18"/>
          <w:szCs w:val="18"/>
          <w:color w:val="auto"/>
        </w:rPr>
        <w:t>. Section 3.1(a) of the 2020 Equity Incentive Plan is hereby amended and restated in its entirety to read as follows:</w:t>
      </w:r>
    </w:p>
    <w:p>
      <w:pPr>
        <w:spacing w:after="0" w:line="225" w:lineRule="exact"/>
        <w:rPr>
          <w:rFonts w:ascii="Times New Roman" w:cs="Times New Roman" w:eastAsia="Times New Roman" w:hAnsi="Times New Roman"/>
          <w:sz w:val="18"/>
          <w:szCs w:val="18"/>
          <w:color w:val="auto"/>
        </w:rPr>
      </w:pPr>
    </w:p>
    <w:p>
      <w:pPr>
        <w:ind w:left="66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Sections 3.1(b) and 12.2, the aggregate number of Shares which may be issued or transferred pursuant to Awards under the Plan shall be no more than 87,900,000 Shares (the “Share Limit”). All of the Shares reserved under the Plan may be designated as Incentive Stock Options. The Share Limit shall be reduced, on the date of grant of an Award, by the relevant number of shares of Common Stock for each Award granted under the Plan (since its adoption on the Effective Date) that is valued by reference to a share of Common Stock; provided that Awards that are valued by reference to shares of Common Stock but are required to be paid in cash pursuant to their terms shall not reduce the Share Limit. Any Shares distributed pursuant to an Award may consist, in whole or in part, of authorized and unissued Common Stock, treasury Common Stock or Common Stock purchased on the open market.</w:t>
      </w:r>
    </w:p>
    <w:p>
      <w:pPr>
        <w:spacing w:after="0" w:line="215"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In accordance with Section 12.1(b) of the 2020 Equity Incentive Plan, the effectiveness of this Amendment No. 3 to the 2020 Equity Incentive Plan (this “Amendment”) is subject to the approval of the Company’s stockholders at the Company’s 2024 annual general meeting of stockholders. For the avoidance of doubt, if stockholder approval is not obtained, this Amendment shall be void ab initio and of no force and effect.</w:t>
      </w:r>
    </w:p>
    <w:p>
      <w:pPr>
        <w:spacing w:after="0" w:line="206"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internal laws of the State of Delaware applicable to contracts made and performed wholly within the State of Delaware, without giving effect to the conflict of laws provisions thereof.</w:t>
      </w:r>
    </w:p>
    <w:p>
      <w:pPr>
        <w:spacing w:after="0" w:line="188"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the Plan</w:t>
      </w:r>
      <w:r>
        <w:rPr>
          <w:rFonts w:ascii="Times New Roman" w:cs="Times New Roman" w:eastAsia="Times New Roman" w:hAnsi="Times New Roman"/>
          <w:sz w:val="18"/>
          <w:szCs w:val="18"/>
          <w:color w:val="auto"/>
        </w:rPr>
        <w:t>. This Amendment shall not constitute a waiver, amendment or modification of any provision of the 2020 Equity Incentive Plan not expressly referred to herein. Except as expressly amended or modified herein, the provisions of the 2020 Equity Incentive Plan are and shall remain in full force and effect and are hereby ratified and confirmed. On and after the Effective Date, each reference in the 2020 Equity Incentive Plan to “the Plan”, “herein”, “hereof”, “hereunder” or words of similar import shall mean and be a reference to the 2020 Equity Incentive Plan as amended hereby. To the extent that a provision of this Amendment conflicts with or differs from a provision of the 2020 Equity Incentive Plan, such provision of this Amendment shall prevail and govern for all purposes and in all respects.</w:t>
      </w:r>
    </w:p>
    <w:p>
      <w:pPr>
        <w:spacing w:after="0" w:line="214"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and not defined in this Amendment shall have the meanings ascribed to them in the 2020 Equity Incentive Plan.</w:t>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RSU_ALLPAR_2024_1</w:t>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RACKSPACE TECHNOLOGY, INC. 2020 EQUITY INCENTIVE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GRANT OF RESTRICTED STOCK UNITS</w:t>
      </w:r>
    </w:p>
    <w:p>
      <w:pPr>
        <w:spacing w:after="0" w:line="335" w:lineRule="exact"/>
        <w:rPr>
          <w:sz w:val="20"/>
          <w:szCs w:val="20"/>
          <w:color w:val="auto"/>
        </w:rPr>
      </w:pPr>
    </w:p>
    <w:p>
      <w:pPr>
        <w:jc w:val="both"/>
        <w:ind w:left="220" w:right="280" w:firstLine="648"/>
        <w:spacing w:after="0" w:line="258" w:lineRule="auto"/>
        <w:rPr>
          <w:sz w:val="20"/>
          <w:szCs w:val="20"/>
          <w:color w:val="auto"/>
        </w:rPr>
      </w:pPr>
      <w:r>
        <w:rPr>
          <w:rFonts w:ascii="Times New Roman" w:cs="Times New Roman" w:eastAsia="Times New Roman" w:hAnsi="Times New Roman"/>
          <w:sz w:val="20"/>
          <w:szCs w:val="20"/>
          <w:color w:val="auto"/>
        </w:rPr>
        <w:t>Unless otherwise defined herein, the terms defined in the 2020 Rackspace Technology, Inc.’s Equity Incentive Plan, as amended from time to time (the “Plan”), shall have the same defined meanings in this Notice of Grant of Restricted Stock Units (the “Notice of Grant”) and Restricted Stock Unit Agreement, including any addendum to the Agreement for the Participant’s country (the “Addendum”), as attached (together, the “Agreement”).</w:t>
      </w:r>
    </w:p>
    <w:p>
      <w:pPr>
        <w:spacing w:after="0" w:line="321" w:lineRule="exact"/>
        <w:rPr>
          <w:sz w:val="20"/>
          <w:szCs w:val="20"/>
          <w:color w:val="auto"/>
        </w:rPr>
      </w:pPr>
    </w:p>
    <w:p>
      <w:pPr>
        <w:ind w:left="360"/>
        <w:spacing w:after="0"/>
        <w:tabs>
          <w:tab w:leader="none" w:pos="3160" w:val="left"/>
        </w:tabs>
        <w:rPr>
          <w:sz w:val="20"/>
          <w:szCs w:val="20"/>
          <w:color w:val="auto"/>
        </w:rPr>
      </w:pPr>
      <w:r>
        <w:rPr>
          <w:rFonts w:ascii="Times New Roman" w:cs="Times New Roman" w:eastAsia="Times New Roman" w:hAnsi="Times New Roman"/>
          <w:sz w:val="20"/>
          <w:szCs w:val="20"/>
          <w:color w:val="auto"/>
        </w:rPr>
        <w:t>Participant:</w:t>
      </w:r>
      <w:r>
        <w:rPr>
          <w:sz w:val="20"/>
          <w:szCs w:val="20"/>
          <w:color w:val="auto"/>
        </w:rPr>
        <w:tab/>
      </w:r>
      <w:r>
        <w:rPr>
          <w:rFonts w:ascii="Times New Roman" w:cs="Times New Roman" w:eastAsia="Times New Roman" w:hAnsi="Times New Roman"/>
          <w:sz w:val="20"/>
          <w:szCs w:val="20"/>
          <w:color w:val="auto"/>
        </w:rPr>
        <w:t>%%FIRST_NAME_MIDDLE_NAME_LAST_NAME%-%</w:t>
      </w:r>
    </w:p>
    <w:p>
      <w:pPr>
        <w:spacing w:after="0" w:line="200" w:lineRule="exact"/>
        <w:rPr>
          <w:sz w:val="20"/>
          <w:szCs w:val="20"/>
          <w:color w:val="auto"/>
        </w:rPr>
      </w:pPr>
    </w:p>
    <w:p>
      <w:pPr>
        <w:spacing w:after="0" w:line="326" w:lineRule="exact"/>
        <w:rPr>
          <w:sz w:val="20"/>
          <w:szCs w:val="20"/>
          <w:color w:val="auto"/>
        </w:rPr>
      </w:pPr>
    </w:p>
    <w:p>
      <w:pPr>
        <w:ind w:left="220" w:right="300" w:firstLine="648"/>
        <w:spacing w:after="0" w:line="269" w:lineRule="auto"/>
        <w:rPr>
          <w:sz w:val="20"/>
          <w:szCs w:val="20"/>
          <w:color w:val="auto"/>
        </w:rPr>
      </w:pPr>
      <w:r>
        <w:rPr>
          <w:rFonts w:ascii="Times New Roman" w:cs="Times New Roman" w:eastAsia="Times New Roman" w:hAnsi="Times New Roman"/>
          <w:sz w:val="20"/>
          <w:szCs w:val="20"/>
          <w:color w:val="auto"/>
        </w:rPr>
        <w:t>Participant has been granted Restricted Stock Units over Common Stock of Rackspace Technology, Inc., subject to the terms and conditions of the Plan and the Agreement, as follows:</w:t>
      </w:r>
    </w:p>
    <w:p>
      <w:pPr>
        <w:sectPr>
          <w:pgSz w:w="11900" w:h="16838" w:orient="portrait"/>
          <w:cols w:equalWidth="0" w:num="1">
            <w:col w:w="11240"/>
          </w:cols>
          <w:pgMar w:left="320" w:top="96" w:right="339" w:bottom="1440" w:gutter="0" w:footer="0" w:header="0"/>
        </w:sectPr>
      </w:pP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Grant Number: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%%OPTION_NUMBER%-%</w:t>
      </w:r>
    </w:p>
    <w:p>
      <w:pPr>
        <w:spacing w:after="0" w:line="65" w:lineRule="exact"/>
        <w:rPr>
          <w:sz w:val="20"/>
          <w:szCs w:val="20"/>
          <w:color w:val="auto"/>
        </w:rPr>
      </w:pPr>
    </w:p>
    <w:p>
      <w:pPr>
        <w:sectPr>
          <w:pgSz w:w="11900" w:h="16838" w:orient="portrait"/>
          <w:cols w:equalWidth="0" w:num="2">
            <w:col w:w="4180" w:space="720"/>
            <w:col w:w="6340"/>
          </w:cols>
          <w:pgMar w:left="320" w:top="96"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%%OPTION_DATE,'Month DD, YYYY'%-%</w:t>
      </w:r>
    </w:p>
    <w:p>
      <w:pPr>
        <w:spacing w:after="0" w:line="106" w:lineRule="exact"/>
        <w:rPr>
          <w:sz w:val="20"/>
          <w:szCs w:val="20"/>
          <w:color w:val="auto"/>
        </w:rPr>
      </w:pPr>
    </w:p>
    <w:p>
      <w:pPr>
        <w:sectPr>
          <w:pgSz w:w="11900" w:h="16838" w:orient="portrait"/>
          <w:cols w:equalWidth="0" w:num="2">
            <w:col w:w="4180" w:space="720"/>
            <w:col w:w="6340"/>
          </w:cols>
          <w:pgMar w:left="320" w:top="96"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9"/>
          <w:szCs w:val="19"/>
          <w:color w:val="auto"/>
        </w:rPr>
        <w:t>Number of Restricted Stock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%%TOTAL_SHARES_GRANTED,'999,999,999'%-%</w:t>
      </w:r>
    </w:p>
    <w:p>
      <w:pPr>
        <w:spacing w:after="0" w:line="200" w:lineRule="exact"/>
        <w:rPr>
          <w:sz w:val="20"/>
          <w:szCs w:val="20"/>
          <w:color w:val="auto"/>
        </w:rPr>
      </w:pPr>
    </w:p>
    <w:p>
      <w:pPr>
        <w:sectPr>
          <w:pgSz w:w="11900" w:h="16838" w:orient="portrait"/>
          <w:cols w:equalWidth="0" w:num="2">
            <w:col w:w="4180" w:space="720"/>
            <w:col w:w="6340"/>
          </w:cols>
          <w:pgMar w:left="320" w:top="96" w:right="339" w:bottom="1440" w:gutter="0" w:footer="0" w:header="0"/>
          <w:type w:val="continuous"/>
        </w:sect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u w:val="single" w:color="auto"/>
          <w:color w:val="auto"/>
        </w:rPr>
        <w:t>Vesting Schedule</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220" w:right="380"/>
        <w:spacing w:after="0" w:line="269" w:lineRule="auto"/>
        <w:rPr>
          <w:sz w:val="20"/>
          <w:szCs w:val="20"/>
          <w:color w:val="auto"/>
        </w:rPr>
      </w:pPr>
      <w:r>
        <w:rPr>
          <w:rFonts w:ascii="Times New Roman" w:cs="Times New Roman" w:eastAsia="Times New Roman" w:hAnsi="Times New Roman"/>
          <w:sz w:val="20"/>
          <w:szCs w:val="20"/>
          <w:color w:val="auto"/>
        </w:rPr>
        <w:t>Subject to accelerated vesting and/or forfeiture as set forth in the Agreement or the Plan, the Restricted Stock Units will vest, in whole or in part, in accordance with the following schedule:</w:t>
      </w:r>
    </w:p>
    <w:p>
      <w:pPr>
        <w:spacing w:after="0" w:line="263"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 Date</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 Vesting</w:t>
            </w:r>
          </w:p>
        </w:tc>
      </w:tr>
      <w:tr>
        <w:trPr>
          <w:trHeight w:val="20"/>
        </w:trPr>
        <w:tc>
          <w:tcPr>
            <w:tcW w:w="7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64"/>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%%VEST_DATE_PERIOD1,'Month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%%SHARES_PERIOD1,'999,999,999'%-%</w:t>
            </w:r>
          </w:p>
        </w:tc>
      </w:tr>
      <w:tr>
        <w:trPr>
          <w:trHeight w:val="324"/>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%%VEST_DATE_PERIOD2,'Month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%%SHARES_PERIOD2,'999,999,999'%-%</w:t>
            </w:r>
          </w:p>
        </w:tc>
      </w:tr>
      <w:tr>
        <w:trPr>
          <w:trHeight w:val="33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%%VEST_DATE_PERIOD3,'Month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%%SHARES_PERIOD3,'999,999,999'%-%</w:t>
            </w:r>
          </w:p>
        </w:tc>
      </w:tr>
      <w:tr>
        <w:trPr>
          <w:trHeight w:val="337"/>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%%VEST_DATE_PERIOD4,'Month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%%SHARES_PERIOD4,'999,999,999'%-%</w:t>
            </w:r>
          </w:p>
        </w:tc>
      </w:tr>
      <w:tr>
        <w:trPr>
          <w:trHeight w:val="33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%%VEST_DATE_PERIOD5,'Month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%%SHARES_PERIOD5,'999,999,999'%-%</w:t>
            </w:r>
          </w:p>
        </w:tc>
      </w:tr>
      <w:tr>
        <w:trPr>
          <w:trHeight w:val="33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%%VEST_DATE_PERIOD6,'Month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%%SHARES_PERIOD6,'999,999,999'%-%</w:t>
            </w:r>
          </w:p>
        </w:tc>
      </w:tr>
      <w:tr>
        <w:trPr>
          <w:trHeight w:val="33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%%VEST_DATE_PERIOD7,'Month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%%SHARES_PERIOD7,'999,999,999'%-%</w:t>
            </w:r>
          </w:p>
        </w:tc>
      </w:tr>
      <w:tr>
        <w:trPr>
          <w:trHeight w:val="33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%%VEST_DATE_PERIOD8,'Month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%%SHARES_PERIOD8,'999,999,999'%-%</w:t>
            </w:r>
          </w:p>
        </w:tc>
      </w:tr>
      <w:tr>
        <w:trPr>
          <w:trHeight w:val="33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%%VEST_DATE_PERIOD9,'Month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%%SHARES_PERIOD9,'999,999,999'%-%</w:t>
            </w:r>
          </w:p>
        </w:tc>
      </w:tr>
      <w:tr>
        <w:trPr>
          <w:trHeight w:val="33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%%VEST_DATE_PERIOD10,'Month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w w:val="98"/>
              </w:rPr>
              <w:t>%%SHARES_PERIOD10,'999,999,999'%-%</w:t>
            </w:r>
          </w:p>
        </w:tc>
      </w:tr>
      <w:tr>
        <w:trPr>
          <w:trHeight w:val="33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%%VEST_DATE_PERIOD11,'Month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w w:val="98"/>
              </w:rPr>
              <w:t>%%SHARES_PERIOD11,'999,999,999'%-%</w:t>
            </w:r>
          </w:p>
        </w:tc>
      </w:tr>
      <w:tr>
        <w:trPr>
          <w:trHeight w:val="310"/>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%%VEST_DATE_PERIOD12,'Month DD, YYYY'%-%</w:t>
            </w: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w w:val="98"/>
              </w:rPr>
              <w:t>%%SHARES_PERIOD12,'999,999,999'%-%</w:t>
            </w:r>
          </w:p>
        </w:tc>
      </w:tr>
    </w:tbl>
    <w:p>
      <w:pPr>
        <w:sectPr>
          <w:pgSz w:w="11900" w:h="16838" w:orient="portrait"/>
          <w:cols w:equalWidth="0" w:num="1">
            <w:col w:w="11240"/>
          </w:cols>
          <w:pgMar w:left="320" w:top="96" w:right="339" w:bottom="1440" w:gutter="0" w:footer="0" w:header="0"/>
          <w:type w:val="continuous"/>
        </w:sectPr>
      </w:pPr>
    </w:p>
    <w:bookmarkStart w:id="73" w:name="page74"/>
    <w:bookmarkEnd w:id="73"/>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RACKSPACE TECHNOLOGY, INC. 2020 EQUITY INCENTIVE</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PLAN RESTRICTED STOCK UNIT AGREEMENT</w:t>
      </w:r>
    </w:p>
    <w:p>
      <w:pPr>
        <w:spacing w:after="0" w:line="200" w:lineRule="exact"/>
        <w:rPr>
          <w:sz w:val="20"/>
          <w:szCs w:val="20"/>
          <w:color w:val="auto"/>
        </w:rPr>
      </w:pPr>
    </w:p>
    <w:p>
      <w:pPr>
        <w:spacing w:after="0" w:line="246" w:lineRule="exact"/>
        <w:rPr>
          <w:sz w:val="20"/>
          <w:szCs w:val="20"/>
          <w:color w:val="auto"/>
        </w:rPr>
      </w:pPr>
    </w:p>
    <w:p>
      <w:pPr>
        <w:ind w:left="100" w:right="160" w:firstLine="648"/>
        <w:spacing w:after="0" w:line="27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RESTRICTED STOCK UNIT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including any addendum to the Agreement for the Participant’s country (the “</w:t>
      </w:r>
      <w:r>
        <w:rPr>
          <w:rFonts w:ascii="Times New Roman" w:cs="Times New Roman" w:eastAsia="Times New Roman" w:hAnsi="Times New Roman"/>
          <w:sz w:val="20"/>
          <w:szCs w:val="20"/>
          <w:u w:val="single" w:color="auto"/>
          <w:color w:val="auto"/>
        </w:rPr>
        <w:t>Addendum</w:t>
      </w:r>
      <w:r>
        <w:rPr>
          <w:rFonts w:ascii="Times New Roman" w:cs="Times New Roman" w:eastAsia="Times New Roman" w:hAnsi="Times New Roman"/>
          <w:sz w:val="20"/>
          <w:szCs w:val="20"/>
          <w:color w:val="auto"/>
        </w:rPr>
        <w:t>”), dated as of</w:t>
      </w: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%%OPTION_DATE,'Month DD, YYYY'%-%</w:t>
      </w:r>
    </w:p>
    <w:p>
      <w:pPr>
        <w:spacing w:after="0" w:line="216" w:lineRule="exact"/>
        <w:rPr>
          <w:sz w:val="20"/>
          <w:szCs w:val="20"/>
          <w:color w:val="auto"/>
        </w:rPr>
      </w:pPr>
    </w:p>
    <w:p>
      <w:pPr>
        <w:ind w:left="100" w:right="740"/>
        <w:spacing w:after="0" w:line="287"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xml:space="preserve">”), by and among </w:t>
      </w:r>
      <w:r>
        <w:rPr>
          <w:rFonts w:ascii="Times New Roman" w:cs="Times New Roman" w:eastAsia="Times New Roman" w:hAnsi="Times New Roman"/>
          <w:sz w:val="20"/>
          <w:szCs w:val="20"/>
          <w:b w:val="1"/>
          <w:bCs w:val="1"/>
          <w:color w:val="auto"/>
        </w:rPr>
        <w:t>RACKSPACE TECHNOLOGY,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following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%%FIRST_NAME_MIDDLE_NAME_LAST_NAME%-%</w:t>
      </w:r>
    </w:p>
    <w:p>
      <w:pPr>
        <w:spacing w:after="0" w:line="229" w:lineRule="exact"/>
        <w:rPr>
          <w:sz w:val="20"/>
          <w:szCs w:val="20"/>
          <w:color w:val="auto"/>
        </w:rPr>
      </w:pPr>
    </w:p>
    <w:p>
      <w:pPr>
        <w:jc w:val="both"/>
        <w:ind w:left="100"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acting through a Committee (as defined in the Company’s 2020 Equity Incentive Plan, as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has granted to the Participant, effective as of the date of this Agreement, Restricted Stock Units under the Plan to acquire a number of shares of Common Stock as specified in the attached Notice of Grant on the terms and subject to the conditions set forth in this Agreement and the Plan;</w:t>
      </w:r>
    </w:p>
    <w:p>
      <w:pPr>
        <w:spacing w:after="0" w:line="178" w:lineRule="exact"/>
        <w:rPr>
          <w:sz w:val="20"/>
          <w:szCs w:val="20"/>
          <w:color w:val="auto"/>
        </w:rPr>
      </w:pPr>
    </w:p>
    <w:p>
      <w:pPr>
        <w:jc w:val="both"/>
        <w:ind w:left="100"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promises and of the mutual agreements contained in this Agreement,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agree as follows:</w:t>
      </w:r>
    </w:p>
    <w:p>
      <w:pPr>
        <w:spacing w:after="0" w:line="169" w:lineRule="exact"/>
        <w:rPr>
          <w:sz w:val="20"/>
          <w:szCs w:val="20"/>
          <w:color w:val="auto"/>
        </w:rPr>
      </w:pPr>
    </w:p>
    <w:p>
      <w:pPr>
        <w:jc w:val="both"/>
        <w:ind w:left="100" w:firstLine="648"/>
        <w:spacing w:after="0" w:line="271"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The Plan</w:t>
      </w:r>
      <w:r>
        <w:rPr>
          <w:rFonts w:ascii="Times New Roman" w:cs="Times New Roman" w:eastAsia="Times New Roman" w:hAnsi="Times New Roman"/>
          <w:sz w:val="19"/>
          <w:szCs w:val="19"/>
          <w:color w:val="auto"/>
        </w:rPr>
        <w:t xml:space="preserve">. The terms and provisions of the Plan are hereby incorporated into this Agreement as if set forth herein in their entirety (including, without limitation, the provisions of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12</w:t>
      </w:r>
      <w:r>
        <w:rPr>
          <w:rFonts w:ascii="Times New Roman" w:cs="Times New Roman" w:eastAsia="Times New Roman" w:hAnsi="Times New Roman"/>
          <w:sz w:val="19"/>
          <w:szCs w:val="19"/>
          <w:color w:val="auto"/>
        </w:rPr>
        <w:t>). In the event of a conflict between any provision of this Agreement and the Plan, the provisions of the Plan shall control. A copy of the Plan may be obtained from the Company by the Participant upon request. Capitalized terms used herein and not otherwise defined shall have the meanings ascribed thereto in the Plan.</w:t>
      </w:r>
    </w:p>
    <w:p>
      <w:pPr>
        <w:spacing w:after="0" w:line="174" w:lineRule="exact"/>
        <w:rPr>
          <w:sz w:val="20"/>
          <w:szCs w:val="20"/>
          <w:color w:val="auto"/>
        </w:rPr>
      </w:pPr>
    </w:p>
    <w:p>
      <w:pPr>
        <w:jc w:val="both"/>
        <w:ind w:left="10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Subject to the Participant’s continued employment or other service relationship with the Company or one of its Subsidiaries (such applicable entity,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xml:space="preserve">”) through each applicable vesting date (except as otherwise provided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the Restricted Stock Units shall become non-forfeitable and shall vest according to the schedule included in the attached Notice of Grant;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portion of the Restricted Stock Units that were not vested immediately prior to such event shall immediately vest in full upon (i) a Change in Control or (ii) the death or Disability of the Participant.</w:t>
      </w:r>
    </w:p>
    <w:p>
      <w:pPr>
        <w:spacing w:after="0" w:line="246" w:lineRule="exact"/>
        <w:rPr>
          <w:sz w:val="20"/>
          <w:szCs w:val="20"/>
          <w:color w:val="auto"/>
        </w:rPr>
      </w:pPr>
    </w:p>
    <w:p>
      <w:pPr>
        <w:jc w:val="both"/>
        <w:ind w:left="100" w:right="20" w:firstLine="648"/>
        <w:spacing w:after="0" w:line="271" w:lineRule="auto"/>
        <w:rPr>
          <w:sz w:val="20"/>
          <w:szCs w:val="20"/>
          <w:color w:val="auto"/>
        </w:rPr>
      </w:pPr>
      <w:r>
        <w:rPr>
          <w:rFonts w:ascii="Times New Roman" w:cs="Times New Roman" w:eastAsia="Times New Roman" w:hAnsi="Times New Roman"/>
          <w:sz w:val="19"/>
          <w:szCs w:val="19"/>
          <w:color w:val="auto"/>
        </w:rPr>
        <w:t>Notwithstanding anything contained herein to the contrary, the Restricted Stock Units shall cease vesting as of the date of the Participant’s Termination of Service for any reason other than the death or Disability of the Participant and no portion of the Restricted Stock Units that is not vested as of such time shall vest thereafter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that portion of the Restricted Stock Units that is not vested shall be forfeited immediately). The Restricted Stock Units will be immediately forfeited by the Participant and cancelled by the Company.</w:t>
      </w:r>
    </w:p>
    <w:p>
      <w:pPr>
        <w:spacing w:after="0" w:line="174" w:lineRule="exact"/>
        <w:rPr>
          <w:sz w:val="20"/>
          <w:szCs w:val="20"/>
          <w:color w:val="auto"/>
        </w:rPr>
      </w:pPr>
    </w:p>
    <w:p>
      <w:pPr>
        <w:jc w:val="both"/>
        <w:ind w:left="100" w:right="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xml:space="preserve"> As soon as practicable after the vesting date or other vesting event under this Agreement but in no event later than the seventieth (70th) calendar day following such vesting date, the Participant shall receive the number of Shares that correspond to the number of Restricted Stock Units that have become vested on the applicable vesting date. Notwithstanding the foregoing, in accordance with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of the Plan, the Committee, at its sole discretion, may settle the Restricted</w:t>
      </w:r>
    </w:p>
    <w:p>
      <w:pPr>
        <w:spacing w:after="0" w:line="200" w:lineRule="exact"/>
        <w:rPr>
          <w:sz w:val="20"/>
          <w:szCs w:val="20"/>
          <w:color w:val="auto"/>
        </w:rPr>
      </w:pPr>
    </w:p>
    <w:p>
      <w:pPr>
        <w:spacing w:after="0" w:line="27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40"/>
          </w:cols>
          <w:pgMar w:left="440" w:top="1341" w:right="619" w:bottom="1440" w:gutter="0" w:footer="0" w:header="0"/>
        </w:sectPr>
      </w:pPr>
    </w:p>
    <w:bookmarkStart w:id="74" w:name="page75"/>
    <w:bookmarkEnd w:id="74"/>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Units in cash if necessary or appropriate for legal or administrative reasons based on laws in the Participant’s jurisdiction.</w:t>
      </w:r>
    </w:p>
    <w:p>
      <w:pPr>
        <w:spacing w:after="0" w:line="81"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xml:space="preserve">. The Participant acknowledges and agrees that by accepting the Restricted Stock Units issued hereunder, the Participant shall be bound by, and shall abide by, the covenants set forth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in addition to any other representations, warranties, and covenants set forth in (but subject to any exceptions set forth in) any service agreement or other document required by the Committee with respect to such grant.</w:t>
      </w:r>
    </w:p>
    <w:p>
      <w:pPr>
        <w:spacing w:after="0" w:line="213" w:lineRule="exact"/>
        <w:rPr>
          <w:sz w:val="20"/>
          <w:szCs w:val="20"/>
          <w:color w:val="auto"/>
        </w:rPr>
      </w:pPr>
    </w:p>
    <w:p>
      <w:pPr>
        <w:jc w:val="both"/>
        <w:ind w:firstLine="652"/>
        <w:spacing w:after="0" w:line="261" w:lineRule="auto"/>
        <w:tabs>
          <w:tab w:leader="none" w:pos="1225"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Non-Solicitation; No Hire</w:t>
      </w:r>
      <w:r>
        <w:rPr>
          <w:rFonts w:ascii="Times New Roman" w:cs="Times New Roman" w:eastAsia="Times New Roman" w:hAnsi="Times New Roman"/>
          <w:sz w:val="19"/>
          <w:szCs w:val="19"/>
          <w:color w:val="auto"/>
        </w:rPr>
        <w:t>. To the fullest extent permitted by applicable law, the Participant agrees that during the Participant’s employment or other service relationship with the Company or, if different, the Employer, and for the six month period following the Participant’s Termination of Service for any reason, the Participant will not, directly or indirectly, on the Participant’s own behalf or on behalf of another, (i) solicit, induce or attempt to solicit or induce any officer, director or employee of the Company or any Subsidiary to terminate their relationship with or leave the employ of the Company or any Subsidiary, or in any way interfere with the relationship between any member of the Company or any Subsidiary, on the one hand, and any officer, director or employee thereof, on the other hand, (ii) hire (or other similar arrangement) any Person (in any capacity whether as an officer, director, employee or consultant) who is or at any time was an officer, director or employee of the Company or any Subsidiary until six (6) months after such individual’s relationship (whether as an officer, director or employee) with the Company or any Subsidiary has ended, or (iii) induce or attempt to induce any customer, supplier, prospect, licensee or other business relation of the Company or any Subsidiary to cease doing business with the Company or any Subsidiary, or in any way interfere with the relationship between any such customer, supplier, prospect, licensee or business relation, on the one hand, and the Company or any Subsidiary, on the other hand.</w:t>
      </w:r>
    </w:p>
    <w:p>
      <w:pPr>
        <w:spacing w:after="0" w:line="201" w:lineRule="exact"/>
        <w:rPr>
          <w:rFonts w:ascii="Times New Roman" w:cs="Times New Roman" w:eastAsia="Times New Roman" w:hAnsi="Times New Roman"/>
          <w:sz w:val="21"/>
          <w:szCs w:val="21"/>
          <w:color w:val="auto"/>
        </w:rPr>
      </w:pPr>
    </w:p>
    <w:p>
      <w:pPr>
        <w:jc w:val="both"/>
        <w:ind w:right="20" w:firstLine="652"/>
        <w:spacing w:after="0" w:line="242" w:lineRule="auto"/>
        <w:tabs>
          <w:tab w:leader="none" w:pos="122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The Participant shall not, at any time, directly or indirectly, knowingly disparage, criticize, or otherwise make derogatory statements regarding the Company or any Subsidiary, or any of its successors, directors or officers. The foregoing shall not be violated by the Participant’s truthful responses to legal process or inquiry by a governmental authority.</w:t>
      </w:r>
    </w:p>
    <w:p>
      <w:pPr>
        <w:spacing w:after="0" w:line="347" w:lineRule="exact"/>
        <w:rPr>
          <w:rFonts w:ascii="Times New Roman" w:cs="Times New Roman" w:eastAsia="Times New Roman" w:hAnsi="Times New Roman"/>
          <w:sz w:val="22"/>
          <w:szCs w:val="22"/>
          <w:color w:val="auto"/>
        </w:rPr>
      </w:pPr>
    </w:p>
    <w:p>
      <w:pPr>
        <w:jc w:val="both"/>
        <w:ind w:firstLine="598"/>
        <w:spacing w:after="0" w:line="250" w:lineRule="auto"/>
        <w:tabs>
          <w:tab w:leader="none" w:pos="117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 Generally</w:t>
      </w:r>
      <w:r>
        <w:rPr>
          <w:rFonts w:ascii="Times New Roman" w:cs="Times New Roman" w:eastAsia="Times New Roman" w:hAnsi="Times New Roman"/>
          <w:sz w:val="20"/>
          <w:szCs w:val="20"/>
          <w:color w:val="auto"/>
        </w:rPr>
        <w:t xml:space="preserve">. If, at the time of enforcement of the covenants contained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and directed to revise the restrictions contained herein to cover the maximum period, scope and area permitted by applicable law. The Participant hereby acknowledges that the Restrictive Covenants are reasonable in terms of duration, scope and area restrictions and are necessary to protect the goodwill of the Company or any Subsidiary. The Participant further acknowledges and agrees that the Restrictive Covenants are being agreed to by the Participant in connection with the Company’s issuance of an Award to the Participant under the Plan, and are in addition to, not in substitution for, any restrictive covenants to which the Participant is or may become subject in connection with any relationship with the Company or any Subsidiary.</w:t>
      </w:r>
    </w:p>
    <w:p>
      <w:pPr>
        <w:spacing w:after="0" w:line="223" w:lineRule="exact"/>
        <w:rPr>
          <w:rFonts w:ascii="Times New Roman" w:cs="Times New Roman" w:eastAsia="Times New Roman" w:hAnsi="Times New Roman"/>
          <w:sz w:val="20"/>
          <w:szCs w:val="20"/>
          <w:color w:val="auto"/>
        </w:rPr>
      </w:pPr>
    </w:p>
    <w:p>
      <w:pPr>
        <w:jc w:val="both"/>
        <w:ind w:firstLine="652"/>
        <w:spacing w:after="0" w:line="248" w:lineRule="auto"/>
        <w:tabs>
          <w:tab w:leader="none" w:pos="117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the Participant breaches any of the Restrictive Covenants, the Company or, if different, the Employer shall have the following rights and remedies, each of which rights and remedies shall be independent of the others and severally enforceable, and each of which is in addition to, and not in lieu of, any other rights and remedies available to the Company or, if different, the Employer at law or in equity: (i) the right and remedy to seek to have the Restrictive Covenants specifically enforced by any court of competent jurisdiction (without posting a bond), it being agreed that any breach or threatened breach of the Restrictive Covenants would cause irreparable injury to the Company or any</w:t>
      </w:r>
    </w:p>
    <w:p>
      <w:pPr>
        <w:spacing w:after="0" w:line="200" w:lineRule="exact"/>
        <w:rPr>
          <w:sz w:val="20"/>
          <w:szCs w:val="20"/>
          <w:color w:val="auto"/>
        </w:rPr>
      </w:pPr>
    </w:p>
    <w:p>
      <w:pPr>
        <w:spacing w:after="0" w:line="2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740"/>
          </w:cols>
          <w:pgMar w:left="540" w:top="1440" w:right="619" w:bottom="1440" w:gutter="0" w:footer="0" w:header="0"/>
        </w:sectPr>
      </w:pPr>
    </w:p>
    <w:bookmarkStart w:id="75" w:name="page76"/>
    <w:bookmarkEnd w:id="75"/>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Subsidiary and that money damages would not provide an adequate remedy to the Company or any Subsidiary; (ii) in the event of a final judicial finding of a material breach, the right and remedy to require the Participant to account for and pay over to the Company any profits, monies, accruals, increments or other benefits derived or received by the Participant as the result of (A) any transactions constituting a breach of the Restrictive Covenants and (B) disposition of the Restricted Stock Units or Shares, and (iii) in the event of a final judicial finding of a material breach, the right to cause the Restricted Stock Units to be immediately forfeited effective as of the date on which such breach first occurs. In the event of any breach or violation by the Participant of any of the Restrictive Covenants, the time period of such covenant with respect to the Participant shall, to the fullest extent permitted by law, be tolled until such breach or violation is resolved. The Participant expressly agrees that the Company may take such actions as are necessary or appropriate to effectuate the foregoing (as applicable to the Participant) or applicable law without further consent or action being required by the Participant. For purposes of the foregoing and as a condition to the grant of the Restricted Stock Units, the Participant expressly and explicitly authorizes the Company to issue instructions, on the Participant's behalf, to any stock plan service provider engaged by the Company to administer awards granted under the Plan, to re-convey, transfer or otherwise return such Shares and/or other amounts to the Company.</w:t>
      </w:r>
    </w:p>
    <w:p>
      <w:pPr>
        <w:spacing w:after="0" w:line="45" w:lineRule="exact"/>
        <w:rPr>
          <w:sz w:val="20"/>
          <w:szCs w:val="20"/>
          <w:color w:val="auto"/>
        </w:rPr>
      </w:pPr>
    </w:p>
    <w:p>
      <w:pPr>
        <w:jc w:val="both"/>
        <w:ind w:firstLine="436"/>
        <w:spacing w:after="0" w:line="250" w:lineRule="auto"/>
        <w:tabs>
          <w:tab w:leader="none" w:pos="97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to Seek Independent Counsel</w:t>
      </w:r>
      <w:r>
        <w:rPr>
          <w:rFonts w:ascii="Times New Roman" w:cs="Times New Roman" w:eastAsia="Times New Roman" w:hAnsi="Times New Roman"/>
          <w:sz w:val="20"/>
          <w:szCs w:val="20"/>
          <w:color w:val="auto"/>
        </w:rPr>
        <w:t xml:space="preserve">. The Participant is hereby advised in writing to consult with an attorney before entering into the covenants outlined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The Participant acknowledges that prior to acceptance of this Agreement, the Participant has been advised by the Company of the Participant's right to seek independent advice from an attorney of the Participant's own selection regarding this Agreement, including the restraints imposed upon him or her pursuant to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The Participant acknowledges that the Participant has entered into this Agreement knowingly and voluntarily and with full knowledge and understanding of the provisions of this Agreement after being given the opportunity to consult with counsel. The Participant further represents that in entering into this Agreement, the Participant is not relying on any statements or representations made by any of the Company's directors, officers, employees or agents which are not expressly set forth herein, and that the Participant is relying only upon the Participant's own judgment and any advice provided by the Participant's attorney. The Participant acknowledges he or she has been provided at minimum 14 calendar days to review the provisions contained herein.</w:t>
      </w:r>
    </w:p>
    <w:p>
      <w:pPr>
        <w:spacing w:after="0" w:line="223" w:lineRule="exact"/>
        <w:rPr>
          <w:rFonts w:ascii="Times New Roman" w:cs="Times New Roman" w:eastAsia="Times New Roman" w:hAnsi="Times New Roman"/>
          <w:sz w:val="20"/>
          <w:szCs w:val="20"/>
          <w:color w:val="auto"/>
        </w:rPr>
      </w:pPr>
    </w:p>
    <w:p>
      <w:pPr>
        <w:jc w:val="both"/>
        <w:ind w:firstLine="652"/>
        <w:spacing w:after="0" w:line="262" w:lineRule="auto"/>
        <w:tabs>
          <w:tab w:leader="none" w:pos="1174"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Disclosure Rights</w:t>
      </w:r>
      <w:r>
        <w:rPr>
          <w:rFonts w:ascii="Times New Roman" w:cs="Times New Roman" w:eastAsia="Times New Roman" w:hAnsi="Times New Roman"/>
          <w:sz w:val="19"/>
          <w:szCs w:val="19"/>
          <w:color w:val="auto"/>
        </w:rPr>
        <w:t xml:space="preserve">. Notwithstanding the foregoing, no section of this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is intended to or shall limit, prevent, impede or interfere with the Participant's non-waivable right, without prior notice to the Company or, if different, the Employer, to provide information to the government, participate in investigations, testify in proceedings regarding the Company or any other Subsidiary's past or future conduct, engage in any activities protected under whistleblower, or to receive and fully retain a monetary award from a government-administered whistleblower award program for providing information directly to a government agency. The Participant does not need prior authorization from the Company or, if different, the Employer to make any such reports or disclosures and is not required to notify the Company or, if different, the Employer that the Participant has made such reports or disclosures.</w:t>
      </w:r>
    </w:p>
    <w:p>
      <w:pPr>
        <w:spacing w:after="0" w:line="182"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Restriction on Transfer</w:t>
      </w:r>
      <w:r>
        <w:rPr>
          <w:rFonts w:ascii="Times New Roman" w:cs="Times New Roman" w:eastAsia="Times New Roman" w:hAnsi="Times New Roman"/>
          <w:sz w:val="20"/>
          <w:szCs w:val="20"/>
          <w:color w:val="auto"/>
        </w:rPr>
        <w:t>. The Restricted Stock Units may not be transferred, pledged, assigned, hypothecated or otherwise disposed of in any way by the Participant. The Restricted Stock Units shall not be subject to execution, attachment or similar process. Any attempted assignment, transfer, pledge, hypothecation or other disposition of the Restricted Stock Units contrary to the provisions hereof, and the levy of any execution, attachment or similar process upon the Restricted Stock Units, shall be null and void and without effect.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Participant’s Employment or Other Service Relationship</w:t>
      </w:r>
      <w:r>
        <w:rPr>
          <w:rFonts w:ascii="Times New Roman" w:cs="Times New Roman" w:eastAsia="Times New Roman" w:hAnsi="Times New Roman"/>
          <w:sz w:val="20"/>
          <w:szCs w:val="20"/>
          <w:color w:val="auto"/>
        </w:rPr>
        <w:t>. Nothing in this Agreement nor the grant of the Restricted Stock Units shall confer upon the Participant any right to continue the Participant’s employment or other service relationship with the Company or, if different, the Employer or interfere in any way with the right of the Company or, if different, the Employer to terminate the</w:t>
      </w:r>
    </w:p>
    <w:p>
      <w:pPr>
        <w:spacing w:after="0" w:line="200" w:lineRule="exact"/>
        <w:rPr>
          <w:sz w:val="20"/>
          <w:szCs w:val="20"/>
          <w:color w:val="auto"/>
        </w:rPr>
      </w:pPr>
    </w:p>
    <w:p>
      <w:pPr>
        <w:spacing w:after="0" w:line="2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740"/>
          </w:cols>
          <w:pgMar w:left="540" w:top="1440" w:right="619" w:bottom="1440" w:gutter="0" w:footer="0" w:header="0"/>
        </w:sectPr>
      </w:pPr>
    </w:p>
    <w:bookmarkStart w:id="76" w:name="page77"/>
    <w:bookmarkEnd w:id="76"/>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Participant’s employment or other service relationship or to increase or decrease the Participant’s compensation at any time. The grant of Restricted Stock Units is an exceptional, voluntary and one-time benefit and does not create any contractual or other right to receive any other grant of other Awards (including Restricted Stock Units) under the Plan in the future, or benefits in lieu of Restricted Stock Units, even if Restricted Stock Units have been granted in the past. The grant of the Restricted Stock Units does not form or amend part of the Participant’s entitlement to remuneration or benefits in terms of his or her employment or other service relationship with the Company or, if different, the Employer, if any, at any time.</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For the avoidance of doubt, the Restricted Stock Units shall cease vesting and shall be forfeited immediately as of the date of the Participant’s Termination of Service and cancelled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Restricted Stock Units shall immediately vest upon (i) a Change in Control or (ii) the death or Disability of the Participant.</w:t>
      </w:r>
    </w:p>
    <w:p>
      <w:pPr>
        <w:spacing w:after="0" w:line="256" w:lineRule="exact"/>
        <w:rPr>
          <w:sz w:val="20"/>
          <w:szCs w:val="20"/>
          <w:color w:val="auto"/>
        </w:rPr>
      </w:pPr>
    </w:p>
    <w:p>
      <w:pPr>
        <w:jc w:val="both"/>
        <w:ind w:firstLine="544"/>
        <w:spacing w:after="0" w:line="251"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The Participant acknowledges that, regardless of any action taken by the Company or the Employer, the ultimate liability for all income tax, social insurance, payroll tax, fringe benefits tax, payment on account or other tax-related items related to the Participant’s participation in the Plan and legally applicable to the Participant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is and remains the Participant’s ultimate responsibility and Participant’s actual tax liabilities may exceed the amount actually withheld by the Company or the Employer. The Participant further acknowledges that the Company and/or the Employer (i) make no representations or undertakings regarding the treatment of any Tax- Related Items in connection with any aspect of the Restricted Stock Units, including, but not limited to, the grant or vesting of the Restricted Stock Units, the subsequent sale of Shares acquired pursuant to such vesting; and (ii) do not commit to and are under no obligation to structure the terms of the grant or any aspect of Restricted Stock Units to reduce or eliminate the Participant’s liability for Tax-Related Items or achieve any particular tax result. The Participant shall not make any claim against the Company, the Employer or any other Subsidiary, or their respective board, officers or employees related to Tax-Related Items arising from the Restricted Stock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08" w:lineRule="exact"/>
        <w:rPr>
          <w:sz w:val="20"/>
          <w:szCs w:val="20"/>
          <w:color w:val="auto"/>
        </w:rPr>
      </w:pPr>
    </w:p>
    <w:p>
      <w:pPr>
        <w:jc w:val="both"/>
        <w:ind w:firstLine="652"/>
        <w:spacing w:after="0" w:line="248" w:lineRule="auto"/>
        <w:tabs>
          <w:tab w:leader="none" w:pos="113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connection with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to satisfy any applicable withholding obligations with regard to Tax-Related Items by withholding Shares to be issued upon vesting. Alternatively, if the Company determines in its sole discretion that withholding Shares is not feasible under applicable tax or securities laws or has or potentially has adverse accounting, financial, contractual or other consequences, the Participant authorizes the Company and/or the Employer, or their respective agents, at their discretion and with no obligation to do so, to satisfy any applicable withholding obligations with regard to Tax- Related Items by one or a combination of the following:</w:t>
      </w:r>
    </w:p>
    <w:p>
      <w:pPr>
        <w:spacing w:after="0" w:line="208" w:lineRule="exact"/>
        <w:rPr>
          <w:rFonts w:ascii="Times New Roman" w:cs="Times New Roman" w:eastAsia="Times New Roman" w:hAnsi="Times New Roman"/>
          <w:sz w:val="22"/>
          <w:szCs w:val="22"/>
          <w:color w:val="auto"/>
        </w:rPr>
      </w:pPr>
    </w:p>
    <w:p>
      <w:pPr>
        <w:ind w:left="660" w:right="40" w:firstLine="641"/>
        <w:spacing w:after="0" w:line="245" w:lineRule="auto"/>
        <w:tabs>
          <w:tab w:leader="none" w:pos="172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withholding from the Participant’s wages or other cash compensation paid to the Participant by the Company, the Employer or any other Subsidiary;</w:t>
      </w:r>
    </w:p>
    <w:p>
      <w:pPr>
        <w:spacing w:after="0" w:line="195" w:lineRule="exact"/>
        <w:rPr>
          <w:rFonts w:ascii="Times New Roman" w:cs="Times New Roman" w:eastAsia="Times New Roman" w:hAnsi="Times New Roman"/>
          <w:sz w:val="22"/>
          <w:szCs w:val="22"/>
          <w:color w:val="auto"/>
        </w:rPr>
      </w:pPr>
    </w:p>
    <w:p>
      <w:pPr>
        <w:jc w:val="both"/>
        <w:ind w:left="660" w:right="20" w:firstLine="641"/>
        <w:spacing w:after="0" w:line="267" w:lineRule="auto"/>
        <w:tabs>
          <w:tab w:leader="none" w:pos="1801"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withholding from proceeds of the sale of Shares acquired at vesting either through a voluntary sale or through a mandatory sale arranged by the Company (on the Participant’s behalf pursuant to this authorization) without further consent, including by aggregating such Shares into sell orders that include Shares held by other participants and routing such sell orders</w:t>
      </w:r>
    </w:p>
    <w:p>
      <w:pPr>
        <w:spacing w:after="0" w:line="200" w:lineRule="exact"/>
        <w:rPr>
          <w:sz w:val="20"/>
          <w:szCs w:val="20"/>
          <w:color w:val="auto"/>
        </w:rPr>
      </w:pPr>
    </w:p>
    <w:p>
      <w:pPr>
        <w:spacing w:after="0" w:line="26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740"/>
          </w:cols>
          <w:pgMar w:left="540" w:top="1440" w:right="619" w:bottom="1440" w:gutter="0" w:footer="0" w:header="0"/>
        </w:sectPr>
      </w:pPr>
    </w:p>
    <w:bookmarkStart w:id="77" w:name="page78"/>
    <w:bookmarkEnd w:id="77"/>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the special handling desk or other trading desk managed by the Company’s stock plan administrator;</w:t>
      </w:r>
    </w:p>
    <w:p>
      <w:pPr>
        <w:spacing w:after="0" w:line="229" w:lineRule="exact"/>
        <w:rPr>
          <w:sz w:val="20"/>
          <w:szCs w:val="20"/>
          <w:color w:val="auto"/>
        </w:rPr>
      </w:pPr>
    </w:p>
    <w:p>
      <w:pPr>
        <w:ind w:left="620" w:right="60" w:firstLine="680"/>
        <w:spacing w:after="0" w:line="241" w:lineRule="auto"/>
        <w:tabs>
          <w:tab w:leader="none" w:pos="183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cash payment made by the Participant to the Company, provided that (i) the Participant made the appropriate elections as may be specified in the Participant’s E*TRADE account from time to time AND (ii) such cash payment is actually made or available to the Company in the Participant’s E*TRADE account within forty-eight (48) hours immediately following the applicable vest date; and/or</w:t>
      </w:r>
    </w:p>
    <w:p>
      <w:pPr>
        <w:spacing w:after="0" w:line="52" w:lineRule="exact"/>
        <w:rPr>
          <w:rFonts w:ascii="Times New Roman" w:cs="Times New Roman" w:eastAsia="Times New Roman" w:hAnsi="Times New Roman"/>
          <w:sz w:val="22"/>
          <w:szCs w:val="22"/>
          <w:color w:val="auto"/>
        </w:rPr>
      </w:pPr>
    </w:p>
    <w:p>
      <w:pPr>
        <w:ind w:left="1820" w:hanging="519"/>
        <w:spacing w:after="0"/>
        <w:tabs>
          <w:tab w:leader="none" w:pos="182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other methods approved by the Committee and permitted by applicable laws.</w:t>
      </w:r>
    </w:p>
    <w:p>
      <w:pPr>
        <w:spacing w:after="0" w:line="287" w:lineRule="exact"/>
        <w:rPr>
          <w:rFonts w:ascii="Times New Roman" w:cs="Times New Roman" w:eastAsia="Times New Roman" w:hAnsi="Times New Roman"/>
          <w:sz w:val="22"/>
          <w:szCs w:val="22"/>
          <w:color w:val="auto"/>
        </w:rPr>
      </w:pPr>
    </w:p>
    <w:p>
      <w:pPr>
        <w:jc w:val="both"/>
        <w:ind w:firstLine="539"/>
        <w:spacing w:after="0" w:line="250" w:lineRule="auto"/>
        <w:tabs>
          <w:tab w:leader="none" w:pos="97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Depending on the withholding method, the Company and/or the Employer may withhold or account for Tax-Related Items by considering applicable withholding amounts or other applicable withholding rates, including minimum or maximum applicable rates in the Participant's jurisdiction(s). If the Company and/or the Employer withhold more than the amount necessary to satisfy the liability for Tax-Related Items, the Participant may receive a refund of any over- withheld amount in cash and will have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If the obligation for Tax- Related Items is satisfied by withholding in Shares, the Participant is deemed, for tax purposes, to have been issued the full number of Shares subject to the vested Restricted Stock Units, notwithstanding that a number of the Shares is held back solely for the purpose of paying the Tax- Related items. The Company may refuse to issue or deliver the Shares or the proceeds of the sale of Shares, if the Participant fails to comply with his or her obligations in connection with the Tax- Related Items.</w:t>
      </w:r>
    </w:p>
    <w:p>
      <w:pPr>
        <w:spacing w:after="0" w:line="197" w:lineRule="exact"/>
        <w:rPr>
          <w:sz w:val="20"/>
          <w:szCs w:val="20"/>
          <w:color w:val="auto"/>
        </w:rPr>
      </w:pPr>
    </w:p>
    <w:p>
      <w:pPr>
        <w:ind w:right="8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In accepting the Restricted Stock Units, the Participant acknowledges, understands and agrees that:</w:t>
      </w:r>
    </w:p>
    <w:p>
      <w:pPr>
        <w:spacing w:after="0" w:line="186" w:lineRule="exact"/>
        <w:rPr>
          <w:sz w:val="20"/>
          <w:szCs w:val="20"/>
          <w:color w:val="auto"/>
        </w:rPr>
      </w:pPr>
    </w:p>
    <w:p>
      <w:pPr>
        <w:ind w:right="20" w:firstLine="1300"/>
        <w:spacing w:after="0" w:line="245" w:lineRule="auto"/>
        <w:tabs>
          <w:tab w:leader="none" w:pos="176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207" w:lineRule="exact"/>
        <w:rPr>
          <w:rFonts w:ascii="Times New Roman" w:cs="Times New Roman" w:eastAsia="Times New Roman" w:hAnsi="Times New Roman"/>
          <w:sz w:val="22"/>
          <w:szCs w:val="22"/>
          <w:color w:val="auto"/>
        </w:rPr>
      </w:pPr>
    </w:p>
    <w:p>
      <w:pPr>
        <w:ind w:left="1780" w:hanging="480"/>
        <w:spacing w:after="0"/>
        <w:tabs>
          <w:tab w:leader="none" w:pos="1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decisions with respect to future Restricted Stock Units or other grants, if any, will be at the sole discretion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w:t>
      </w:r>
    </w:p>
    <w:p>
      <w:pPr>
        <w:spacing w:after="0" w:line="207" w:lineRule="exact"/>
        <w:rPr>
          <w:rFonts w:ascii="Times New Roman" w:cs="Times New Roman" w:eastAsia="Times New Roman" w:hAnsi="Times New Roman"/>
          <w:sz w:val="22"/>
          <w:szCs w:val="22"/>
          <w:color w:val="auto"/>
        </w:rPr>
      </w:pPr>
    </w:p>
    <w:p>
      <w:pPr>
        <w:ind w:left="1760" w:hanging="459"/>
        <w:spacing w:after="0"/>
        <w:tabs>
          <w:tab w:leader="none" w:pos="17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 is voluntarily participating in the Plan;</w:t>
      </w:r>
    </w:p>
    <w:p>
      <w:pPr>
        <w:spacing w:after="0" w:line="206" w:lineRule="exact"/>
        <w:rPr>
          <w:rFonts w:ascii="Times New Roman" w:cs="Times New Roman" w:eastAsia="Times New Roman" w:hAnsi="Times New Roman"/>
          <w:sz w:val="22"/>
          <w:szCs w:val="22"/>
          <w:color w:val="auto"/>
        </w:rPr>
      </w:pPr>
    </w:p>
    <w:p>
      <w:pPr>
        <w:ind w:right="20" w:firstLine="1300"/>
        <w:spacing w:after="0" w:line="245" w:lineRule="auto"/>
        <w:tabs>
          <w:tab w:leader="none" w:pos="183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Restricted Stock Units and any Shares acquired upon vesting, and the income and value of same, are not intended to replace any pension rights or compensation;</w:t>
      </w:r>
    </w:p>
    <w:p>
      <w:pPr>
        <w:spacing w:after="0" w:line="195" w:lineRule="exact"/>
        <w:rPr>
          <w:rFonts w:ascii="Times New Roman" w:cs="Times New Roman" w:eastAsia="Times New Roman" w:hAnsi="Times New Roman"/>
          <w:sz w:val="22"/>
          <w:szCs w:val="22"/>
          <w:color w:val="auto"/>
        </w:rPr>
      </w:pPr>
    </w:p>
    <w:p>
      <w:pPr>
        <w:jc w:val="both"/>
        <w:ind w:right="20" w:firstLine="1300"/>
        <w:spacing w:after="0" w:line="241" w:lineRule="auto"/>
        <w:tabs>
          <w:tab w:leader="none" w:pos="175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Restricted Stock Units and any Shares acquired upon vesting, and the income and value of same, are not part of normal or expected compensation for any purpose, including, without limitation, for purposes of calculating any severance, resignation, termination, redundancy, dismissal, end-of-service payments, bonuses, long-service awards, leave-related payments, holiday pay, pension or retirement or welfare benefits or similar mandatory payments;</w:t>
      </w:r>
    </w:p>
    <w:p>
      <w:pPr>
        <w:spacing w:after="0" w:line="227" w:lineRule="exact"/>
        <w:rPr>
          <w:rFonts w:ascii="Times New Roman" w:cs="Times New Roman" w:eastAsia="Times New Roman" w:hAnsi="Times New Roman"/>
          <w:sz w:val="22"/>
          <w:szCs w:val="22"/>
          <w:color w:val="auto"/>
        </w:rPr>
      </w:pPr>
    </w:p>
    <w:p>
      <w:pPr>
        <w:ind w:right="40" w:firstLine="1300"/>
        <w:spacing w:after="0" w:line="245" w:lineRule="auto"/>
        <w:tabs>
          <w:tab w:leader="none" w:pos="175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future value of the Shares underlying the Restricted Stock Units is unknown, indeterminable, and cannot be predicted with certainty;</w:t>
      </w:r>
    </w:p>
    <w:p>
      <w:pPr>
        <w:spacing w:after="0" w:line="200" w:lineRule="exact"/>
        <w:rPr>
          <w:sz w:val="20"/>
          <w:szCs w:val="20"/>
          <w:color w:val="auto"/>
        </w:rPr>
      </w:pPr>
    </w:p>
    <w:p>
      <w:pPr>
        <w:spacing w:after="0" w:line="26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740"/>
          </w:cols>
          <w:pgMar w:left="540" w:top="1440" w:right="619" w:bottom="1440" w:gutter="0" w:footer="0" w:header="0"/>
        </w:sectPr>
      </w:pPr>
    </w:p>
    <w:bookmarkStart w:id="78" w:name="page79"/>
    <w:bookmarkEnd w:id="78"/>
    <w:p>
      <w:pPr>
        <w:spacing w:after="0" w:line="66" w:lineRule="exact"/>
        <w:rPr>
          <w:sz w:val="20"/>
          <w:szCs w:val="20"/>
          <w:color w:val="auto"/>
        </w:rPr>
      </w:pPr>
    </w:p>
    <w:p>
      <w:pPr>
        <w:ind w:left="1800" w:hanging="500"/>
        <w:spacing w:after="0"/>
        <w:tabs>
          <w:tab w:leader="none" w:pos="18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 Restricted Stock Units vest and the Participant acquires Shares, the value of such Stock may increase or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decrease in value;</w:t>
      </w:r>
    </w:p>
    <w:p>
      <w:pPr>
        <w:spacing w:after="0" w:line="207" w:lineRule="exact"/>
        <w:rPr>
          <w:rFonts w:ascii="Times New Roman" w:cs="Times New Roman" w:eastAsia="Times New Roman" w:hAnsi="Times New Roman"/>
          <w:sz w:val="22"/>
          <w:szCs w:val="22"/>
          <w:color w:val="auto"/>
        </w:rPr>
      </w:pPr>
    </w:p>
    <w:p>
      <w:pPr>
        <w:jc w:val="both"/>
        <w:ind w:right="20" w:firstLine="1300"/>
        <w:spacing w:after="0" w:line="242" w:lineRule="auto"/>
        <w:tabs>
          <w:tab w:leader="none" w:pos="180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unless otherwise agreed with the Company, the Restricted Stock Units and the Shares subject to the Restricted Stock Units, and the income and value of same, are not granted as consideration for, or in connection with, the service the Participant may provide as a director of any Subsidiary;</w:t>
      </w:r>
    </w:p>
    <w:p>
      <w:pPr>
        <w:spacing w:after="0" w:line="37" w:lineRule="exact"/>
        <w:rPr>
          <w:rFonts w:ascii="Times New Roman" w:cs="Times New Roman" w:eastAsia="Times New Roman" w:hAnsi="Times New Roman"/>
          <w:sz w:val="22"/>
          <w:szCs w:val="22"/>
          <w:color w:val="auto"/>
        </w:rPr>
      </w:pPr>
    </w:p>
    <w:p>
      <w:pPr>
        <w:jc w:val="both"/>
        <w:ind w:firstLine="1300"/>
        <w:spacing w:after="0" w:line="237" w:lineRule="auto"/>
        <w:tabs>
          <w:tab w:leader="none" w:pos="179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claim or entitlement to compensation or damages shall arise from forfeiture of the Restricted Stock Units resulting from a Termination of Service (for any reason whatsoever, whether or not later found to be invalid or in breach of employment laws in the jurisdiction where the Participant is employed or rendering services or the terms of the Participant’s employment or service agreement, if any);</w:t>
      </w:r>
    </w:p>
    <w:p>
      <w:pPr>
        <w:spacing w:after="0" w:line="81" w:lineRule="exact"/>
        <w:rPr>
          <w:rFonts w:ascii="Times New Roman" w:cs="Times New Roman" w:eastAsia="Times New Roman" w:hAnsi="Times New Roman"/>
          <w:sz w:val="22"/>
          <w:szCs w:val="22"/>
          <w:color w:val="auto"/>
        </w:rPr>
      </w:pPr>
    </w:p>
    <w:p>
      <w:pPr>
        <w:jc w:val="both"/>
        <w:ind w:right="20" w:firstLine="1300"/>
        <w:spacing w:after="0" w:line="250" w:lineRule="auto"/>
        <w:tabs>
          <w:tab w:leader="none" w:pos="17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unless otherwise provided in the Plan or by the Company in its sole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w:t>
      </w:r>
    </w:p>
    <w:p>
      <w:pPr>
        <w:spacing w:after="0" w:line="192" w:lineRule="exact"/>
        <w:rPr>
          <w:rFonts w:ascii="Times New Roman" w:cs="Times New Roman" w:eastAsia="Times New Roman" w:hAnsi="Times New Roman"/>
          <w:sz w:val="22"/>
          <w:szCs w:val="22"/>
          <w:color w:val="auto"/>
        </w:rPr>
      </w:pPr>
    </w:p>
    <w:p>
      <w:pPr>
        <w:jc w:val="both"/>
        <w:ind w:right="20" w:firstLine="1300"/>
        <w:spacing w:after="0" w:line="241" w:lineRule="auto"/>
        <w:tabs>
          <w:tab w:leader="none" w:pos="176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neither the Company, the Employer nor any other Subsidiary or Affiliate shall be liable for any foreign exchange rate fluctuation between the Participant’s local currency and the United States Dollar that may affect the value of the Restricted Stock Units or of any amounts due to the Participant pursuant to the vesting of the Restricted Stock Units or the subsequent sale of any Shares acquired upon vesting; and</w:t>
      </w:r>
    </w:p>
    <w:p>
      <w:pPr>
        <w:spacing w:after="0" w:line="200" w:lineRule="exact"/>
        <w:rPr>
          <w:rFonts w:ascii="Times New Roman" w:cs="Times New Roman" w:eastAsia="Times New Roman" w:hAnsi="Times New Roman"/>
          <w:sz w:val="22"/>
          <w:szCs w:val="22"/>
          <w:color w:val="auto"/>
        </w:rPr>
      </w:pPr>
    </w:p>
    <w:p>
      <w:pPr>
        <w:jc w:val="both"/>
        <w:ind w:firstLine="1300"/>
        <w:spacing w:after="0" w:line="241" w:lineRule="auto"/>
        <w:tabs>
          <w:tab w:leader="none" w:pos="198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is not providing any tax, legal or financial advice, nor is the Company making any recommendations regarding the Participant’s participation in the Plan or the Participant’s acquisition or sale of the Shares. The Participant should consult with his or her personal tax, legal and financial advisors regarding his or her participation in the Plan before taking any action related to the Plan.</w:t>
      </w:r>
    </w:p>
    <w:p>
      <w:pPr>
        <w:spacing w:after="0" w:line="18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b w:val="1"/>
          <w:bCs w:val="1"/>
          <w:i w:val="1"/>
          <w:iCs w:val="1"/>
          <w:u w:val="single" w:color="auto"/>
          <w:color w:val="auto"/>
        </w:rPr>
        <w:t>Data Privacy Consent</w:t>
      </w:r>
      <w:r>
        <w:rPr>
          <w:rFonts w:ascii="Times New Roman" w:cs="Times New Roman" w:eastAsia="Times New Roman" w:hAnsi="Times New Roman"/>
          <w:sz w:val="19"/>
          <w:szCs w:val="19"/>
          <w:b w:val="1"/>
          <w:bCs w:val="1"/>
          <w:i w:val="1"/>
          <w:iCs w:val="1"/>
          <w:color w:val="auto"/>
        </w:rPr>
        <w:t>.</w:t>
      </w:r>
    </w:p>
    <w:p>
      <w:pPr>
        <w:spacing w:after="0" w:line="229"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The Company is located at 19122 US Highway 281N, Suite 128, San Antonio, TX 78258-7667, USA and grants employees of the Company and its other Subsidiaries and Affiliates,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spacing w:after="0" w:line="211" w:lineRule="exact"/>
        <w:rPr>
          <w:sz w:val="20"/>
          <w:szCs w:val="20"/>
          <w:color w:val="auto"/>
        </w:rPr>
      </w:pPr>
    </w:p>
    <w:p>
      <w:pPr>
        <w:jc w:val="both"/>
        <w:ind w:firstLine="1300"/>
        <w:spacing w:after="0" w:line="248" w:lineRule="auto"/>
        <w:tabs>
          <w:tab w:leader="none" w:pos="190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Data Collection and Usage.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spacing w:after="0" w:line="208" w:lineRule="exact"/>
        <w:rPr>
          <w:rFonts w:ascii="Times New Roman" w:cs="Times New Roman" w:eastAsia="Times New Roman" w:hAnsi="Times New Roman"/>
          <w:sz w:val="22"/>
          <w:szCs w:val="22"/>
          <w:color w:val="auto"/>
        </w:rPr>
      </w:pPr>
    </w:p>
    <w:p>
      <w:pPr>
        <w:jc w:val="both"/>
        <w:ind w:right="20" w:firstLine="1300"/>
        <w:spacing w:after="0" w:line="251" w:lineRule="auto"/>
        <w:tabs>
          <w:tab w:leader="none" w:pos="185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Stock Plan Administration Service Providers. The Company transfers participant data to E*Trade and/or Morgan Stanley Smith Barney, an independent service provider based in the United States, which assists the Company with the implementation, administration and management of the Plan, and if the Participant’s Restricted Stock Units vest, the Company transfers</w:t>
      </w:r>
    </w:p>
    <w:p>
      <w:pPr>
        <w:spacing w:after="0" w:line="200" w:lineRule="exact"/>
        <w:rPr>
          <w:sz w:val="20"/>
          <w:szCs w:val="20"/>
          <w:color w:val="auto"/>
        </w:rPr>
      </w:pPr>
    </w:p>
    <w:p>
      <w:pPr>
        <w:spacing w:after="0" w:line="2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740"/>
          </w:cols>
          <w:pgMar w:left="540" w:top="1440" w:right="619" w:bottom="1440" w:gutter="0" w:footer="0" w:header="0"/>
        </w:sectPr>
      </w:pPr>
    </w:p>
    <w:bookmarkStart w:id="79" w:name="page80"/>
    <w:bookmarkEnd w:id="79"/>
    <w:p>
      <w:pPr>
        <w:spacing w:after="0" w:line="3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shareholder data to Computershare, an independent service provider based in the United States, which assists the Company with its stock administration.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w:t>
      </w:r>
    </w:p>
    <w:p>
      <w:pPr>
        <w:spacing w:after="0" w:line="184" w:lineRule="exact"/>
        <w:rPr>
          <w:sz w:val="20"/>
          <w:szCs w:val="20"/>
          <w:color w:val="auto"/>
        </w:rPr>
      </w:pPr>
    </w:p>
    <w:p>
      <w:pPr>
        <w:jc w:val="both"/>
        <w:ind w:right="20" w:firstLine="1300"/>
        <w:spacing w:after="0" w:line="244" w:lineRule="auto"/>
        <w:tabs>
          <w:tab w:leader="none" w:pos="180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International Data Transfers. The Company and its service providers are based in the United States. If the Participant is outside of the United States, the Participant should note that his or her country may have enacted data privacy laws that are different from the United States.</w:t>
      </w:r>
    </w:p>
    <w:p>
      <w:pPr>
        <w:spacing w:after="0" w:line="193" w:lineRule="exact"/>
        <w:rPr>
          <w:rFonts w:ascii="Times New Roman" w:cs="Times New Roman" w:eastAsia="Times New Roman" w:hAnsi="Times New Roman"/>
          <w:sz w:val="22"/>
          <w:szCs w:val="22"/>
          <w:color w:val="auto"/>
        </w:rPr>
      </w:pPr>
    </w:p>
    <w:p>
      <w:pPr>
        <w:jc w:val="both"/>
        <w:ind w:right="20" w:firstLine="1300"/>
        <w:spacing w:after="0" w:line="242" w:lineRule="auto"/>
        <w:tabs>
          <w:tab w:leader="none" w:pos="191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Data Retention.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spacing w:after="0" w:line="210" w:lineRule="exact"/>
        <w:rPr>
          <w:rFonts w:ascii="Times New Roman" w:cs="Times New Roman" w:eastAsia="Times New Roman" w:hAnsi="Times New Roman"/>
          <w:sz w:val="22"/>
          <w:szCs w:val="22"/>
          <w:color w:val="auto"/>
        </w:rPr>
      </w:pPr>
    </w:p>
    <w:p>
      <w:pPr>
        <w:jc w:val="both"/>
        <w:ind w:firstLine="1300"/>
        <w:spacing w:after="0" w:line="252" w:lineRule="auto"/>
        <w:tabs>
          <w:tab w:leader="none" w:pos="184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Voluntariness and Consequences of Consent Denial or Withdrawal.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spacing w:after="0" w:line="185" w:lineRule="exact"/>
        <w:rPr>
          <w:rFonts w:ascii="Times New Roman" w:cs="Times New Roman" w:eastAsia="Times New Roman" w:hAnsi="Times New Roman"/>
          <w:sz w:val="22"/>
          <w:szCs w:val="22"/>
          <w:color w:val="auto"/>
        </w:rPr>
      </w:pPr>
    </w:p>
    <w:p>
      <w:pPr>
        <w:jc w:val="both"/>
        <w:ind w:right="20" w:firstLine="1300"/>
        <w:spacing w:after="0"/>
        <w:tabs>
          <w:tab w:leader="none" w:pos="178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Data Subject Rights.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w:t>
      </w:r>
    </w:p>
    <w:p>
      <w:pPr>
        <w:spacing w:after="0" w:line="1" w:lineRule="exact"/>
        <w:rPr>
          <w:rFonts w:ascii="Times New Roman" w:cs="Times New Roman" w:eastAsia="Times New Roman" w:hAnsi="Times New Roman"/>
          <w:sz w:val="22"/>
          <w:szCs w:val="22"/>
          <w:color w:val="auto"/>
        </w:rPr>
      </w:pPr>
    </w:p>
    <w:p>
      <w:pPr>
        <w:ind w:left="460" w:hanging="456"/>
        <w:spacing w:after="0"/>
        <w:tabs>
          <w:tab w:leader="none" w:pos="460" w:val="left"/>
        </w:tabs>
        <w:numPr>
          <w:ilvl w:val="0"/>
          <w:numId w:val="3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portability of data, (vi) to lodge complaints with competent authorities in the Participant’s country, and/or (vii) a list with the</w:t>
      </w:r>
    </w:p>
    <w:p>
      <w:pPr>
        <w:spacing w:after="0" w:line="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names and addresses of any potential recipients of the Participant’s personal data. To receive clarification regarding the Participant’s rights or to exercise his or her rights, the Participant should please contact the Company at Attn: Stock Plan Administrator, 1718 Dry Creek Way, Suite 115, San Antonio, TX 78259-1837, USA.</w:t>
      </w:r>
    </w:p>
    <w:p>
      <w:pPr>
        <w:spacing w:after="0" w:line="198" w:lineRule="exact"/>
        <w:rPr>
          <w:sz w:val="20"/>
          <w:szCs w:val="20"/>
          <w:color w:val="auto"/>
        </w:rPr>
      </w:pPr>
    </w:p>
    <w:p>
      <w:pPr>
        <w:jc w:val="both"/>
        <w:ind w:right="20" w:firstLine="1300"/>
        <w:spacing w:after="0" w:line="250" w:lineRule="auto"/>
        <w:tabs>
          <w:tab w:leader="none" w:pos="17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The Participant also understands that the Company may rely on a different legal basis for the processing or transfer of data in the future and/or request the Participant to provide another data privacy consent. If applicable and upon request of the Company, the Participant agrees to provide an executed acknowledgement or data privacy consent form to the Company or the Employer (or any other acknowledgements, agreements or consents) that the Company and/or the Employer may deem necessary to obtain under the data privacy laws in the Participant's country, either now or in the future. The Participant understands that he or she will not be able to participate in the Plan if the Participant fails to execute any such acknowledgement, agreement or consent requested by the Company and/or the Employer.</w:t>
      </w:r>
    </w:p>
    <w:p>
      <w:pPr>
        <w:spacing w:after="0" w:line="31"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Notwithstanding any other provisions of the Plan or this Agreement, unless there is an exemption from any registration, qualification or other legal requirement applicable to the Shares, the Company shall not be required to deliver any Shares issuable upon vesting of the Restricted Stock Units prior to the completion of any registration or qualification of the Shares under any U.S. or non-U.S. local, state or federal securities or exchange control law or regulation or under rulings or regulations of the U.S. Securities and Exchange 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or of any other governmental regulatory body, or prior to obtaining any approval or other clearance from any U.S. or non-</w:t>
      </w:r>
    </w:p>
    <w:p>
      <w:pPr>
        <w:spacing w:after="0" w:line="200" w:lineRule="exact"/>
        <w:rPr>
          <w:sz w:val="20"/>
          <w:szCs w:val="20"/>
          <w:color w:val="auto"/>
        </w:rPr>
      </w:pPr>
    </w:p>
    <w:p>
      <w:pPr>
        <w:spacing w:after="0" w:line="2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740"/>
          </w:cols>
          <w:pgMar w:left="540" w:top="1440" w:right="619" w:bottom="1440" w:gutter="0" w:footer="0" w:header="0"/>
        </w:sectPr>
      </w:pPr>
    </w:p>
    <w:bookmarkStart w:id="80" w:name="page81"/>
    <w:bookmarkEnd w:id="80"/>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U.S. local, state or federal governmental agency, which registration, qualification or approval the Company shall, in its absolute discretion, deem necessary or advisable. The Participant understands that the Company is under no obligation to register or qualify the Shares with the SEC or any U.S. or non-U.S. state or other securities commission or to seek approval or clearance from any governmental authority for the issuance or sale of the Shares and the inability of the Company to obtain approval from any regulatory body having authority deemed by the Company to be necessary for the lawful issuance and sale of any Shares pursuant to the Restricted Stock Units shall relieve the Company of any liability with respect to the non-issuance or sale of the Shares as to which such approval shall not have been obtained.</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the Participant's electronic signature or acceptance, the Participant and the Company agree that the Restricted Stock Units are granted under and governed by the terms and conditions of the Plan and this Agreement. The Participant has reviewed the Plan and this Agreement in their entirety, has had an opportunity to obtain the advice of counsel prior to accepting this Agreement and fully understands all provisions of the Plan and Agreement. The Participant hereby agrees to accept as binding, conclusive and final all decisions or interpretations of the Committee upon any questions relating to the Plan and Agreement.</w:t>
      </w:r>
    </w:p>
    <w:p>
      <w:pPr>
        <w:spacing w:after="0" w:line="192"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Participant acknowledges that he or she is sufficiently proficient in English to understand the terms and conditions of this Agreement. Furthermore, if the Participant has received this Agreement, or any other document related to the Restricted Stock Units and/or the Plan translated into a language other than English and if the meaning of the translated version is different than the English version, the English version will control.</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Addendum</w:t>
      </w:r>
      <w:r>
        <w:rPr>
          <w:rFonts w:ascii="Times New Roman" w:cs="Times New Roman" w:eastAsia="Times New Roman" w:hAnsi="Times New Roman"/>
          <w:sz w:val="20"/>
          <w:szCs w:val="20"/>
          <w:color w:val="auto"/>
        </w:rPr>
        <w:t>. Notwithstanding any provisions in this Agreement, the Restricted Stock Units shall be subject to any special terms and conditions set forth in any Addendum to this Agreement for the Participant’s country. Moreover, if the Participant relocates to one of the countries included in the Addendum, the special terms and conditions for such country will apply to the Participant, to the extent the Committee determines that the application of such terms and conditions is necessary or advisable for legal or administrative reasons. The Addendum constitutes part of this Agreement.</w:t>
      </w:r>
    </w:p>
    <w:p>
      <w:pPr>
        <w:spacing w:after="0" w:line="2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 participation in the Plan, on the Restricted Stock Units and on any Shares purchased upon vesting of the Restricted Stock Units, to the extent the Company determines it is necessary or advisable for legal or administrative reasons, and to require the Participant to sign any additional agreements or undertakings that may be necessary to accomplish the foregoing.</w:t>
      </w:r>
    </w:p>
    <w:p>
      <w:pPr>
        <w:spacing w:after="0" w:line="3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claims, certificates, requests, demands and other communications hereunder shall be in writing and shall be deemed to have been duly given and delivered if personally delivered or if sent by an internationally recognized overnight courier, by facsimile, by email, or by registered or certified mail, return receipt requested and postage prepaid, addressed as follows: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Company, to it at its current executive offices and to: 1718 Dry Creek Way, Suite 115</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San Antonio, TX 78259-1837</w:t>
      </w:r>
    </w:p>
    <w:p>
      <w:pPr>
        <w:ind w:left="1300"/>
        <w:spacing w:after="0"/>
        <w:rPr>
          <w:sz w:val="20"/>
          <w:szCs w:val="20"/>
          <w:color w:val="auto"/>
        </w:rPr>
      </w:pPr>
      <w:r>
        <w:rPr>
          <w:rFonts w:ascii="Times New Roman" w:cs="Times New Roman" w:eastAsia="Times New Roman" w:hAnsi="Times New Roman"/>
          <w:sz w:val="20"/>
          <w:szCs w:val="20"/>
          <w:color w:val="auto"/>
        </w:rPr>
        <w:t>Attn: Deputy General Counsel, Corporate &amp; Securities Legalnotice@rackspace.com</w:t>
      </w:r>
    </w:p>
    <w:p>
      <w:pPr>
        <w:spacing w:after="0" w:line="200" w:lineRule="exact"/>
        <w:rPr>
          <w:sz w:val="20"/>
          <w:szCs w:val="20"/>
          <w:color w:val="auto"/>
        </w:rPr>
      </w:pPr>
    </w:p>
    <w:p>
      <w:pPr>
        <w:spacing w:after="0" w:line="29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740"/>
          </w:cols>
          <w:pgMar w:left="540" w:top="1332" w:right="619" w:bottom="1440" w:gutter="0" w:footer="0" w:header="0"/>
        </w:sectPr>
      </w:pPr>
    </w:p>
    <w:bookmarkStart w:id="81" w:name="page82"/>
    <w:bookmarkEnd w:id="81"/>
    <w:p>
      <w:pPr>
        <w:spacing w:after="0" w:line="54" w:lineRule="exact"/>
        <w:rPr>
          <w:sz w:val="20"/>
          <w:szCs w:val="20"/>
          <w:color w:val="auto"/>
        </w:rPr>
      </w:pPr>
    </w:p>
    <w:p>
      <w:pPr>
        <w:jc w:val="both"/>
        <w:ind w:right="20" w:firstLine="643"/>
        <w:spacing w:after="0" w:line="283" w:lineRule="auto"/>
        <w:rPr>
          <w:sz w:val="20"/>
          <w:szCs w:val="20"/>
          <w:color w:val="auto"/>
        </w:rPr>
      </w:pPr>
      <w:r>
        <w:rPr>
          <w:rFonts w:ascii="Times New Roman" w:cs="Times New Roman" w:eastAsia="Times New Roman" w:hAnsi="Times New Roman"/>
          <w:sz w:val="20"/>
          <w:szCs w:val="20"/>
          <w:color w:val="auto"/>
        </w:rPr>
        <w:t>If to the Participant, to him or her at the address set forth on the signature page hereto or to such other address as the party to whom notice is to be given may have furnished to the other party in writing in accordance herewith.</w:t>
      </w:r>
    </w:p>
    <w:p>
      <w:pPr>
        <w:spacing w:after="0" w:line="146"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9"/>
          <w:szCs w:val="19"/>
          <w:color w:val="auto"/>
        </w:rPr>
        <w:t>Any such notice or communication shall be deemed to have been received (a) in the case of personal delivery, on the date of such delivery (or if such date is not a business day, on the next business day after the date of delivery), (b) in the case of internationally recognized overnight courier, on the next business day after the date sent, (c) in the case of email, when transmitted via email (in each case, if no “system error” or other notice of non-delivery is generated) to the applicable party and its legal counsel set forth above, and</w:t>
      </w:r>
    </w:p>
    <w:p>
      <w:pPr>
        <w:spacing w:after="0" w:line="2" w:lineRule="exact"/>
        <w:rPr>
          <w:sz w:val="20"/>
          <w:szCs w:val="20"/>
          <w:color w:val="auto"/>
        </w:rPr>
      </w:pPr>
    </w:p>
    <w:p>
      <w:pPr>
        <w:ind w:right="20" w:firstLine="4"/>
        <w:spacing w:after="0" w:line="253" w:lineRule="auto"/>
        <w:tabs>
          <w:tab w:leader="none" w:pos="30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mailing, on the third business day following that on which the piece of mail containing such communication is posted.</w:t>
      </w:r>
    </w:p>
    <w:p>
      <w:pPr>
        <w:spacing w:after="0" w:line="18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Waiver of Breach</w:t>
      </w:r>
      <w:r>
        <w:rPr>
          <w:rFonts w:ascii="Times New Roman" w:cs="Times New Roman" w:eastAsia="Times New Roman" w:hAnsi="Times New Roman"/>
          <w:sz w:val="20"/>
          <w:szCs w:val="20"/>
          <w:color w:val="auto"/>
        </w:rPr>
        <w:t>. The waiver by either party of a breach of any provision of this Agreement must be in writing and shall not operate or be construed as a waiver of any other or subsequent breach.</w:t>
      </w:r>
    </w:p>
    <w:p>
      <w:pPr>
        <w:spacing w:after="0" w:line="146"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9"/>
          <w:szCs w:val="19"/>
          <w:color w:val="auto"/>
        </w:rPr>
        <w:t xml:space="preserve">Section 18. </w:t>
      </w:r>
      <w:r>
        <w:rPr>
          <w:rFonts w:ascii="Times New Roman" w:cs="Times New Roman" w:eastAsia="Times New Roman" w:hAnsi="Times New Roman"/>
          <w:sz w:val="19"/>
          <w:szCs w:val="19"/>
          <w:u w:val="single" w:color="auto"/>
          <w:color w:val="auto"/>
        </w:rPr>
        <w:t>Participant’s Undertaking</w:t>
      </w:r>
      <w:r>
        <w:rPr>
          <w:rFonts w:ascii="Times New Roman" w:cs="Times New Roman" w:eastAsia="Times New Roman" w:hAnsi="Times New Roman"/>
          <w:sz w:val="19"/>
          <w:szCs w:val="19"/>
          <w:color w:val="auto"/>
        </w:rPr>
        <w:t>. The Participant hereby agrees to take whatever additional actions and execute whatever additional documents the Company may in its reasonable judgment deem necessary or advisable in order to carry out or effect one or more of the obligations or restrictions imposed on the Participant pursuant to the express provisions of this Agreement and the Plan.</w:t>
      </w:r>
    </w:p>
    <w:p>
      <w:pPr>
        <w:spacing w:after="0" w:line="156"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9"/>
          <w:szCs w:val="19"/>
          <w:color w:val="auto"/>
        </w:rPr>
        <w:t xml:space="preserve">Section 19. </w:t>
      </w:r>
      <w:r>
        <w:rPr>
          <w:rFonts w:ascii="Times New Roman" w:cs="Times New Roman" w:eastAsia="Times New Roman" w:hAnsi="Times New Roman"/>
          <w:sz w:val="19"/>
          <w:szCs w:val="19"/>
          <w:u w:val="single" w:color="auto"/>
          <w:color w:val="auto"/>
        </w:rPr>
        <w:t>Modification of Rights</w:t>
      </w:r>
      <w:r>
        <w:rPr>
          <w:rFonts w:ascii="Times New Roman" w:cs="Times New Roman" w:eastAsia="Times New Roman" w:hAnsi="Times New Roman"/>
          <w:sz w:val="19"/>
          <w:szCs w:val="19"/>
          <w:color w:val="auto"/>
        </w:rPr>
        <w:t>. The rights of the Participant are subject to modification and termination in certain events as provided in this Agreement and the Plan (with respect to the Restricted Stock Units granted hereby). Notwithstanding the foregoing, the Participant’s rights under this Agreement and the Plan may not be materially impaired without the Participant’s consent.</w:t>
      </w:r>
    </w:p>
    <w:p>
      <w:pPr>
        <w:spacing w:after="0" w:line="16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20.</w:t>
      </w:r>
      <w:r>
        <w:rPr>
          <w:sz w:val="20"/>
          <w:szCs w:val="20"/>
          <w:color w:val="auto"/>
        </w:rPr>
        <w:tab/>
      </w:r>
      <w:r>
        <w:rPr>
          <w:rFonts w:ascii="Times New Roman" w:cs="Times New Roman" w:eastAsia="Times New Roman" w:hAnsi="Times New Roman"/>
          <w:sz w:val="19"/>
          <w:szCs w:val="19"/>
          <w:u w:val="single" w:color="auto"/>
          <w:color w:val="auto"/>
        </w:rPr>
        <w:t>Governing Law; Consent to Jurisdiction</w:t>
      </w:r>
      <w:r>
        <w:rPr>
          <w:rFonts w:ascii="Times New Roman" w:cs="Times New Roman" w:eastAsia="Times New Roman" w:hAnsi="Times New Roman"/>
          <w:sz w:val="19"/>
          <w:szCs w:val="19"/>
          <w:color w:val="auto"/>
        </w:rPr>
        <w:t>.</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NOTWITHSTANDING ANYTHING TO THE CONTRARY CONTAINED IN ANY SERVICE AGREEMENT, THIS AGREEMENT WILL BE GOVERNED BY AND CONSTRUED EXCLUSIVELY IN 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 OF THE STATE OF DELAWARE WILL CONTROL THE INTERPRETATION AND CONSTRUCTION OF THIS AGREEMENT, EVEN IF UNDER SUCH JURISDICTION’S CHOICE OF LAW OR CONFLICT OF LAW ANALYSIS, THE SUBSTANTIVE LAW OF SOME OTHER JURISDICTION WOULD ORDINARILY APPLY.</w:t>
      </w:r>
    </w:p>
    <w:p>
      <w:pPr>
        <w:spacing w:after="0" w:line="222" w:lineRule="exact"/>
        <w:rPr>
          <w:sz w:val="20"/>
          <w:szCs w:val="20"/>
          <w:color w:val="auto"/>
        </w:rPr>
      </w:pPr>
    </w:p>
    <w:p>
      <w:pPr>
        <w:jc w:val="both"/>
        <w:ind w:firstLine="1300"/>
        <w:spacing w:after="0" w:line="247" w:lineRule="auto"/>
        <w:tabs>
          <w:tab w:leader="none" w:pos="19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anything to the contrary contained in any service agreement, each of the parties hereto irrevocably (i) consents to submit itself to the personal jurisdiction of the Delaware Court of Chancery, or in the event (but only in the event) that the Delaware Court of Chancery does not have subject matter jurisdiction over such legal action or proceeding, the United States District Court for the District of Delaware, or in the event (but only in the event) that such United States District Court for the District of Delaware also does not have subject matter jurisdiction over such legal action or proceeding, any Delaware state court sitting in New Castle County, in connection with any matter based upon or arising out of this Agreement or the actions of the parties hereof or any restrictive covenants to which the Participant is subject to under any service agreement, (ii) agrees that it will not attempt to deny or defeat such personal jurisdiction by motion or other request for leave from any such court and (iii) agrees that it will not bring any action relating to this Agreement or any restrictive covenants to which the Participant is subject to under any service agreement in any court other than the courts of the State of</w:t>
      </w:r>
    </w:p>
    <w:p>
      <w:pPr>
        <w:spacing w:after="0" w:line="200" w:lineRule="exact"/>
        <w:rPr>
          <w:sz w:val="20"/>
          <w:szCs w:val="20"/>
          <w:color w:val="auto"/>
        </w:rPr>
      </w:pPr>
    </w:p>
    <w:p>
      <w:pPr>
        <w:spacing w:after="0" w:line="29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740"/>
          </w:cols>
          <w:pgMar w:left="540" w:top="1440" w:right="619" w:bottom="1440" w:gutter="0" w:footer="0" w:header="0"/>
        </w:sectPr>
      </w:pPr>
    </w:p>
    <w:bookmarkStart w:id="82" w:name="page83"/>
    <w:bookmarkEnd w:id="82"/>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Delaware, as described above. Each party to this Agreement hereby irrevocably waives, and agrees not to assert, by way of motion, as a defense, counterclaim or otherwise, in any action or proceeding with respect to this Agreement or any restrictive covenants to which the Participant is subject to under any service agreement, any claim that it is not personally subject to the jurisdiction of the above-named courts for any reason,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suit, action or proceeding in any such court is brought in an inconvenient forum, that the venue of such suit, action or proceeding is improper, or that this Agreement or the subject matter hereof or any restrictive covenants to which the Participant is subject to under any service agreement, may not be enforced in or by such courts and further irrevocably waives, to the fullest extent permitted by applicable law, the benefit of any defense that would hinder, fetter or delay the levy, execution or collection of any amount to which a party hereto is entitled pursuant to the final judgment of any court having jurisdiction.</w:t>
      </w:r>
    </w:p>
    <w:p>
      <w:pPr>
        <w:spacing w:after="0" w:line="38"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19"/>
          <w:szCs w:val="19"/>
          <w:color w:val="auto"/>
        </w:rPr>
        <w:t xml:space="preserve">Section 21. </w:t>
      </w:r>
      <w:r>
        <w:rPr>
          <w:rFonts w:ascii="Times New Roman" w:cs="Times New Roman" w:eastAsia="Times New Roman" w:hAnsi="Times New Roman"/>
          <w:sz w:val="19"/>
          <w:szCs w:val="19"/>
          <w:u w:val="single" w:color="auto"/>
          <w:color w:val="auto"/>
        </w:rPr>
        <w:t>Insider Trading/Market Abuse Restrictions</w:t>
      </w:r>
      <w:r>
        <w:rPr>
          <w:rFonts w:ascii="Times New Roman" w:cs="Times New Roman" w:eastAsia="Times New Roman" w:hAnsi="Times New Roman"/>
          <w:sz w:val="19"/>
          <w:szCs w:val="19"/>
          <w:color w:val="auto"/>
        </w:rPr>
        <w:t>. Depending on the Participant's country, the Participant may be subject to insider trading restrictions and/or market abuse laws in applicable jurisdictions, which may affect the Participant's ability to, directly or indirectly, acquire, sell or attempt to sell Shares or otherwise dispose of Shares or rights to 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the Restricted Stock Units) under the Plan 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(other than on a “need to know” basis); (ii) “tipping” third parties or causing them to otherwise buy or sell securities; and (iii) cancelling or amending orders the Participant placed before he or she possessed inside information. Any restrictions under these laws or regulations are separate from 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Exchange Control, Tax And/Or Foreign Asset/Account Reporting</w:t>
      </w:r>
      <w:r>
        <w:rPr>
          <w:rFonts w:ascii="Times New Roman" w:cs="Times New Roman" w:eastAsia="Times New Roman" w:hAnsi="Times New Roman"/>
          <w:sz w:val="20"/>
          <w:szCs w:val="20"/>
          <w:color w:val="auto"/>
        </w:rPr>
        <w:t>. The Participant acknowledges that, depending on his or her country, the Participant may be subject to foreign asset/account, exchange control and/or tax reporting requirements as a result of the acquisition, holding and/or transfer of Shares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agrees to take any and all actions, and consents to any and all actions taken by the Company or the Employer as may be required to allow the Company or the Employer to comply with local laws, rules and regulations in the Participant’s country of residence (and country of employment, if different). The Participant acknowledges that he or she is responsible for ensuring compliance with any applicable foreign asset/account, exchange control and tax reporting requirements and is advised to consult his or her personal legal advisor on this matter.</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It is the intent of this Agreement that it and all payments and benefits hereunder be exempt from, or comply with, the requirements of Section 409A so that none of the Restricted Stock Units provided under this Agreement or Shares issuable thereunder will be subject to the additional tax imposed under Section 409A, and any ambiguities herein will be interpreted to be so exempt or so comply. Each payment payable under this Agreement is intended to constitute a separate payment for purposes of Treasury Regulation Section 1.409A-2(b)(2).</w:t>
      </w:r>
    </w:p>
    <w:p>
      <w:pPr>
        <w:spacing w:after="0" w:line="200" w:lineRule="exact"/>
        <w:rPr>
          <w:sz w:val="20"/>
          <w:szCs w:val="20"/>
          <w:color w:val="auto"/>
        </w:rPr>
      </w:pPr>
    </w:p>
    <w:p>
      <w:pPr>
        <w:spacing w:after="0" w:line="26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740"/>
          </w:cols>
          <w:pgMar w:left="540" w:top="1440" w:right="619" w:bottom="1440" w:gutter="0" w:footer="0" w:header="0"/>
        </w:sectPr>
      </w:pPr>
    </w:p>
    <w:bookmarkStart w:id="83" w:name="page84"/>
    <w:bookmarkEnd w:id="83"/>
    <w:p>
      <w:pPr>
        <w:spacing w:after="0" w:line="41" w:lineRule="exact"/>
        <w:rPr>
          <w:sz w:val="20"/>
          <w:szCs w:val="20"/>
          <w:color w:val="auto"/>
        </w:rPr>
      </w:pPr>
    </w:p>
    <w:p>
      <w:pPr>
        <w:jc w:val="both"/>
        <w:ind w:right="30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and each such counterpart shall be deemed to be an original, but all such counterparts together shall constitute but one agreement.</w:t>
      </w:r>
    </w:p>
    <w:p>
      <w:pPr>
        <w:spacing w:after="0" w:line="160" w:lineRule="exact"/>
        <w:rPr>
          <w:sz w:val="20"/>
          <w:szCs w:val="20"/>
          <w:color w:val="auto"/>
        </w:rPr>
      </w:pPr>
    </w:p>
    <w:p>
      <w:pPr>
        <w:jc w:val="both"/>
        <w:ind w:right="30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25.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Notice of Grant, this Agreement and the Plan (and the other writings referred to herein) constitute the entire agreement between the parties with respect to the subject matter hereof and thereof and supersede all prior written or oral negotiations, commitments, representations and agreements with respect thereto, except for other agreements between the parties that contain restrictive covenants included in an employment agreement or in the standard Rackspace Confidentiality, Dispute Resolution and Intellectual Property Agreement. In the event of a conflict between agreements containing restrictive covenants, the restriction that provides the most protection to the Company shall supercede and apply.</w:t>
      </w:r>
    </w:p>
    <w:p>
      <w:pPr>
        <w:spacing w:after="0" w:line="2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26.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It is the desire and intent of the parties hereto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82" w:lineRule="exact"/>
        <w:rPr>
          <w:sz w:val="20"/>
          <w:szCs w:val="20"/>
          <w:color w:val="auto"/>
        </w:rPr>
      </w:pPr>
    </w:p>
    <w:p>
      <w:pPr>
        <w:jc w:val="both"/>
        <w:ind w:right="300"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27. </w:t>
      </w: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In the event the Company or the Participant institutes litigation to enforce or protect its rights under this Agreement or the Plan, each party shall be solely responsible for all attorneys’ fees, out-of-pocket costs and disbursements it incurs relating to such litigation.</w:t>
      </w:r>
    </w:p>
    <w:p>
      <w:pPr>
        <w:spacing w:after="0" w:line="174" w:lineRule="exact"/>
        <w:rPr>
          <w:sz w:val="20"/>
          <w:szCs w:val="20"/>
          <w:color w:val="auto"/>
        </w:rPr>
      </w:pPr>
    </w:p>
    <w:p>
      <w:pPr>
        <w:jc w:val="both"/>
        <w:ind w:right="300"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28.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AND UNCONDITIONALLY WAIVES, TO THE FULLEST EXTENT THAT IT MAY LEGALLY AND EFFECTIVELY DO SO, TRIAL BY JURY IN ANY SUIT, ACTION OR PROCEEDING ARISING HEREUNDER.</w:t>
      </w:r>
    </w:p>
    <w:p>
      <w:pPr>
        <w:spacing w:after="0" w:line="161" w:lineRule="exact"/>
        <w:rPr>
          <w:sz w:val="20"/>
          <w:szCs w:val="20"/>
          <w:color w:val="auto"/>
        </w:rPr>
      </w:pPr>
    </w:p>
    <w:p>
      <w:pPr>
        <w:jc w:val="both"/>
        <w:ind w:right="300"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29. </w:t>
      </w:r>
      <w:r>
        <w:rPr>
          <w:rFonts w:ascii="Times New Roman" w:cs="Times New Roman" w:eastAsia="Times New Roman" w:hAnsi="Times New Roman"/>
          <w:sz w:val="20"/>
          <w:szCs w:val="20"/>
          <w:u w:val="single" w:color="auto"/>
          <w:color w:val="auto"/>
        </w:rPr>
        <w:t>Required Acceptance.</w:t>
      </w:r>
      <w:r>
        <w:rPr>
          <w:rFonts w:ascii="Times New Roman" w:cs="Times New Roman" w:eastAsia="Times New Roman" w:hAnsi="Times New Roman"/>
          <w:sz w:val="20"/>
          <w:szCs w:val="20"/>
          <w:color w:val="auto"/>
        </w:rPr>
        <w:t xml:space="preserve"> This Agreement is conditioned upon the Participant’s agreement to all terms of this Agreement including the Restrictive Covenants which include, among other provisions, certain non-solicitation, nondisclosure, and non-disparagement rights. If the Participant does not agree (whether electronically or otherwise) to this Agreement within thirty (30) days from the Grant Date, the Restricted Stock Units shall be terminable by the Company.</w:t>
      </w:r>
    </w:p>
    <w:p>
      <w:pPr>
        <w:spacing w:after="0" w:line="193" w:lineRule="exact"/>
        <w:rPr>
          <w:sz w:val="20"/>
          <w:szCs w:val="20"/>
          <w:color w:val="auto"/>
        </w:rPr>
      </w:pPr>
    </w:p>
    <w:p>
      <w:pPr>
        <w:jc w:val="both"/>
        <w:ind w:right="280" w:firstLine="540"/>
        <w:spacing w:after="0" w:line="250" w:lineRule="auto"/>
        <w:rPr>
          <w:sz w:val="20"/>
          <w:szCs w:val="20"/>
          <w:color w:val="auto"/>
        </w:rPr>
      </w:pPr>
      <w:r>
        <w:rPr>
          <w:rFonts w:ascii="Times New Roman" w:cs="Times New Roman" w:eastAsia="Times New Roman" w:hAnsi="Times New Roman"/>
          <w:sz w:val="20"/>
          <w:szCs w:val="20"/>
          <w:color w:val="auto"/>
        </w:rPr>
        <w:t xml:space="preserve">Section 30. </w:t>
      </w:r>
      <w:r>
        <w:rPr>
          <w:rFonts w:ascii="Times New Roman" w:cs="Times New Roman" w:eastAsia="Times New Roman" w:hAnsi="Times New Roman"/>
          <w:sz w:val="20"/>
          <w:szCs w:val="20"/>
          <w:u w:val="single" w:color="auto"/>
          <w:color w:val="auto"/>
        </w:rPr>
        <w:t>Recoupment/Clawback Policy; Compensation Subject to Recovery</w:t>
      </w:r>
      <w:r>
        <w:rPr>
          <w:rFonts w:ascii="Times New Roman" w:cs="Times New Roman" w:eastAsia="Times New Roman" w:hAnsi="Times New Roman"/>
          <w:sz w:val="20"/>
          <w:szCs w:val="20"/>
          <w:color w:val="auto"/>
        </w:rPr>
        <w:t>. The Participant acknowledges that the Company adopted the Executive Officer Incentive Compensation Clawback Policy (the “Clawback Policy”) to which the Participant is or may in the future become subject. In consideration of the grant of the Restricted Stock Units, the Participant agrees to abide by the Company’s Clawback Policy and any determinations of the Board or the Compensation Committee pursuant to the Clawback Policy or any similar clawback or recoupment policy which the Company may adopt from time to time to the extent the Board determines in good faith that the adoption and maintenance of such policy is necessary to maintain corporate governance best practices and/or comply with the Dodd-Frank Wall Street Reform and Consumer Protection Act and implementing rules and regulations thereunder, or is otherwise required by applicable law. The Participant acknowledges and agrees that the Restricted Stock Units received by the Participant pursuant to this Agreement shall be subject to forfeiture, recovery by the Company or other action pursuant to the Clawback Policy or any such other clawback or recoupment policy. This Section 30 shall survive the termination of the Holder’s employment for any reason. The</w:t>
      </w:r>
    </w:p>
    <w:p>
      <w:pPr>
        <w:spacing w:after="0" w:line="200" w:lineRule="exact"/>
        <w:rPr>
          <w:sz w:val="20"/>
          <w:szCs w:val="20"/>
          <w:color w:val="auto"/>
        </w:rPr>
      </w:pPr>
    </w:p>
    <w:p>
      <w:pPr>
        <w:spacing w:after="0" w:line="29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20"/>
          </w:cols>
          <w:pgMar w:left="540" w:top="1440" w:right="339" w:bottom="1440" w:gutter="0" w:footer="0" w:header="0"/>
        </w:sectPr>
      </w:pPr>
    </w:p>
    <w:bookmarkStart w:id="84" w:name="page85"/>
    <w:bookmarkEnd w:id="84"/>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foregoing remedy is in addition to and separate from any other relief available to the Company due to the Participant’s misconduct or fraud. Any determination by the Board or the Compensation Committee with respect to the foregoing shall be final, conclusive and binding upon the Holder and all persons claiming through the Holder.</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740"/>
          </w:cols>
          <w:pgMar w:left="540" w:top="1440" w:right="6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executed this Restricted Stock Unit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RACKSPACE TECHNOLOGY, INC.</w:t>
      </w:r>
    </w:p>
    <w:p>
      <w:pPr>
        <w:spacing w:after="0" w:line="33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 xml:space="preserve">By: </w:t>
      </w:r>
      <w:r>
        <w:rPr>
          <w:sz w:val="1"/>
          <w:szCs w:val="1"/>
          <w:color w:val="auto"/>
        </w:rPr>
        <w:drawing>
          <wp:inline distT="0" distB="0" distL="0" distR="0">
            <wp:extent cx="2219960" cy="27432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19960" cy="27432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3963035</wp:posOffset>
            </wp:positionH>
            <wp:positionV relativeFrom="paragraph">
              <wp:posOffset>58420</wp:posOffset>
            </wp:positionV>
            <wp:extent cx="30257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Name: Kellie Teal-Guess</w:t>
      </w:r>
    </w:p>
    <w:p>
      <w:pPr>
        <w:spacing w:after="0" w:line="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3963035</wp:posOffset>
            </wp:positionH>
            <wp:positionV relativeFrom="paragraph">
              <wp:posOffset>539750</wp:posOffset>
            </wp:positionV>
            <wp:extent cx="30257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%%FIRST_NAME_LAST_NAME%-%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60"/>
          </w:cols>
          <w:pgMar w:left="540" w:top="1395" w:right="799" w:bottom="1440" w:gutter="0" w:footer="0" w:header="0"/>
        </w:sectPr>
      </w:pPr>
    </w:p>
    <w:bookmarkStart w:id="86" w:name="page87"/>
    <w:bookmarkEnd w:id="86"/>
    <w:p>
      <w:pPr>
        <w:spacing w:after="0" w:line="200" w:lineRule="exact"/>
        <w:rPr>
          <w:sz w:val="20"/>
          <w:szCs w:val="20"/>
          <w:color w:val="auto"/>
        </w:rPr>
      </w:pPr>
    </w:p>
    <w:p>
      <w:pPr>
        <w:spacing w:after="0" w:line="2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b w:val="1"/>
          <w:bCs w:val="1"/>
          <w:color w:val="auto"/>
        </w:rPr>
        <w:t>ADDENDUM TO THE RESTRICTED STOCK UNIT AGREEMENT FOR NON-U.S.</w:t>
      </w:r>
    </w:p>
    <w:p>
      <w:pPr>
        <w:spacing w:after="0" w:line="5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PARTICIPANTS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defined in this Addendum have the meanings set forth in the Plan and/or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Addendum includes additional terms and conditions that govern the Restricted Stock Units granted to the Participant under the Plan if the Participant resides and/or works in one of the countries listed below.</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Company shall, in its sole discretion, determine to what extent the terms and conditions contained herein shall apply to the Participant under these circumstances.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4" w:lineRule="exact"/>
        <w:rPr>
          <w:sz w:val="20"/>
          <w:szCs w:val="20"/>
          <w:color w:val="auto"/>
        </w:rPr>
      </w:pPr>
    </w:p>
    <w:p>
      <w:pPr>
        <w:jc w:val="both"/>
        <w:ind w:firstLine="4"/>
        <w:spacing w:after="0" w:line="253" w:lineRule="auto"/>
        <w:rPr>
          <w:sz w:val="20"/>
          <w:szCs w:val="20"/>
          <w:color w:val="auto"/>
        </w:rPr>
      </w:pPr>
      <w:r>
        <w:rPr>
          <w:rFonts w:ascii="Times New Roman" w:cs="Times New Roman" w:eastAsia="Times New Roman" w:hAnsi="Times New Roman"/>
          <w:sz w:val="20"/>
          <w:szCs w:val="20"/>
          <w:color w:val="auto"/>
        </w:rPr>
        <w:t>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March 2022. Such laws are often complex and change frequently. As a result, the Company strongly recommends that the Participant not rely on the information in this Addendum as the only source of information relating to the consequences of the Participant’s participation in the Plan because the information may be out of date at the time that the Restricted Stock Units vest or at the time the Participant sells Shares acquired under the Plan.</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his or her situation.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the Participant is a citizen or resident of a country other than the one in which he or she is currently residing and/or working or transfers to another country after the grant of the Restricted Stock Units, or is considered a resident of another country for local law purposes, the information contained herein may not be applicable to the Participant in the same manner.</w:t>
      </w:r>
    </w:p>
    <w:p>
      <w:pPr>
        <w:spacing w:after="0" w:line="200" w:lineRule="exact"/>
        <w:rPr>
          <w:sz w:val="20"/>
          <w:szCs w:val="20"/>
          <w:color w:val="auto"/>
        </w:rPr>
      </w:pPr>
    </w:p>
    <w:p>
      <w:pPr>
        <w:spacing w:after="0" w:line="2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I-2</w:t>
      </w:r>
    </w:p>
    <w:p>
      <w:pPr>
        <w:sectPr>
          <w:pgSz w:w="11900" w:h="16838" w:orient="portrait"/>
          <w:cols w:equalWidth="0" w:num="1">
            <w:col w:w="10720"/>
          </w:cols>
          <w:pgMar w:left="540" w:top="1440" w:right="639" w:bottom="1440" w:gutter="0" w:footer="0" w:header="0"/>
        </w:sectPr>
      </w:pPr>
    </w:p>
    <w:bookmarkStart w:id="87" w:name="page88"/>
    <w:bookmarkEnd w:id="87"/>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DATA PRIVACY NOTICE FOR PARTICIPANTS IN THE EUROPEAN UNION (“EU”)</w:t>
      </w:r>
    </w:p>
    <w:p>
      <w:pPr>
        <w:spacing w:after="0" w:line="32" w:lineRule="exact"/>
        <w:rPr>
          <w:sz w:val="20"/>
          <w:szCs w:val="20"/>
          <w:color w:val="auto"/>
        </w:rPr>
      </w:pPr>
    </w:p>
    <w:p>
      <w:pPr>
        <w:ind w:right="1300" w:firstLine="1359"/>
        <w:spacing w:after="0" w:line="461" w:lineRule="auto"/>
        <w:tabs>
          <w:tab w:leader="none" w:pos="1459" w:val="left"/>
        </w:tabs>
        <w:numPr>
          <w:ilvl w:val="0"/>
          <w:numId w:val="3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 xml:space="preserve">EUROPEAN ECONOMIC AREA (“EEA”) / SWITZERLAND / UNITED KINGDOM (“UK”) </w:t>
      </w:r>
      <w:r>
        <w:rPr>
          <w:rFonts w:ascii="Times New Roman" w:cs="Times New Roman" w:eastAsia="Times New Roman" w:hAnsi="Times New Roman"/>
          <w:sz w:val="20"/>
          <w:szCs w:val="20"/>
          <w:b w:val="1"/>
          <w:bCs w:val="1"/>
          <w:color w:val="auto"/>
        </w:rPr>
        <w:t>The following provisions replace Section 10 of the Agreement:</w:t>
      </w:r>
    </w:p>
    <w:p>
      <w:pPr>
        <w:spacing w:after="0" w:line="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The Company is located at 1718 Dry Creek Way, Suite 115, San Antonio, TX 78259- 1837, USA and grants employees of the Company and its other Subsidiaries and Affiliates, the opportunity to participate in the Plan, at the Company's sole discretion. If the Participant would like to participate in the Plan, the Participant understands that he or she should review the following information about the Company’s data processing practices.</w:t>
      </w:r>
    </w:p>
    <w:p>
      <w:pPr>
        <w:spacing w:after="0" w:line="205" w:lineRule="exact"/>
        <w:rPr>
          <w:sz w:val="20"/>
          <w:szCs w:val="20"/>
          <w:color w:val="auto"/>
        </w:rPr>
      </w:pPr>
    </w:p>
    <w:p>
      <w:pPr>
        <w:jc w:val="both"/>
        <w:ind w:firstLine="1300"/>
        <w:spacing w:after="0" w:line="248" w:lineRule="auto"/>
        <w:tabs>
          <w:tab w:leader="none" w:pos="19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xml:space="preserve">.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stock or directorships held in the Company, and details of all awards, canceled, vested, or outstanding in the Participant's favor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which the Company receives from the Participant or the Participant's Employer. If the Company offers the Participant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opportunity to participate in the Plan, then the Company will collect the Data for purposes of allocating stock and implementing, administering and managing the Plan. The Company’s legal basis for the processing of the Participant’s personal data would be the implementation, administration and management of the Participant’s participation in the Plan.</w:t>
      </w:r>
    </w:p>
    <w:p>
      <w:pPr>
        <w:spacing w:after="0" w:line="208" w:lineRule="exact"/>
        <w:rPr>
          <w:rFonts w:ascii="Times New Roman" w:cs="Times New Roman" w:eastAsia="Times New Roman" w:hAnsi="Times New Roman"/>
          <w:sz w:val="22"/>
          <w:szCs w:val="22"/>
          <w:color w:val="auto"/>
        </w:rPr>
      </w:pPr>
    </w:p>
    <w:p>
      <w:pPr>
        <w:jc w:val="both"/>
        <w:ind w:firstLine="1300"/>
        <w:spacing w:after="0" w:line="249" w:lineRule="auto"/>
        <w:tabs>
          <w:tab w:leader="none" w:pos="17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Purposes and Legal Bases of Processing</w:t>
      </w:r>
      <w:r>
        <w:rPr>
          <w:rFonts w:ascii="Times New Roman" w:cs="Times New Roman" w:eastAsia="Times New Roman" w:hAnsi="Times New Roman"/>
          <w:sz w:val="20"/>
          <w:szCs w:val="20"/>
          <w:b w:val="1"/>
          <w:bCs w:val="1"/>
          <w:i w:val="1"/>
          <w:iCs w:val="1"/>
          <w:color w:val="auto"/>
        </w:rPr>
        <w:t xml:space="preserve"> The Company processes the Data for the purpose of performing its contractual obligations under the Agreement, granting the Restricted Stock Units, implementing, administering and managing Participant’s participation in the Plan. The legal basis for the processing of the Data by the Company and the third party service providers described below is the necessity of the data processing for the Company to perform its contractual obligations under the Agreement and for the Company’s legitimate business interests of managing the Plan and generally administering employee equity awards.</w:t>
      </w:r>
    </w:p>
    <w:p>
      <w:pPr>
        <w:spacing w:after="0" w:line="205" w:lineRule="exact"/>
        <w:rPr>
          <w:rFonts w:ascii="Times New Roman" w:cs="Times New Roman" w:eastAsia="Times New Roman" w:hAnsi="Times New Roman"/>
          <w:sz w:val="22"/>
          <w:szCs w:val="22"/>
          <w:color w:val="auto"/>
        </w:rPr>
      </w:pPr>
    </w:p>
    <w:p>
      <w:pPr>
        <w:jc w:val="both"/>
        <w:ind w:firstLine="1300"/>
        <w:spacing w:after="0" w:line="248" w:lineRule="auto"/>
        <w:tabs>
          <w:tab w:leader="none" w:pos="192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participant data to E*Trade, an independent service provider based in the United States, which assists the Company with the implementation, administration and management of the Plan, and if the Restricted Stock Units vest, the Company transfers shareholder data to Computershare, an independent service provider based in the United States, which assists the Company with its stock administration.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 The Company and its service providers are based in the United States. If the Participant is outside of the United States, the Participant should note that his or her country may have enacted data privacy laws that are different from the United States.</w:t>
      </w:r>
    </w:p>
    <w:p>
      <w:pPr>
        <w:spacing w:after="0" w:line="218" w:lineRule="exact"/>
        <w:rPr>
          <w:rFonts w:ascii="Times New Roman" w:cs="Times New Roman" w:eastAsia="Times New Roman" w:hAnsi="Times New Roman"/>
          <w:sz w:val="22"/>
          <w:szCs w:val="22"/>
          <w:color w:val="auto"/>
        </w:rPr>
      </w:pPr>
    </w:p>
    <w:p>
      <w:pPr>
        <w:jc w:val="both"/>
        <w:ind w:firstLine="1300"/>
        <w:spacing w:after="0" w:line="268" w:lineRule="auto"/>
        <w:tabs>
          <w:tab w:leader="none" w:pos="191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i w:val="1"/>
          <w:iCs w:val="1"/>
          <w:u w:val="single" w:color="auto"/>
          <w:color w:val="auto"/>
        </w:rPr>
        <w:t>Data Retention</w:t>
      </w:r>
      <w:r>
        <w:rPr>
          <w:rFonts w:ascii="Times New Roman" w:cs="Times New Roman" w:eastAsia="Times New Roman" w:hAnsi="Times New Roman"/>
          <w:sz w:val="19"/>
          <w:szCs w:val="19"/>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exchange control, securities, and labor laws. When the Company no longer needs the Participant's Data, the Company will remove it from its systems. The Company may keep some of the Data longer to satisfy legal or</w:t>
      </w:r>
    </w:p>
    <w:p>
      <w:pPr>
        <w:spacing w:after="0" w:line="200" w:lineRule="exact"/>
        <w:rPr>
          <w:sz w:val="20"/>
          <w:szCs w:val="20"/>
          <w:color w:val="auto"/>
        </w:rPr>
      </w:pPr>
    </w:p>
    <w:p>
      <w:pPr>
        <w:spacing w:after="0" w:line="2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I-3</w:t>
      </w:r>
    </w:p>
    <w:p>
      <w:pPr>
        <w:sectPr>
          <w:pgSz w:w="11900" w:h="16838" w:orient="portrait"/>
          <w:cols w:equalWidth="0" w:num="1">
            <w:col w:w="10740"/>
          </w:cols>
          <w:pgMar w:left="540" w:top="1409" w:right="619" w:bottom="1440" w:gutter="0" w:footer="0" w:header="0"/>
        </w:sectPr>
      </w:pPr>
    </w:p>
    <w:bookmarkStart w:id="88" w:name="page89"/>
    <w:bookmarkEnd w:id="88"/>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obligations and the Company’s legal basis for such use would be necessity to comply with legal obligations.</w:t>
      </w:r>
    </w:p>
    <w:p>
      <w:pPr>
        <w:spacing w:after="0" w:line="243" w:lineRule="exact"/>
        <w:rPr>
          <w:sz w:val="20"/>
          <w:szCs w:val="20"/>
          <w:color w:val="auto"/>
        </w:rPr>
      </w:pPr>
    </w:p>
    <w:p>
      <w:pPr>
        <w:jc w:val="both"/>
        <w:ind w:right="120" w:firstLine="1300"/>
        <w:spacing w:after="0" w:line="250" w:lineRule="auto"/>
        <w:tabs>
          <w:tab w:leader="none" w:pos="187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Contractual Requirement</w:t>
      </w:r>
      <w:r>
        <w:rPr>
          <w:rFonts w:ascii="Times New Roman" w:cs="Times New Roman" w:eastAsia="Times New Roman" w:hAnsi="Times New Roman"/>
          <w:sz w:val="20"/>
          <w:szCs w:val="20"/>
          <w:b w:val="1"/>
          <w:bCs w:val="1"/>
          <w:i w:val="1"/>
          <w:iCs w:val="1"/>
          <w:color w:val="auto"/>
        </w:rPr>
        <w:t xml:space="preserve"> The Participant’s provision of Data and its processing as described above is a contractual requirement and a condition to the Participant’s ability to participate in the Plan. The Participant understands that, as a consequence of the Participant’s refusing to provide Data, the Company may not be able to allow the Participant to participate in the Plan, grant Restricted Stock Units to the Participant or administer or maintain such awards. However, the Participant’s participation in the Plan and acceptance of the Agreement terms are purely voluntary. While Employee will not receive Restricted Stock Units if the Participant decides against participating in the Plan or providing Data as described above, the Participant’s career and salary will not be affected in any way if the Participant chooses not to participate in the Plan or provide Data.</w:t>
      </w:r>
    </w:p>
    <w:p>
      <w:pPr>
        <w:spacing w:after="0" w:line="189" w:lineRule="exact"/>
        <w:rPr>
          <w:rFonts w:ascii="Times New Roman" w:cs="Times New Roman" w:eastAsia="Times New Roman" w:hAnsi="Times New Roman"/>
          <w:sz w:val="22"/>
          <w:szCs w:val="22"/>
          <w:color w:val="auto"/>
        </w:rPr>
      </w:pPr>
    </w:p>
    <w:p>
      <w:pPr>
        <w:jc w:val="both"/>
        <w:ind w:right="140" w:firstLine="1300"/>
        <w:spacing w:after="0" w:line="238" w:lineRule="auto"/>
        <w:tabs>
          <w:tab w:leader="none" w:pos="178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Stock Plan Administrator, 1718 Dry Creek Way, Suite 115, San Antonio, TX 78259-1837, USA.</w:t>
      </w: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Tax Information</w:t>
      </w:r>
      <w:r>
        <w:rPr>
          <w:rFonts w:ascii="Times New Roman" w:cs="Times New Roman" w:eastAsia="Times New Roman" w:hAnsi="Times New Roman"/>
          <w:sz w:val="20"/>
          <w:szCs w:val="20"/>
          <w:color w:val="auto"/>
        </w:rPr>
        <w:t>. The Plan is a plan to which Subdivision 83A-C of the Income Tax Assessment Act 1997 (Cth) (the “Act”) applies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conditions in the Act).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color w:val="auto"/>
        </w:rPr>
        <w:t>. Any information given by or on behalf of the Company is general information only.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should obtain his or her own financial product advice from an independent person who is licensed by the Australian Securities and Investments Commission (“ASIC”) to give advice about participating in the Plan.</w:t>
      </w:r>
    </w:p>
    <w:p>
      <w:pPr>
        <w:spacing w:after="0" w:line="175"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20"/>
          <w:szCs w:val="20"/>
          <w:color w:val="auto"/>
        </w:rPr>
        <w:t xml:space="preserve">The grant of Restricted Stock Units under the terms of the Plan and the Agreement does not require disclosure under the </w:t>
      </w:r>
      <w:r>
        <w:rPr>
          <w:rFonts w:ascii="Times New Roman" w:cs="Times New Roman" w:eastAsia="Times New Roman" w:hAnsi="Times New Roman"/>
          <w:sz w:val="20"/>
          <w:szCs w:val="20"/>
          <w:i w:val="1"/>
          <w:iCs w:val="1"/>
          <w:color w:val="auto"/>
        </w:rPr>
        <w:t>Corporations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Act 2001 </w:t>
      </w:r>
      <w:r>
        <w:rPr>
          <w:rFonts w:ascii="Times New Roman" w:cs="Times New Roman" w:eastAsia="Times New Roman" w:hAnsi="Times New Roman"/>
          <w:sz w:val="20"/>
          <w:szCs w:val="20"/>
          <w:color w:val="auto"/>
        </w:rPr>
        <w:t>(Cth) (the “Corporations Act”). No document provided to the Participant in connection with his or her participation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(including this Agreement):</w:t>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is a prospectus, product disclosure statement or other disclosure document for purposes of the Corporations Act; or</w:t>
      </w:r>
    </w:p>
    <w:p>
      <w:pPr>
        <w:spacing w:after="0" w:line="2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has been filed or reviewed by a regulator in Australia (including ASIC).</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Participant should not rely on any oral statements made in connection with his or her participation in the Plan. The Participant should rely only upon the statements contained in this Agreement, when considering whether to participate in the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event that Shares are issued to the Participant under the Plan, the value of any Shares will be affected by the Australian /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 exchange rate, in addition to fluctuations in value caused by the fortunes of the Company.</w:t>
      </w:r>
    </w:p>
    <w:p>
      <w:pPr>
        <w:spacing w:after="0" w:line="200" w:lineRule="exact"/>
        <w:rPr>
          <w:sz w:val="20"/>
          <w:szCs w:val="20"/>
          <w:color w:val="auto"/>
        </w:rPr>
      </w:pPr>
    </w:p>
    <w:p>
      <w:pPr>
        <w:spacing w:after="0" w:line="3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I-4</w:t>
      </w:r>
    </w:p>
    <w:p>
      <w:pPr>
        <w:sectPr>
          <w:pgSz w:w="11900" w:h="16838" w:orient="portrait"/>
          <w:cols w:equalWidth="0" w:num="1">
            <w:col w:w="10860"/>
          </w:cols>
          <w:pgMar w:left="540" w:top="1440" w:right="499" w:bottom="1440" w:gutter="0" w:footer="0" w:header="0"/>
        </w:sectPr>
      </w:pPr>
    </w:p>
    <w:bookmarkStart w:id="89" w:name="page90"/>
    <w:bookmarkEnd w:id="89"/>
    <w:p>
      <w:pPr>
        <w:spacing w:after="0" w:line="4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If the Participant offers any Shares for sale to a person or entity resident in Australia, the offer may be subject to disclosure requirements under Australian law. </w:t>
      </w:r>
      <w:r>
        <w:rPr>
          <w:rFonts w:ascii="Times New Roman" w:cs="Times New Roman" w:eastAsia="Times New Roman" w:hAnsi="Times New Roman"/>
          <w:sz w:val="20"/>
          <w:szCs w:val="20"/>
          <w:i w:val="1"/>
          <w:iCs w:val="1"/>
          <w:color w:val="auto"/>
        </w:rPr>
        <w:t>The Participant should consult with his or her personal legal advisor prior to making any such offer to ensure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compliance with the applicable requirements.</w:t>
      </w:r>
    </w:p>
    <w:p>
      <w:pPr>
        <w:spacing w:after="0" w:line="1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Notification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Belgian residents are required to report any securities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acquired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or bank accounts opened and maintained outside Belgium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any brokerage account opened in connection with the Plan) on their annual tax returns. Belgian residents are also required to complete a separate report providing the National Bank of Belgium with details regarding any such account, including the account number, the name of the bank in which such account is held and the country in which such account is located. The forms to complete this report are available on the website of the National Bank of Belgium. Belgian residents should consult with their personal tax advisors to determine their personal reporting obligations.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Annual Securities Accounts Tax</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annual securities accounts tax may be payable if the total value of securities held in a Belgian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securities account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acquired under the Plan) exceeds a certain threshold on four reference dates within the relevant reporting period (i.e., December 31, March 31, June 30 and September 30). In such cases, the tax will be due on the value of the qualifying securities held in such account. The Participant should consult with his or her personal tax advisor regarding the application of this tax.</w:t>
      </w:r>
    </w:p>
    <w:p>
      <w:pPr>
        <w:spacing w:after="0" w:line="1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jc w:val="both"/>
        <w:ind w:left="40" w:right="140"/>
        <w:spacing w:after="0" w:line="270" w:lineRule="auto"/>
        <w:rPr>
          <w:sz w:val="20"/>
          <w:szCs w:val="20"/>
          <w:color w:val="auto"/>
        </w:rPr>
      </w:pPr>
      <w:r>
        <w:rPr>
          <w:rFonts w:ascii="Times New Roman" w:cs="Times New Roman" w:eastAsia="Times New Roman" w:hAnsi="Times New Roman"/>
          <w:sz w:val="20"/>
          <w:szCs w:val="20"/>
          <w:b w:val="1"/>
          <w:bCs w:val="1"/>
          <w:u w:val="single" w:color="auto"/>
          <w:color w:val="auto"/>
        </w:rPr>
        <w:t>Restricted Stock Units Payable Only in Shares</w:t>
      </w:r>
      <w:r>
        <w:rPr>
          <w:rFonts w:ascii="Times New Roman" w:cs="Times New Roman" w:eastAsia="Times New Roman" w:hAnsi="Times New Roman"/>
          <w:sz w:val="20"/>
          <w:szCs w:val="20"/>
          <w:color w:val="auto"/>
        </w:rPr>
        <w:t>. Notwithstanding Section 3 of the Agreement, the grant of the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does not provide any right for the Participant to receive a cash payment, and settlement of the Restricted Stock Units is payable only in Shares.</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The following provisions will apply to Participants who are residents of Quebec:</w:t>
      </w:r>
    </w:p>
    <w:p>
      <w:pPr>
        <w:spacing w:after="0" w:line="8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Language Consent</w:t>
      </w:r>
      <w:r>
        <w:rPr>
          <w:rFonts w:ascii="Times New Roman" w:cs="Times New Roman" w:eastAsia="Times New Roman" w:hAnsi="Times New Roman"/>
          <w:sz w:val="20"/>
          <w:szCs w:val="20"/>
          <w:color w:val="auto"/>
        </w:rPr>
        <w:t>. The parties acknowledge that it is their express wish that the Agreement, as well as all documents, notices and 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proceeds entered into, given or instituted pursuant hereto or relating directly or indirectly hereto, be drawn up in English.</w:t>
      </w:r>
    </w:p>
    <w:p>
      <w:pPr>
        <w:spacing w:after="0" w:line="16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Consentement relatif à la langue utilisée</w:t>
      </w:r>
      <w:r>
        <w:rPr>
          <w:rFonts w:ascii="Times New Roman" w:cs="Times New Roman" w:eastAsia="Times New Roman" w:hAnsi="Times New Roman"/>
          <w:sz w:val="20"/>
          <w:szCs w:val="20"/>
          <w:i w:val="1"/>
          <w:iCs w:val="1"/>
          <w:color w:val="auto"/>
        </w:rPr>
        <w:t>: Les parties reconnaissent avoir exigé la rédaction en anglais de cette convention, ainsi que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de tous documents exécutés, avis donnés et procédures judiciaries intentées, directement ou indirectement, relativement à ou suite à la présente convention.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Data Privacy Notice</w:t>
      </w:r>
      <w:r>
        <w:rPr>
          <w:rFonts w:ascii="Times New Roman" w:cs="Times New Roman" w:eastAsia="Times New Roman" w:hAnsi="Times New Roman"/>
          <w:sz w:val="20"/>
          <w:szCs w:val="20"/>
          <w:color w:val="auto"/>
        </w:rPr>
        <w:t>. This provision supplements Section 10 of the Agreement:</w:t>
      </w:r>
    </w:p>
    <w:p>
      <w:pPr>
        <w:spacing w:after="0" w:line="260" w:lineRule="exact"/>
        <w:rPr>
          <w:sz w:val="20"/>
          <w:szCs w:val="20"/>
          <w:color w:val="auto"/>
        </w:rPr>
      </w:pPr>
    </w:p>
    <w:p>
      <w:pPr>
        <w:jc w:val="both"/>
        <w:ind w:firstLine="4"/>
        <w:spacing w:after="0" w:line="253" w:lineRule="auto"/>
        <w:rPr>
          <w:sz w:val="20"/>
          <w:szCs w:val="20"/>
          <w:color w:val="auto"/>
        </w:rPr>
      </w:pPr>
      <w:r>
        <w:rPr>
          <w:rFonts w:ascii="Times New Roman" w:cs="Times New Roman" w:eastAsia="Times New Roman" w:hAnsi="Times New Roman"/>
          <w:sz w:val="20"/>
          <w:szCs w:val="20"/>
          <w:color w:val="auto"/>
        </w:rPr>
        <w:t>The Participant hereby authorizes the Company and the Company’s representatives, including any broker(s) designated by the Company to discuss with and obtain all relevant information from all personnel, professional or not, involved in the administration and operation of the Plan. The Participant further authorizes the Employer, the Company, and any other Affiliate or Subsidiary to disclose and discuss the Plan with their respective advisors. The Participant further authorizes the Employer, Company, and any other Affiliate or Subsidiary to record such information and to keep such information in the Participant’s</w:t>
      </w:r>
    </w:p>
    <w:p>
      <w:pPr>
        <w:spacing w:after="0" w:line="200" w:lineRule="exact"/>
        <w:rPr>
          <w:sz w:val="20"/>
          <w:szCs w:val="20"/>
          <w:color w:val="auto"/>
        </w:rPr>
      </w:pPr>
    </w:p>
    <w:p>
      <w:pPr>
        <w:spacing w:after="0" w:line="28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I-5</w:t>
      </w:r>
    </w:p>
    <w:p>
      <w:pPr>
        <w:sectPr>
          <w:pgSz w:w="11900" w:h="16838" w:orient="portrait"/>
          <w:cols w:equalWidth="0" w:num="1">
            <w:col w:w="10860"/>
          </w:cols>
          <w:pgMar w:left="540" w:top="1440" w:right="499" w:bottom="1440" w:gutter="0" w:footer="0" w:header="0"/>
        </w:sectPr>
      </w:pPr>
    </w:p>
    <w:bookmarkStart w:id="90" w:name="page91"/>
    <w:bookmarkEnd w:id="90"/>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employee file. The Participant acknowledges that the Participant’s personal information, including any sensitive personal information, may be transferred or disclosed outside the Province of Quebec, including to the United States. Finally, the Participant acknowledges that the Company, the Employer or any other affiliate or other parties involved in the administration of the Plan use technology for profiling purposes and to make automated decisions that may have an impact on the Participant or the administration of the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color w:val="auto"/>
        </w:rPr>
        <w:t>. The Participant acknowledges that he or she is permitted to sell Shares acquired under the Plan,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sale of the Shares acquired under the Plan takes place outside of Canada.</w:t>
      </w:r>
    </w:p>
    <w:p>
      <w:pPr>
        <w:spacing w:after="0" w:line="219" w:lineRule="exact"/>
        <w:rPr>
          <w:sz w:val="20"/>
          <w:szCs w:val="20"/>
          <w:color w:val="auto"/>
        </w:rPr>
      </w:pPr>
    </w:p>
    <w:p>
      <w:pPr>
        <w:jc w:val="both"/>
        <w:ind w:right="160" w:firstLine="4"/>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Notification</w:t>
      </w:r>
      <w:r>
        <w:rPr>
          <w:rFonts w:ascii="Times New Roman" w:cs="Times New Roman" w:eastAsia="Times New Roman" w:hAnsi="Times New Roman"/>
          <w:sz w:val="20"/>
          <w:szCs w:val="20"/>
          <w:color w:val="auto"/>
        </w:rPr>
        <w:t>. The Participant is required to report any foreign specified property (including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acquired under the Plan) with a value exceeding C$100,000 on Form T1135 (Foreign Income Verification Statement) on an annual basis. The statement is due at the same time as the Participant’s annual tax return. The Restricted Stock Units must be reported (generally at a nil cost) if the $100,000 cost threshold is exceeded because of other foreign specified property the Participant holds at any time during the year. If Shares are acquired, their cost generally is the adjusted cost base (“ACB”) of the Shares. The ACB ordinarily would equal the fair market value of the Shares at the time of acquisition, but if the Participant owns other Shares, this ACB may have to be averaged with the ACB of the other Shares. The form must be filed by April 30 of the following year. The Participant is strongly advised to check with his or her personal advisor regarding the Participant’s reporting obligations.</w:t>
      </w:r>
    </w:p>
    <w:p>
      <w:pPr>
        <w:spacing w:after="0" w:line="3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u w:val="single" w:color="auto"/>
          <w:color w:val="auto"/>
        </w:rPr>
        <w:t>COLOMBIA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Nature of Grant</w:t>
      </w:r>
      <w:r>
        <w:rPr>
          <w:rFonts w:ascii="Times New Roman" w:cs="Times New Roman" w:eastAsia="Times New Roman" w:hAnsi="Times New Roman"/>
          <w:sz w:val="20"/>
          <w:szCs w:val="20"/>
          <w:color w:val="auto"/>
        </w:rPr>
        <w:t>. By electing to participate in the Plan, the Participant acknowledges and agrees that he or she has received a copy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and the Agreement, have read and understood the terms and conditions of the Plan and the Agreement and consent to participation in the Plan under the terms and conditions contained therein. In addition to the terms specified in the Plan and this Agreement, by participating in the Plan, the Participant expressly acknowledges and agrees that pursuant to Article 128 of the Colombian Labor Code, the Plan and related benefits do not constitute a component of the Participant's “salary” for any legal purpose.</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color w:val="auto"/>
        </w:rPr>
        <w:t>. The Shares are not and will not be registered with the Colombian registry of publicly traded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Registro Nacional de Valores y Emisores</w:t>
      </w:r>
      <w:r>
        <w:rPr>
          <w:rFonts w:ascii="Times New Roman" w:cs="Times New Roman" w:eastAsia="Times New Roman" w:hAnsi="Times New Roman"/>
          <w:sz w:val="20"/>
          <w:szCs w:val="20"/>
          <w:color w:val="auto"/>
        </w:rPr>
        <w:t>). Therefore, the Shares may not be offered to the public in Colombia. Nothing in the Agreement should be construed as making a public offer of securities in Colombia. An offer of Shares to employees will not be considered a public offer provided that it meets the conditions set forth in Article 6.1.1.1.1 in Decree 2555,2010. In the event that the Company, in its sole discretion, determines that the offer of the Plan in Colombia may constitute a “public offer of securities,” the Participant understands and agrees that the Company may, in its sole discretion, cease to offer the Plan in Colombia. In the event that the Company exercises its discretion to cease offering the Plan in Colombia, the Participant will no longer be permitted to participate in the Plan as of the date established by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Notification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must register their investments with the Central Bank of Colombia (Banco de la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República). The registration method will vary depending on whether cash is remitted from Colombia (either by the Participant or the Employer), or no cash consideration is paid at all. Upon liquidation of assets held abroad, the Participant must (i) cancel the registration with the Central Bank</w:t>
      </w:r>
    </w:p>
    <w:p>
      <w:pPr>
        <w:spacing w:after="0" w:line="200" w:lineRule="exact"/>
        <w:rPr>
          <w:sz w:val="20"/>
          <w:szCs w:val="20"/>
          <w:color w:val="auto"/>
        </w:rPr>
      </w:pPr>
    </w:p>
    <w:p>
      <w:pPr>
        <w:spacing w:after="0" w:line="27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I-6</w:t>
      </w:r>
    </w:p>
    <w:p>
      <w:pPr>
        <w:sectPr>
          <w:pgSz w:w="11900" w:h="16838" w:orient="portrait"/>
          <w:cols w:equalWidth="0" w:num="1">
            <w:col w:w="11020"/>
          </w:cols>
          <w:pgMar w:left="540" w:top="1264" w:right="339" w:bottom="1440" w:gutter="0" w:footer="0" w:header="0"/>
        </w:sectPr>
      </w:pPr>
    </w:p>
    <w:bookmarkStart w:id="91" w:name="page92"/>
    <w:bookmarkEnd w:id="91"/>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and (ii) repatriate the proceeds from the sale or liquidation to Colombia and file the appropriate Central Bank form (usually through the Participant's local bank). The Participant is personally responsible for complying with applicable exchange control requirements in Colombia.</w:t>
      </w:r>
    </w:p>
    <w:p>
      <w:pPr>
        <w:spacing w:after="0" w:line="20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Notification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must file an annual informative return with the Colombian Tax Office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detailing any assets held abroad. If the individual value of any of these assets exceeds a certain threshold, the Participant must describe each asset and indicate the jurisdiction in which it is located, its nature and its value.</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EGYPT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Notification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Participant transfers funds received upon settlement of Restricted Stock Units into Egypt,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is required to transfer the funds through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registered bank in Egypt.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Notification</w:t>
      </w:r>
      <w:r>
        <w:rPr>
          <w:rFonts w:ascii="Times New Roman" w:cs="Times New Roman" w:eastAsia="Times New Roman" w:hAnsi="Times New Roman"/>
          <w:sz w:val="20"/>
          <w:szCs w:val="20"/>
          <w:color w:val="auto"/>
        </w:rPr>
        <w:t>. Cross-border payments in excess of €12,500 (including transactions made in connection with the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securities) must be reported monthly to the German Federal Bank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If the Participant makes or receives a payment in excess of this amount in connection with the Participant’s participation in the Plan, the Participant must report the payment to Bundesbank electronically using the “General Statistics Reporting Portal” (“</w:t>
      </w:r>
      <w:r>
        <w:rPr>
          <w:rFonts w:ascii="Times New Roman" w:cs="Times New Roman" w:eastAsia="Times New Roman" w:hAnsi="Times New Roman"/>
          <w:sz w:val="20"/>
          <w:szCs w:val="20"/>
          <w:i w:val="1"/>
          <w:iCs w:val="1"/>
          <w:color w:val="auto"/>
        </w:rPr>
        <w:t>Allgemeines Meldeportal Statistik</w:t>
      </w:r>
      <w:r>
        <w:rPr>
          <w:rFonts w:ascii="Times New Roman" w:cs="Times New Roman" w:eastAsia="Times New Roman" w:hAnsi="Times New Roman"/>
          <w:sz w:val="20"/>
          <w:szCs w:val="20"/>
          <w:color w:val="auto"/>
        </w:rPr>
        <w:t>”) available via Bundesbank’s website (www.bundesbank.de).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Notification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Participant’s acquisition of Shares leads to a so- called qualified participation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point during the calendar year, the Participant will need to report the acquisition when he or she files a tax return for the relevant year. A qualified participation occurs only if</w:t>
      </w:r>
    </w:p>
    <w:p>
      <w:pPr>
        <w:spacing w:after="0" w:line="2" w:lineRule="exact"/>
        <w:rPr>
          <w:sz w:val="20"/>
          <w:szCs w:val="20"/>
          <w:color w:val="auto"/>
        </w:rPr>
      </w:pPr>
    </w:p>
    <w:p>
      <w:pPr>
        <w:ind w:right="20"/>
        <w:spacing w:after="0" w:line="253" w:lineRule="auto"/>
        <w:tabs>
          <w:tab w:leader="none" w:pos="24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owns 1% or more of the Company and the value of the Shares exceeds €150,000 or (ii) the Participant holds Shares exceeding 10% of the Company's total common stock.</w:t>
      </w:r>
    </w:p>
    <w:p>
      <w:pPr>
        <w:spacing w:after="0" w:line="200" w:lineRule="exact"/>
        <w:rPr>
          <w:sz w:val="20"/>
          <w:szCs w:val="20"/>
          <w:color w:val="auto"/>
        </w:rPr>
      </w:pPr>
    </w:p>
    <w:p>
      <w:pPr>
        <w:spacing w:after="0" w:line="28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I-7</w:t>
      </w:r>
    </w:p>
    <w:p>
      <w:pPr>
        <w:sectPr>
          <w:pgSz w:w="11900" w:h="16838" w:orient="portrait"/>
          <w:cols w:equalWidth="0" w:num="1">
            <w:col w:w="10860"/>
          </w:cols>
          <w:pgMar w:left="540" w:top="1440" w:right="499" w:bottom="1440" w:gutter="0" w:footer="0" w:header="0"/>
        </w:sectPr>
      </w:pPr>
    </w:p>
    <w:bookmarkStart w:id="92" w:name="page93"/>
    <w:bookmarkEnd w:id="92"/>
    <w:p>
      <w:pPr>
        <w:spacing w:after="0" w:line="1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HONG KONG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0"/>
          <w:szCs w:val="20"/>
          <w:b w:val="1"/>
          <w:bCs w:val="1"/>
          <w:u w:val="single" w:color="auto"/>
          <w:color w:val="auto"/>
        </w:rPr>
        <w:t>Restriction on Sale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Should any portion of the Restricted Stock Units vest within six months of the Grant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agrees that the Participant will not dispose of the Shares acquired at vesting prior to the six-month anniversary of the Grant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jc w:val="both"/>
        <w:ind w:firstLine="4"/>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WARNING: The Restricted Stock Units and any Shares to be issued upon vesting do not constitute a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offering of securities under Hong Kong law and are available only to employees of the Company or any other Subsidiary. The Plan, the Agreement and other incidental communication materials related to the Restricted Stock Units have not been prepared in accordance with and are not intended to constitute a ‘prospectus’ for a public offering of securities under the applicable companies and securities legislation in Hong Kong, and the documents have not been reviewed by any regulatory authority in Hong Kong. The Plan, the Agreement and the incidental communication materials are intended only for the Participant’s personal use and not for distribution to any other persons. If the Participant has any questions or concerns about any of the contents of the Plan, the Agreement or any other incidental communication materials, the Participant should obtain independent professional advice.</w:t>
      </w: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firstLine="4"/>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Notification</w:t>
      </w:r>
      <w:r>
        <w:rPr>
          <w:rFonts w:ascii="Times New Roman" w:cs="Times New Roman" w:eastAsia="Times New Roman" w:hAnsi="Times New Roman"/>
          <w:sz w:val="20"/>
          <w:szCs w:val="20"/>
          <w:color w:val="auto"/>
        </w:rPr>
        <w:t>. It is the Participant’s responsibility to comply with any applicable exchange control regulations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India. The Participant must repatriate the proceeds from the sale of Shares or the receipt of any dividends (if applicable) to India within a certain time period after receipt. The Participant must retain the foreign inward remittance certificate received from the bank where the foreign currency is deposited in the event that the Reserve Bank of India or the Employer requests proof of repatriation. It is the Participant’s responsibility to comply with these requirements.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Notification</w:t>
      </w:r>
      <w:r>
        <w:rPr>
          <w:rFonts w:ascii="Times New Roman" w:cs="Times New Roman" w:eastAsia="Times New Roman" w:hAnsi="Times New Roman"/>
          <w:sz w:val="20"/>
          <w:szCs w:val="20"/>
          <w:color w:val="auto"/>
        </w:rPr>
        <w:t>. The Participant is required to declare any foreign bank accounts for which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signing authority and any foreign financial assets (including Shares acquired under the Plan) in his or her annual tax return. It is the Participant’s responsibility to comply with this reporting obligation and the Participant should consult his or her personal advisor in this regard.</w:t>
      </w:r>
    </w:p>
    <w:p>
      <w:pPr>
        <w:spacing w:after="0" w:line="1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Compliance with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accepting the Restricted Stock Units, the Participant agrees to comply with all applicable Japanese laws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 and pay any and all applicable Tax-Related Items associated with the receipt of Restricted Stock Units and any payment made to the Participant upon vesting of Restricted Stock Units. The Participant acknowledges that the Japanese tax authorities are aware that employees of Japanese affiliates of U.S. companies may earn substantial income as a result of participation in an equity incentive plan, and may audit the tax returns of such employees to confirm that they have correctly reported the resulting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3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I-8</w:t>
      </w:r>
    </w:p>
    <w:p>
      <w:pPr>
        <w:sectPr>
          <w:pgSz w:w="11900" w:h="16838" w:orient="portrait"/>
          <w:cols w:equalWidth="0" w:num="1">
            <w:col w:w="10860"/>
          </w:cols>
          <w:pgMar w:left="540" w:top="1440" w:right="499" w:bottom="1440" w:gutter="0" w:footer="0" w:header="0"/>
        </w:sectPr>
      </w:pPr>
    </w:p>
    <w:bookmarkStart w:id="93" w:name="page94"/>
    <w:bookmarkEnd w:id="93"/>
    <w:p>
      <w:pPr>
        <w:spacing w:after="0" w:line="3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Notification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Japanese residents acquiring Shares valued at more than ¥100,000,000 in a single transaction must file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Acquisition Report with the Ministry of Finance through the Bank of Japan within 20 days of the acquisition of Shares.</w:t>
      </w:r>
    </w:p>
    <w:p>
      <w:pPr>
        <w:spacing w:after="0" w:line="138"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Notification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Participant holds assets outside of Japan with a total net fair market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exceeding ¥50,000,000 as of December 31 (each year), the Participant is required to comply with annual tax reporting obligations with respect to such assets by March 15 of the following year. The Participant is advised to consult with a personal tax advisor to ensure compliance with applicable reporting requirements.</w:t>
      </w:r>
    </w:p>
    <w:p>
      <w:pPr>
        <w:spacing w:after="0" w:line="200" w:lineRule="exact"/>
        <w:rPr>
          <w:sz w:val="20"/>
          <w:szCs w:val="20"/>
          <w:color w:val="auto"/>
        </w:rPr>
      </w:pPr>
    </w:p>
    <w:p>
      <w:pPr>
        <w:spacing w:after="0" w:line="2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Labor Law Acknowledgement</w:t>
      </w:r>
      <w:r>
        <w:rPr>
          <w:rFonts w:ascii="Times New Roman" w:cs="Times New Roman" w:eastAsia="Times New Roman" w:hAnsi="Times New Roman"/>
          <w:sz w:val="20"/>
          <w:szCs w:val="20"/>
          <w:color w:val="auto"/>
        </w:rPr>
        <w:t>. The following provision applies if the Participant resides in Mexico and receives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Company:</w:t>
      </w:r>
    </w:p>
    <w:p>
      <w:pPr>
        <w:spacing w:after="0" w:line="21" w:lineRule="exact"/>
        <w:rPr>
          <w:sz w:val="20"/>
          <w:szCs w:val="20"/>
          <w:color w:val="auto"/>
        </w:rPr>
      </w:pPr>
    </w:p>
    <w:p>
      <w:pPr>
        <w:ind w:left="1440" w:hanging="463"/>
        <w:spacing w:after="0"/>
        <w:tabs>
          <w:tab w:leader="none" w:pos="14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participation in the Plan does not constitute an acquired right;</w:t>
      </w:r>
    </w:p>
    <w:p>
      <w:pPr>
        <w:spacing w:after="0" w:line="17" w:lineRule="exact"/>
        <w:rPr>
          <w:rFonts w:ascii="Times New Roman" w:cs="Times New Roman" w:eastAsia="Times New Roman" w:hAnsi="Times New Roman"/>
          <w:sz w:val="22"/>
          <w:szCs w:val="22"/>
          <w:color w:val="auto"/>
        </w:rPr>
      </w:pPr>
    </w:p>
    <w:p>
      <w:pPr>
        <w:ind w:left="1440" w:hanging="463"/>
        <w:spacing w:after="0"/>
        <w:tabs>
          <w:tab w:leader="none" w:pos="14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Plan and the Participant's participation in it are offered by the Company on a wholly discretionary basis;</w:t>
      </w:r>
    </w:p>
    <w:p>
      <w:pPr>
        <w:spacing w:after="0" w:line="11" w:lineRule="exact"/>
        <w:rPr>
          <w:rFonts w:ascii="Times New Roman" w:cs="Times New Roman" w:eastAsia="Times New Roman" w:hAnsi="Times New Roman"/>
          <w:sz w:val="22"/>
          <w:szCs w:val="22"/>
          <w:color w:val="auto"/>
        </w:rPr>
      </w:pPr>
    </w:p>
    <w:p>
      <w:pPr>
        <w:ind w:left="1440" w:hanging="463"/>
        <w:spacing w:after="0" w:line="224" w:lineRule="auto"/>
        <w:tabs>
          <w:tab w:leader="none" w:pos="14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participation in the Plan is voluntary;</w:t>
      </w:r>
    </w:p>
    <w:p>
      <w:pPr>
        <w:spacing w:after="0" w:line="6" w:lineRule="exact"/>
        <w:rPr>
          <w:rFonts w:ascii="Times New Roman" w:cs="Times New Roman" w:eastAsia="Times New Roman" w:hAnsi="Times New Roman"/>
          <w:sz w:val="22"/>
          <w:szCs w:val="22"/>
          <w:color w:val="auto"/>
        </w:rPr>
      </w:pPr>
    </w:p>
    <w:p>
      <w:pPr>
        <w:ind w:left="1300" w:right="100" w:hanging="323"/>
        <w:spacing w:after="0" w:line="231" w:lineRule="auto"/>
        <w:tabs>
          <w:tab w:leader="none" w:pos="153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and its Subsidiaries and Affiliates are not responsible for any decrease in the value of any Shares acquired under the Plan;</w:t>
      </w:r>
    </w:p>
    <w:p>
      <w:pPr>
        <w:spacing w:after="0" w:line="1" w:lineRule="exact"/>
        <w:rPr>
          <w:rFonts w:ascii="Times New Roman" w:cs="Times New Roman" w:eastAsia="Times New Roman" w:hAnsi="Times New Roman"/>
          <w:sz w:val="22"/>
          <w:szCs w:val="22"/>
          <w:color w:val="auto"/>
        </w:rPr>
      </w:pPr>
    </w:p>
    <w:p>
      <w:pPr>
        <w:jc w:val="both"/>
        <w:ind w:left="1300" w:right="60" w:hanging="323"/>
        <w:spacing w:after="0" w:line="246" w:lineRule="auto"/>
        <w:tabs>
          <w:tab w:leader="none" w:pos="14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accepting the Restricted Stock Units, the Participant acknowledges that the Company, with registered offices in the U.S.A. at 19122 US Highway 281N, Suite 128, San Antonio, TX 78258-7667, is solely responsible for the administration of the Plan. The Participant further acknowledges that his or her participation in the Plan, the grant of the Restricted Stock Units and any acquisition of Shares under the Plan do not constitute an employment relationship between the Participant and the Company because the Participant is participating in the Plan on a wholly commercial basis and his or her sole Employer is Rackspace Mexico S. de R.L. de C.V. Based on the foregoing, the Participant expressly acknowledges that the Plan and the benefits that he or she may derive from participation in the Plan do not establish any rights between the Participant and the Employer and do not form part of the employment conditions and/or benefits provided by the Employer, and any modification of the Plan or its termination shall not constitute a change or impairment of the terms and conditions of the Participant's employment;</w:t>
      </w:r>
    </w:p>
    <w:p>
      <w:pPr>
        <w:spacing w:after="0" w:line="8" w:lineRule="exact"/>
        <w:rPr>
          <w:rFonts w:ascii="Times New Roman" w:cs="Times New Roman" w:eastAsia="Times New Roman" w:hAnsi="Times New Roman"/>
          <w:sz w:val="22"/>
          <w:szCs w:val="22"/>
          <w:color w:val="auto"/>
        </w:rPr>
      </w:pPr>
    </w:p>
    <w:p>
      <w:pPr>
        <w:jc w:val="both"/>
        <w:ind w:left="1300" w:right="60" w:hanging="323"/>
        <w:spacing w:after="0"/>
        <w:tabs>
          <w:tab w:leader="none" w:pos="140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 further understands that his or her participation in the Plan is the result of a unilateral and discretionary decision of the Company and, therefore, the Company reserves the absolute right to amend and/or discontinue the Participant's participation in the Plan at any time, without any liability to the Participant; and</w:t>
      </w:r>
    </w:p>
    <w:p>
      <w:pPr>
        <w:spacing w:after="0" w:line="2" w:lineRule="exact"/>
        <w:rPr>
          <w:rFonts w:ascii="Times New Roman" w:cs="Times New Roman" w:eastAsia="Times New Roman" w:hAnsi="Times New Roman"/>
          <w:sz w:val="22"/>
          <w:szCs w:val="22"/>
          <w:color w:val="auto"/>
        </w:rPr>
      </w:pPr>
    </w:p>
    <w:p>
      <w:pPr>
        <w:jc w:val="both"/>
        <w:ind w:left="1300" w:right="60" w:hanging="323"/>
        <w:spacing w:after="0" w:line="234" w:lineRule="auto"/>
        <w:tabs>
          <w:tab w:leader="none" w:pos="148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Finally, the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Spanish Translation</w:t>
      </w:r>
    </w:p>
    <w:p>
      <w:pPr>
        <w:spacing w:after="0" w:line="229" w:lineRule="exact"/>
        <w:rPr>
          <w:sz w:val="20"/>
          <w:szCs w:val="20"/>
          <w:color w:val="auto"/>
        </w:rPr>
      </w:pPr>
    </w:p>
    <w:p>
      <w:pPr>
        <w:ind w:left="1440" w:hanging="463"/>
        <w:spacing w:after="0"/>
        <w:tabs>
          <w:tab w:leader="none" w:pos="1440" w:val="left"/>
        </w:tabs>
        <w:numPr>
          <w:ilvl w:val="0"/>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La participación del beneficiario en el Plan no constituye un derecho adquirido;</w:t>
      </w:r>
    </w:p>
    <w:p>
      <w:pPr>
        <w:spacing w:after="0" w:line="200" w:lineRule="exact"/>
        <w:rPr>
          <w:rFonts w:ascii="Times New Roman" w:cs="Times New Roman" w:eastAsia="Times New Roman" w:hAnsi="Times New Roman"/>
          <w:sz w:val="22"/>
          <w:szCs w:val="22"/>
          <w:i w:val="1"/>
          <w:iCs w:val="1"/>
          <w:color w:val="auto"/>
        </w:rPr>
      </w:pPr>
    </w:p>
    <w:p>
      <w:pPr>
        <w:spacing w:after="0" w:line="302" w:lineRule="exact"/>
        <w:rPr>
          <w:rFonts w:ascii="Times New Roman" w:cs="Times New Roman" w:eastAsia="Times New Roman" w:hAnsi="Times New Roman"/>
          <w:sz w:val="22"/>
          <w:szCs w:val="22"/>
          <w:i w:val="1"/>
          <w:iCs w:val="1"/>
          <w:color w:val="auto"/>
        </w:rPr>
      </w:pPr>
    </w:p>
    <w:p>
      <w:pPr>
        <w:ind w:left="5160"/>
        <w:spacing w:after="0"/>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I-9</w:t>
      </w:r>
    </w:p>
    <w:p>
      <w:pPr>
        <w:sectPr>
          <w:pgSz w:w="11900" w:h="16838" w:orient="portrait"/>
          <w:cols w:equalWidth="0" w:num="1">
            <w:col w:w="10920"/>
          </w:cols>
          <w:pgMar w:left="540" w:top="1440" w:right="439" w:bottom="1440" w:gutter="0" w:footer="0" w:header="0"/>
        </w:sectPr>
      </w:pPr>
    </w:p>
    <w:bookmarkStart w:id="94" w:name="page95"/>
    <w:bookmarkEnd w:id="94"/>
    <w:p>
      <w:pPr>
        <w:ind w:left="1300" w:right="1620" w:hanging="323"/>
        <w:spacing w:after="0" w:line="241" w:lineRule="auto"/>
        <w:tabs>
          <w:tab w:leader="none" w:pos="1444" w:val="left"/>
        </w:tabs>
        <w:numPr>
          <w:ilvl w:val="0"/>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El Plan y la participación del beneficiario en el mismo, son ofrecidos por la Compañía de manera completamente discrecional;</w:t>
      </w:r>
    </w:p>
    <w:p>
      <w:pPr>
        <w:ind w:left="1440" w:hanging="463"/>
        <w:spacing w:after="0" w:line="224" w:lineRule="auto"/>
        <w:tabs>
          <w:tab w:leader="none" w:pos="1440" w:val="left"/>
        </w:tabs>
        <w:numPr>
          <w:ilvl w:val="0"/>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La participación del beneficiario en el Plan es voluntaria;</w:t>
      </w:r>
    </w:p>
    <w:p>
      <w:pPr>
        <w:spacing w:after="0" w:line="6" w:lineRule="exact"/>
        <w:rPr>
          <w:rFonts w:ascii="Times New Roman" w:cs="Times New Roman" w:eastAsia="Times New Roman" w:hAnsi="Times New Roman"/>
          <w:sz w:val="22"/>
          <w:szCs w:val="22"/>
          <w:i w:val="1"/>
          <w:iCs w:val="1"/>
          <w:color w:val="auto"/>
        </w:rPr>
      </w:pPr>
    </w:p>
    <w:p>
      <w:pPr>
        <w:ind w:left="1300" w:right="280" w:hanging="323"/>
        <w:spacing w:after="0" w:line="245" w:lineRule="auto"/>
        <w:tabs>
          <w:tab w:leader="none" w:pos="1450" w:val="left"/>
        </w:tabs>
        <w:numPr>
          <w:ilvl w:val="0"/>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La Compañía y sus subsidiarias o afiliadas no son responsables de ninguna disminuciónen el valor de las acciones adquiridas dentro del Plan;</w:t>
      </w:r>
    </w:p>
    <w:p>
      <w:pPr>
        <w:jc w:val="both"/>
        <w:ind w:left="1300" w:hanging="323"/>
        <w:spacing w:after="0" w:line="235" w:lineRule="auto"/>
        <w:tabs>
          <w:tab w:leader="none" w:pos="1459" w:val="left"/>
        </w:tabs>
        <w:numPr>
          <w:ilvl w:val="0"/>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Al aceptar las Unidades de Acción Restringidas, el beneficiario reconoce que la Compañía, con domicilio registrado en 19122 US Highway 281N, Suite 128, San Antonio, TX 78258-7667, E.U.A. es la única responsable de la administración del Plan. Además, el beneficiario reconoce que su participación en el Plan, la concesión de Unidades de Acción Restringidas y cualquier adquisición de acciones bajo el Plan no constituyen una relación laboral entre el beneficiario y la Compañía, ya que el beneficiario está participando en el Plan sobre una base comercial y su único empleador es Rackspace México S. de R.L. de C.V. Por lo anterior, el beneficiario expresamente reconoce que el Plan y los beneficios que puedan derivarse de su participación no establecen ningún derecho entre el beneficiario y su empleador y que no forman parte de las condiciones de trabajo y/o beneficios otorgados por su empleador, y cualquier modificación del Plan o su terminación no constituirá un cambio o modificación de los términos y condiciones de empleo del beneficiario;</w:t>
      </w:r>
    </w:p>
    <w:p>
      <w:pPr>
        <w:spacing w:after="0" w:line="7" w:lineRule="exact"/>
        <w:rPr>
          <w:rFonts w:ascii="Times New Roman" w:cs="Times New Roman" w:eastAsia="Times New Roman" w:hAnsi="Times New Roman"/>
          <w:sz w:val="22"/>
          <w:szCs w:val="22"/>
          <w:i w:val="1"/>
          <w:iCs w:val="1"/>
          <w:color w:val="auto"/>
        </w:rPr>
      </w:pPr>
    </w:p>
    <w:p>
      <w:pPr>
        <w:jc w:val="both"/>
        <w:ind w:left="1300" w:right="20" w:hanging="323"/>
        <w:spacing w:after="0" w:line="236" w:lineRule="auto"/>
        <w:tabs>
          <w:tab w:leader="none" w:pos="1517" w:val="left"/>
        </w:tabs>
        <w:numPr>
          <w:ilvl w:val="0"/>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Además, el beneficiario comprende que su participación en el Plan es el resultado de una decisión unilateral y discrecional de la Compañía, por lo que esta se reserva el derecho absoluto de modificar y/o suspender la participación del beneficiario en el Plan en cualquier momento, sin responsabilidad alguna del beneficiario; y</w:t>
      </w:r>
    </w:p>
    <w:p>
      <w:pPr>
        <w:jc w:val="both"/>
        <w:ind w:left="1300" w:hanging="324"/>
        <w:spacing w:after="0"/>
        <w:tabs>
          <w:tab w:leader="none" w:pos="1461" w:val="left"/>
        </w:tabs>
        <w:numPr>
          <w:ilvl w:val="0"/>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Finalmente, el beneficiario manifiesta que no se reserva acción o derecho alguno que origine una demanda en contra de la Compañía, por cualquier indemnización o daño relacionada con las disposiciones del Plan o a los beneficios otorgados en el mismo, y en consecuencia el beneficiario deslinda de total responsabilidad a la Compañía, sus subsidiarias, afiliadas, sucursales, oficinas de representación, sus accionistas, directores, agentes y representantes legales de cualquier demanda que pudiera surgir.</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NEW ZEALAND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color w:val="auto"/>
        </w:rPr>
        <w:t>. WARNING: This is an offer of rights to receive Shares upon vesting of the Restricted Stock Units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terms of the Agreement and the Plan. The Shares, once acquired, will give the Participant a stake of ownership in the Company. The Participant may receive a return if dividends are paid on the Shares.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If the Company runs into financial difficulties and is wound up, the Participant will be paid only after all creditors and holders of preference shares (if any) have been paid. The Participant may lose some or all of his or her investment.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New Zealand law normally requires people who offer financial products to give information to investors before they invest. This information is designed to help investors make an informed decision. The usual rules do not apply to this offer because it is made under an employee share purchase scheme. As a result, the Participant may not be given all the information usually required. The Participant will also have fewer other legal protections for this investment. The Participant acknowledges that he or she should ask questions, read all documents carefully, and seek independent financial advice before committing himself or herself.</w:t>
      </w:r>
    </w:p>
    <w:p>
      <w:pPr>
        <w:spacing w:after="0" w:line="200" w:lineRule="exact"/>
        <w:rPr>
          <w:sz w:val="20"/>
          <w:szCs w:val="20"/>
          <w:color w:val="auto"/>
        </w:rPr>
      </w:pPr>
    </w:p>
    <w:p>
      <w:pPr>
        <w:spacing w:after="0" w:line="2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I-10</w:t>
      </w:r>
    </w:p>
    <w:p>
      <w:pPr>
        <w:sectPr>
          <w:pgSz w:w="11900" w:h="16838" w:orient="portrait"/>
          <w:cols w:equalWidth="0" w:num="1">
            <w:col w:w="10860"/>
          </w:cols>
          <w:pgMar w:left="540" w:top="1287" w:right="499" w:bottom="1440" w:gutter="0" w:footer="0" w:header="0"/>
        </w:sectPr>
      </w:pPr>
    </w:p>
    <w:bookmarkStart w:id="95" w:name="page96"/>
    <w:bookmarkEnd w:id="95"/>
    <w:p>
      <w:pPr>
        <w:jc w:val="both"/>
        <w:ind w:left="120" w:right="60"/>
        <w:spacing w:after="0" w:line="261" w:lineRule="auto"/>
        <w:rPr>
          <w:sz w:val="20"/>
          <w:szCs w:val="20"/>
          <w:color w:val="auto"/>
        </w:rPr>
      </w:pPr>
      <w:r>
        <w:rPr>
          <w:rFonts w:ascii="Times New Roman" w:cs="Times New Roman" w:eastAsia="Times New Roman" w:hAnsi="Times New Roman"/>
          <w:sz w:val="20"/>
          <w:szCs w:val="20"/>
          <w:color w:val="auto"/>
        </w:rPr>
        <w:t>The Shares are quoted on the Nasdaq Global Select Market. This means that if the Participant acquires Shares under the Plan, the Participant may be able to sell such Shares on the Nasdaq Global Select Market if there are interested buyers. The price will depend on the demand for the Shares.</w:t>
      </w:r>
    </w:p>
    <w:p>
      <w:pPr>
        <w:spacing w:after="0" w:line="181" w:lineRule="exact"/>
        <w:rPr>
          <w:sz w:val="20"/>
          <w:szCs w:val="20"/>
          <w:color w:val="auto"/>
        </w:rPr>
      </w:pPr>
    </w:p>
    <w:p>
      <w:pPr>
        <w:jc w:val="both"/>
        <w:ind w:left="120" w:right="60"/>
        <w:spacing w:after="0" w:line="258" w:lineRule="auto"/>
        <w:rPr>
          <w:sz w:val="20"/>
          <w:szCs w:val="20"/>
          <w:color w:val="auto"/>
        </w:rPr>
      </w:pPr>
      <w:r>
        <w:rPr>
          <w:rFonts w:ascii="Times New Roman" w:cs="Times New Roman" w:eastAsia="Times New Roman" w:hAnsi="Times New Roman"/>
          <w:sz w:val="20"/>
          <w:szCs w:val="20"/>
          <w:color w:val="auto"/>
        </w:rPr>
        <w:t xml:space="preserve">For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 xml:space="preserve">, as well as on the Company’s “Investor Relations” website at </w:t>
      </w:r>
      <w:r>
        <w:rPr>
          <w:rFonts w:ascii="Times New Roman" w:cs="Times New Roman" w:eastAsia="Times New Roman" w:hAnsi="Times New Roman"/>
          <w:sz w:val="20"/>
          <w:szCs w:val="20"/>
          <w:u w:val="single" w:color="auto"/>
          <w:color w:val="0000FF"/>
        </w:rPr>
        <w:t>https://www.rackspace.com/about/investor-relations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left="120" w:right="60"/>
        <w:spacing w:after="0" w:line="271" w:lineRule="auto"/>
        <w:rPr>
          <w:sz w:val="20"/>
          <w:szCs w:val="20"/>
          <w:color w:val="auto"/>
        </w:rPr>
      </w:pPr>
      <w:r>
        <w:rPr>
          <w:rFonts w:ascii="Times New Roman" w:cs="Times New Roman" w:eastAsia="Times New Roman" w:hAnsi="Times New Roman"/>
          <w:sz w:val="19"/>
          <w:szCs w:val="19"/>
          <w:b w:val="1"/>
          <w:bCs w:val="1"/>
          <w:u w:val="single" w:color="auto"/>
          <w:color w:val="auto"/>
        </w:rPr>
        <w:t>Foreign Asset/Account Reporting Notifications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Polish residents holding foreign securities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and/or maintaining accounts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abroad must report information to the National Bank of Poland on transactions and balances regarding such securities and cash deposited in such accounts if the value of such securities and cash (when combined with all other assets possessed abroad) exceeds certain thresholds. If required, the reports must be filed on a quarterly basis on special forms that are available on the website of the National Bank of Poland. Polish residents should consult with their personal tax advisor to determine their personal reporting obligations.</w:t>
      </w:r>
    </w:p>
    <w:p>
      <w:pPr>
        <w:spacing w:after="0" w:line="200" w:lineRule="exact"/>
        <w:rPr>
          <w:sz w:val="20"/>
          <w:szCs w:val="20"/>
          <w:color w:val="auto"/>
        </w:rPr>
      </w:pPr>
    </w:p>
    <w:p>
      <w:pPr>
        <w:spacing w:after="0" w:line="214" w:lineRule="exact"/>
        <w:rPr>
          <w:sz w:val="20"/>
          <w:szCs w:val="20"/>
          <w:color w:val="auto"/>
        </w:rPr>
      </w:pPr>
    </w:p>
    <w:p>
      <w:pPr>
        <w:jc w:val="both"/>
        <w:ind w:left="120" w:right="60"/>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Notification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Transfers of funds into and out of Poland in excess of €15,000 (or PLN 15,000 if such transfer of funds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connected with business activity of an entrepreneur) must be made via a bank account held at a bank in Poland. Additionally, Polish residents are required to store all documents connected with any foreign exchange transactions that Polish residents are engaged in for a period of five years, as measured from the end of the year in which such transaction occurred.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SAUDI ARABIA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color w:val="auto"/>
        </w:rPr>
        <w:t>. The Agreement may not be distributed in the Kingdom of Saudi Arabia except to such persons as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under the Rules on the Offer of Securities and Continuing Obligations issued by the Capital Market Authority.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Capital Market Authority does not make any representation as to the accuracy or completeness of the Agreement, and expressly disclaims any liability whatsoever for any loss arising from, or incurred in reliance upon, any part of the Agreement. The Participant is hereby advised to conduct the Participant's own due diligence on the accuracy of the information relating to the shares. If the Participant does not understand the contents of the Agreement, the Participant should consult an authorized financial advisor.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83"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color w:val="auto"/>
        </w:rPr>
        <w:t>. The Participant agrees that any Shares acquired pursuant to the Restricted Stock Units will not be offered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sale in Singapore prior to the six-month anniversary of the Date of</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I-11</w:t>
      </w:r>
    </w:p>
    <w:p>
      <w:pPr>
        <w:sectPr>
          <w:pgSz w:w="11900" w:h="16838" w:orient="portrait"/>
          <w:cols w:equalWidth="0" w:num="1">
            <w:col w:w="11040"/>
          </w:cols>
          <w:pgMar w:left="420" w:top="1345" w:right="4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20"/>
          <w:szCs w:val="20"/>
          <w:color w:val="auto"/>
        </w:rPr>
        <w:t>Grant, unless such sale or offer is made pursuant to the exemptions under Part XIII Division (1) Subdivision (4) (other than section 280) of the Securities and Futures Act (Chapter 289, 2006 Ed.) (“SFA”), or pursuant to, and in accordance with the conditions of, any other applicable provisions of the SFA.</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color w:val="auto"/>
        </w:rPr>
        <w:t>. The grant of the Restricted Stock Units is being made pursuant to the “Qualifying Person” exemption”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section 273(1)(f) of the SFA under which it is exempt from the prospectus and registration requirements and is not made with a view to the underlying Shares being subsequently offered for sale to any other party. The Plan has not been and will not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lodged or registered as a prospectus with the Monetary Authority of Singapore.</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u w:val="single" w:color="auto"/>
          <w:color w:val="auto"/>
        </w:rPr>
        <w:t>Director Notification Obligation</w:t>
      </w:r>
      <w:r>
        <w:rPr>
          <w:rFonts w:ascii="Times New Roman" w:cs="Times New Roman" w:eastAsia="Times New Roman" w:hAnsi="Times New Roman"/>
          <w:sz w:val="20"/>
          <w:szCs w:val="20"/>
          <w:color w:val="auto"/>
        </w:rPr>
        <w:t>. If the Participant is a director, associate director or shadow director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Singapore Affiliate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Subsidiary, the Participant must notify the Singapore Affiliate or Subsidiary in writing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Restricted Stock Units, Shares, etc.) in the Company or any Affiliate or Subsidiary within two business days of (i) acquiring or disposing of such interest, (ii) any change in a previously 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sale of Shares), or (iii) becoming a director, associate director or shadow director.</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1 A shadow director is an individual who is not on the board of directors of the Singapore Affiliate or Subsidiary but who has sufficient control so that the board of directors of the Singapore Affiliate or Subsidiary acts in accordance with the directions or instructions of the individual.</w:t>
      </w:r>
    </w:p>
    <w:p>
      <w:pPr>
        <w:spacing w:after="0" w:line="2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Responsibility for Taxes</w:t>
      </w:r>
      <w:r>
        <w:rPr>
          <w:rFonts w:ascii="Times New Roman" w:cs="Times New Roman" w:eastAsia="Times New Roman" w:hAnsi="Times New Roman"/>
          <w:sz w:val="20"/>
          <w:szCs w:val="20"/>
          <w:color w:val="auto"/>
        </w:rPr>
        <w:t>. The following provision supplements Section 8 of the Agreement:</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Without limiting the Company’s and the Employer’s authority to satisfy their withholding obligations for Tax-Related Items as set forth in Section 8 of the Agreement, by enrolling in the Plan, the Participant authorizes the Company and/or the Employer to withhold Shares or to sell Shares otherwise deliverable to the Participant upon vesting/settlement to satisfy Tax-Related Items, regardless of whether the Company and/or the Employer has an obligation to withhold such Tax-Related Items.</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Because the offer of the Restricted Stock Units is considered a private offering in Switzerland; it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registration in Switzerland. Neither this document nor any other materials relating to the Restricted Stock Units (i) constitute a prospectus according to articles 35 et seq. of the Swiss Federal Act on Financial Services (“</w:t>
      </w:r>
      <w:r>
        <w:rPr>
          <w:rFonts w:ascii="Times New Roman" w:cs="Times New Roman" w:eastAsia="Times New Roman" w:hAnsi="Times New Roman"/>
          <w:sz w:val="20"/>
          <w:szCs w:val="20"/>
          <w:u w:val="single" w:color="auto"/>
          <w:color w:val="auto"/>
        </w:rPr>
        <w:t>FinSA</w:t>
      </w:r>
      <w:r>
        <w:rPr>
          <w:rFonts w:ascii="Times New Roman" w:cs="Times New Roman" w:eastAsia="Times New Roman" w:hAnsi="Times New Roman"/>
          <w:sz w:val="20"/>
          <w:szCs w:val="20"/>
          <w:color w:val="auto"/>
        </w:rPr>
        <w:t>”), (ii) may be publicly distributed nor otherwise made publicly available in Switzerland to any person other than the Participant or (iii) has been or will be filed with, approved or supervised by any Swiss reviewing body according to article 51 FinSA or any Swiss regulatory authority, including the Swiss Financial Market Supervisory Authority (“</w:t>
      </w:r>
      <w:r>
        <w:rPr>
          <w:rFonts w:ascii="Times New Roman" w:cs="Times New Roman" w:eastAsia="Times New Roman" w:hAnsi="Times New Roman"/>
          <w:sz w:val="20"/>
          <w:szCs w:val="20"/>
          <w:u w:val="single" w:color="auto"/>
          <w:color w:val="auto"/>
        </w:rPr>
        <w:t>FINMA</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UNITED ARAB EMIRATES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Notification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is being offered only to Eligible Individuals and is in the nature of providing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incentives to Eligible Individuals. Any documents related to participation in</w:t>
      </w:r>
    </w:p>
    <w:p>
      <w:pPr>
        <w:spacing w:after="0" w:line="200" w:lineRule="exact"/>
        <w:rPr>
          <w:sz w:val="20"/>
          <w:szCs w:val="20"/>
          <w:color w:val="auto"/>
        </w:rPr>
      </w:pPr>
    </w:p>
    <w:p>
      <w:pPr>
        <w:spacing w:after="0" w:line="24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I-12</w:t>
      </w:r>
    </w:p>
    <w:p>
      <w:pPr>
        <w:sectPr>
          <w:pgSz w:w="11900" w:h="16838" w:orient="portrait"/>
          <w:cols w:equalWidth="0" w:num="1">
            <w:col w:w="10860"/>
          </w:cols>
          <w:pgMar w:left="540" w:top="1264" w:right="499" w:bottom="1440" w:gutter="0" w:footer="0" w:header="0"/>
        </w:sectPr>
      </w:pPr>
    </w:p>
    <w:bookmarkStart w:id="97" w:name="page98"/>
    <w:bookmarkEnd w:id="97"/>
    <w:p>
      <w:pPr>
        <w:spacing w:after="0" w:line="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Plan, including the Plan, the Agreement and any other grant documents (“Restricted Stock Unit Documents”), are intended for distribution only to such Eligible Individuals and must not be delivered to, or relied on by, any other person. The United Arab Emirates securities or financial/economic authorities have no responsibility for reviewing or verifying any Restricted Stock Unit Documents and have not approved the Restricted Stock Unit Documents nor taken steps to verify the information set out in them, and thus, are not responsible for their content.</w:t>
      </w:r>
    </w:p>
    <w:p>
      <w:pPr>
        <w:spacing w:after="0" w:line="173"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9"/>
          <w:szCs w:val="19"/>
          <w:color w:val="auto"/>
        </w:rPr>
        <w:t>The securities to which this statement relates may be illiquid and/or subject to restrictions on their resale. Prospective purchasers of the securities offered should conduct their own due diligence on the securities. The Participant is aware that he or she should, as a prospective stockholder, conduct his or her own due diligence on the securities. The Participant acknowledges that if he or she does not understand the contents of the Restricted Stock Unit Documents, the Participant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Settlement</w:t>
      </w:r>
      <w:r>
        <w:rPr>
          <w:rFonts w:ascii="Times New Roman" w:cs="Times New Roman" w:eastAsia="Times New Roman" w:hAnsi="Times New Roman"/>
          <w:sz w:val="20"/>
          <w:szCs w:val="20"/>
          <w:color w:val="auto"/>
        </w:rPr>
        <w:t>. The following provision supplements Section 3 of the Agreement:</w:t>
      </w:r>
    </w:p>
    <w:p>
      <w:pPr>
        <w:spacing w:after="0" w:line="233" w:lineRule="exact"/>
        <w:rPr>
          <w:sz w:val="20"/>
          <w:szCs w:val="20"/>
          <w:color w:val="auto"/>
        </w:rPr>
      </w:pPr>
    </w:p>
    <w:p>
      <w:pPr>
        <w:jc w:val="both"/>
        <w:ind w:right="140"/>
        <w:spacing w:after="0" w:line="283" w:lineRule="auto"/>
        <w:rPr>
          <w:sz w:val="20"/>
          <w:szCs w:val="20"/>
          <w:color w:val="auto"/>
        </w:rPr>
      </w:pPr>
      <w:r>
        <w:rPr>
          <w:rFonts w:ascii="Times New Roman" w:cs="Times New Roman" w:eastAsia="Times New Roman" w:hAnsi="Times New Roman"/>
          <w:sz w:val="20"/>
          <w:szCs w:val="20"/>
          <w:color w:val="auto"/>
        </w:rPr>
        <w:t>Notwithstanding any discretion contained in the Plan or the Agreement, the Restricted Stock Units will not be settled in cash or a combination of cash and shares of Common Stock. The Restricted Stock Units will be settled only in 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Responsibility for Taxes</w:t>
      </w:r>
      <w:r>
        <w:rPr>
          <w:rFonts w:ascii="Times New Roman" w:cs="Times New Roman" w:eastAsia="Times New Roman" w:hAnsi="Times New Roman"/>
          <w:sz w:val="20"/>
          <w:szCs w:val="20"/>
          <w:color w:val="auto"/>
        </w:rPr>
        <w:t>. The following provision supplements Section 8 of the Agreement:</w:t>
      </w:r>
    </w:p>
    <w:p>
      <w:pPr>
        <w:spacing w:after="0" w:line="233"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20"/>
          <w:szCs w:val="20"/>
          <w:color w:val="auto"/>
        </w:rPr>
        <w:t>Without limitation to Section 8 of the Agreement, the Participant agrees to be liable for any Tax- Related Items related to the Participant's participation in the Plan and legally applicable to the Participant and hereby covenants to pay any such Tax-Related Items, as and when requested by the Employer or by Her Majesty’s Revenue &amp; Customs (“</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(or any other tax authority or any other relevant authority). The Participant also agrees to indemnify and keep indemnified the Employer against any Tax-Related Items that the Employer is required to pay or withhold on the Participant's behalf or have paid or will pay to HMRC (or any other tax authority or any other relevant authority).</w:t>
      </w:r>
    </w:p>
    <w:p>
      <w:pPr>
        <w:spacing w:after="0" w:line="179" w:lineRule="exact"/>
        <w:rPr>
          <w:sz w:val="20"/>
          <w:szCs w:val="20"/>
          <w:color w:val="auto"/>
        </w:rPr>
      </w:pPr>
    </w:p>
    <w:p>
      <w:pPr>
        <w:jc w:val="both"/>
        <w:ind w:right="120"/>
        <w:spacing w:after="0" w:line="251" w:lineRule="auto"/>
        <w:rPr>
          <w:sz w:val="20"/>
          <w:szCs w:val="20"/>
          <w:color w:val="auto"/>
        </w:rPr>
      </w:pPr>
      <w:r>
        <w:rPr>
          <w:rFonts w:ascii="Times New Roman" w:cs="Times New Roman" w:eastAsia="Times New Roman" w:hAnsi="Times New Roman"/>
          <w:sz w:val="20"/>
          <w:szCs w:val="20"/>
          <w:color w:val="auto"/>
        </w:rPr>
        <w:t>Notwithstanding the foregoing, if the Participant is a director or executive officer, the Participant understands that he or she may not be able to indemnify the Company for the amount of any Tax- 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 w:cs="Times New Roman" w:eastAsia="Times New Roman" w:hAnsi="Times New Roman"/>
          <w:sz w:val="20"/>
          <w:szCs w:val="20"/>
          <w:u w:val="single" w:color="auto"/>
          <w:color w:val="auto"/>
        </w:rPr>
        <w:t>NICs</w:t>
      </w:r>
      <w:r>
        <w:rPr>
          <w:rFonts w:ascii="Times New Roman" w:cs="Times New Roman" w:eastAsia="Times New Roman" w:hAnsi="Times New Roman"/>
          <w:sz w:val="20"/>
          <w:szCs w:val="20"/>
          <w:color w:val="auto"/>
        </w:rPr>
        <w:t>”) may be payable. The Participant understands that he or she will be responsible for reporting and paying any income tax due on this additional benefit directly to HMRC under the self assessment regime and for paying to the Company and/or the Employer (as appropriate) the amount of any NICs due on this additional benefit, which may also be recovered from the Participant by any of the means referred to in Section 8 of the Agreement.</w:t>
      </w:r>
    </w:p>
    <w:p>
      <w:pPr>
        <w:spacing w:after="0" w:line="19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National Insurance Contributions</w:t>
      </w:r>
      <w:r>
        <w:rPr>
          <w:rFonts w:ascii="Times New Roman" w:cs="Times New Roman" w:eastAsia="Times New Roman" w:hAnsi="Times New Roman"/>
          <w:sz w:val="20"/>
          <w:szCs w:val="20"/>
          <w:color w:val="auto"/>
        </w:rPr>
        <w:t>. As a condition of participation in the Plan and the vesting of the Restricted Stock Units,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agrees to accept any liability for secondary Class 1 NICs which may be payable by the Company and/or the Employer in connection with the Restricted Stock Units and any event giving rise to Tax-Related Items (the “</w:t>
      </w:r>
      <w:r>
        <w:rPr>
          <w:rFonts w:ascii="Times New Roman" w:cs="Times New Roman" w:eastAsia="Times New Roman" w:hAnsi="Times New Roman"/>
          <w:sz w:val="20"/>
          <w:szCs w:val="20"/>
          <w:u w:val="single" w:color="auto"/>
          <w:color w:val="auto"/>
        </w:rPr>
        <w:t>Employer NICs</w:t>
      </w:r>
      <w:r>
        <w:rPr>
          <w:rFonts w:ascii="Times New Roman" w:cs="Times New Roman" w:eastAsia="Times New Roman" w:hAnsi="Times New Roman"/>
          <w:sz w:val="20"/>
          <w:szCs w:val="20"/>
          <w:color w:val="auto"/>
        </w:rPr>
        <w:t>”). Without limitation to the foregoing, the Participant agrees to execute a joint election with the Company, the form of such joint election being formally approved by HMRC (the “</w:t>
      </w:r>
      <w:r>
        <w:rPr>
          <w:rFonts w:ascii="Times New Roman" w:cs="Times New Roman" w:eastAsia="Times New Roman" w:hAnsi="Times New Roman"/>
          <w:sz w:val="20"/>
          <w:szCs w:val="20"/>
          <w:u w:val="single" w:color="auto"/>
          <w:color w:val="auto"/>
        </w:rPr>
        <w:t>Joint Election</w:t>
      </w:r>
      <w:r>
        <w:rPr>
          <w:rFonts w:ascii="Times New Roman" w:cs="Times New Roman" w:eastAsia="Times New Roman" w:hAnsi="Times New Roman"/>
          <w:sz w:val="20"/>
          <w:szCs w:val="20"/>
          <w:color w:val="auto"/>
        </w:rPr>
        <w:t>”), and any other required consent or election. The Participant further agrees to execute such other joint elections as may be required between the Participant and any successor to the Company and/or the Employer. The Participant further agrees that the Company</w:t>
      </w:r>
    </w:p>
    <w:p>
      <w:pPr>
        <w:spacing w:after="0" w:line="200" w:lineRule="exact"/>
        <w:rPr>
          <w:sz w:val="20"/>
          <w:szCs w:val="20"/>
          <w:color w:val="auto"/>
        </w:rPr>
      </w:pPr>
    </w:p>
    <w:p>
      <w:pPr>
        <w:spacing w:after="0" w:line="2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I-13</w:t>
      </w:r>
    </w:p>
    <w:p>
      <w:pPr>
        <w:sectPr>
          <w:pgSz w:w="11900" w:h="16838" w:orient="portrait"/>
          <w:cols w:equalWidth="0" w:num="1">
            <w:col w:w="10860"/>
          </w:cols>
          <w:pgMar w:left="540" w:top="1440" w:right="499" w:bottom="1440" w:gutter="0" w:footer="0" w:header="0"/>
        </w:sectPr>
      </w:pPr>
    </w:p>
    <w:bookmarkStart w:id="98" w:name="page99"/>
    <w:bookmarkEnd w:id="98"/>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and/or the Employer may collect the Employer NICs from the Participant by any of the means set forth in Section 8 of the Agreement.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Participant must enter into the Joint Election attached as Exhibit A hereto concurrent with the execution of the Agreement.</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the Participant does not enter into a Joint Election prior to the vesting of the Restricted Stock Units or if approval of the Joint Election has been withdrawn by HMRC, the Restricted Stock Units shall become null and void without any liability to the Company and/or the Employer.</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I-14</w:t>
      </w:r>
    </w:p>
    <w:p>
      <w:pPr>
        <w:sectPr>
          <w:pgSz w:w="11900" w:h="16838" w:orient="portrait"/>
          <w:cols w:equalWidth="0" w:num="1">
            <w:col w:w="10720"/>
          </w:cols>
          <w:pgMar w:left="540" w:top="1440" w:right="6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color w:val="auto"/>
        </w:rPr>
        <w:t>PERFCASH_ALLPAR_2024_EDGARTEMPLATE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RACKSPACE TECHNOLOGY, INC.</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GRANT OF CASH-SETTLED PERFORMANCE AWARD (INDEXED CASH)</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Unless otherwise defined herein, the terms defined in the 2020 Rackspace Technology, Inc.’s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have the same defined meanings in this Notice of Grant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of Cash-Settled Performance Award (the “</w:t>
      </w:r>
      <w:r>
        <w:rPr>
          <w:rFonts w:ascii="Times New Roman" w:cs="Times New Roman" w:eastAsia="Times New Roman" w:hAnsi="Times New Roman"/>
          <w:sz w:val="20"/>
          <w:szCs w:val="20"/>
          <w:u w:val="single" w:color="auto"/>
          <w:color w:val="auto"/>
        </w:rPr>
        <w:t>Indexed Cash Award</w:t>
      </w:r>
      <w:r>
        <w:rPr>
          <w:rFonts w:ascii="Times New Roman" w:cs="Times New Roman" w:eastAsia="Times New Roman" w:hAnsi="Times New Roman"/>
          <w:sz w:val="20"/>
          <w:szCs w:val="20"/>
          <w:color w:val="auto"/>
        </w:rPr>
        <w:t>”) and in the Cash-Settled Performance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258" w:lineRule="exact"/>
        <w:rPr>
          <w:sz w:val="20"/>
          <w:szCs w:val="20"/>
          <w:color w:val="auto"/>
        </w:rPr>
      </w:pPr>
    </w:p>
    <w:p>
      <w:pPr>
        <w:ind w:left="20"/>
        <w:spacing w:after="0"/>
        <w:tabs>
          <w:tab w:leader="none" w:pos="224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20"/>
          <w:szCs w:val="20"/>
          <w:b w:val="1"/>
          <w:bCs w:val="1"/>
          <w:color w:val="auto"/>
        </w:rPr>
        <w:t>%%FIRST_NAME_MIDDLE_NAME_LAST_NAME%-%</w:t>
      </w:r>
    </w:p>
    <w:p>
      <w:pPr>
        <w:spacing w:after="0" w:line="34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Participant has been granted a Cash-Based Award under the Plan in the form of this Indexed Cash Award, to be settled in cash and subject to the terms and conditions of the Plan and the Agreement,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Grant Number:</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%%OPTION_NUMBER%-%</w:t>
            </w: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Date of Grant: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%%OPTION_DATE,'Month DD, YYYY'%-%</w:t>
            </w:r>
          </w:p>
        </w:tc>
      </w:tr>
      <w:tr>
        <w:trPr>
          <w:trHeight w:val="276"/>
        </w:trPr>
        <w:tc>
          <w:tcPr>
            <w:tcW w:w="26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Total Target Payout Amount:</w:t>
            </w:r>
          </w:p>
        </w:tc>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w w:val="98"/>
              </w:rPr>
              <w:t>USD %%TOTAL_CASH_GRANTED,'999,999,999'%-%</w:t>
            </w:r>
          </w:p>
        </w:tc>
      </w:tr>
      <w:tr>
        <w:trPr>
          <w:trHeight w:val="581"/>
        </w:trPr>
        <w:tc>
          <w:tcPr>
            <w:tcW w:w="2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5000" w:type="dxa"/>
            <w:vAlign w:val="bottom"/>
          </w:tcPr>
          <w:p>
            <w:pPr>
              <w:spacing w:after="0"/>
              <w:rPr>
                <w:sz w:val="24"/>
                <w:szCs w:val="24"/>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the satisfaction of the Performance Goals, accelerated vesting and/or forfeiture and other terms and conditions as set forth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or the Plan, the Indexed Cash Award will vest, in whole or in part, in accordance with the following schedule:</w:t>
      </w:r>
    </w:p>
    <w:p>
      <w:pPr>
        <w:spacing w:after="0" w:line="262" w:lineRule="exact"/>
        <w:rPr>
          <w:sz w:val="20"/>
          <w:szCs w:val="20"/>
          <w:color w:val="auto"/>
        </w:rPr>
      </w:pPr>
    </w:p>
    <w:p>
      <w:pPr>
        <w:ind w:left="40"/>
        <w:spacing w:after="0"/>
        <w:tabs>
          <w:tab w:leader="none" w:pos="860" w:val="left"/>
          <w:tab w:leader="none" w:pos="2000" w:val="left"/>
          <w:tab w:leader="none" w:pos="5380" w:val="left"/>
          <w:tab w:leader="none" w:pos="7560" w:val="left"/>
        </w:tabs>
        <w:rPr>
          <w:sz w:val="20"/>
          <w:szCs w:val="20"/>
          <w:color w:val="auto"/>
        </w:rPr>
      </w:pPr>
      <w:r>
        <w:rPr>
          <w:rFonts w:ascii="Times New Roman" w:cs="Times New Roman" w:eastAsia="Times New Roman" w:hAnsi="Times New Roman"/>
          <w:sz w:val="18"/>
          <w:szCs w:val="18"/>
          <w:b w:val="1"/>
          <w:bCs w:val="1"/>
          <w:u w:val="single" w:color="auto"/>
          <w:color w:val="auto"/>
        </w:rPr>
        <w:t>Tranche</w:t>
        <w:tab/>
        <w:t>Vesting Date</w:t>
        <w:tab/>
        <w:t>Target Payout Amount</w:t>
      </w:r>
      <w:r>
        <w:rPr>
          <w:sz w:val="20"/>
          <w:szCs w:val="20"/>
          <w:color w:val="auto"/>
        </w:rPr>
        <w:tab/>
      </w:r>
      <w:r>
        <w:rPr>
          <w:rFonts w:ascii="Times New Roman" w:cs="Times New Roman" w:eastAsia="Times New Roman" w:hAnsi="Times New Roman"/>
          <w:sz w:val="18"/>
          <w:szCs w:val="18"/>
          <w:b w:val="1"/>
          <w:bCs w:val="1"/>
          <w:u w:val="single" w:color="auto"/>
          <w:color w:val="auto"/>
        </w:rPr>
        <w:t>Measurement Date</w:t>
      </w:r>
      <w:r>
        <w:rPr>
          <w:sz w:val="20"/>
          <w:szCs w:val="20"/>
          <w:color w:val="auto"/>
        </w:rPr>
        <w:tab/>
      </w:r>
      <w:r>
        <w:rPr>
          <w:rFonts w:ascii="Times New Roman" w:cs="Times New Roman" w:eastAsia="Times New Roman" w:hAnsi="Times New Roman"/>
          <w:sz w:val="17"/>
          <w:szCs w:val="17"/>
          <w:b w:val="1"/>
          <w:bCs w:val="1"/>
          <w:u w:val="single" w:color="auto"/>
          <w:color w:val="auto"/>
        </w:rPr>
        <w:t>Measurement Period</w:t>
      </w:r>
    </w:p>
    <w:p>
      <w:pPr>
        <w:ind w:left="760" w:hanging="439"/>
        <w:spacing w:after="0" w:line="185" w:lineRule="auto"/>
        <w:tabs>
          <w:tab w:leader="none" w:pos="760" w:val="left"/>
        </w:tabs>
        <w:numPr>
          <w:ilvl w:val="0"/>
          <w:numId w:val="44"/>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24"/>
          <w:szCs w:val="24"/>
          <w:color w:val="auto"/>
          <w:vertAlign w:val="subscript"/>
        </w:rPr>
        <w:t>[VEST DATE 1]</w:t>
      </w:r>
      <w:r>
        <w:rPr>
          <w:rFonts w:ascii="Times New Roman" w:cs="Times New Roman" w:eastAsia="Times New Roman" w:hAnsi="Times New Roman"/>
          <w:sz w:val="14"/>
          <w:szCs w:val="14"/>
          <w:color w:val="auto"/>
        </w:rPr>
        <w:t xml:space="preserve"> USD %%CASH_PERIOD1,'999,999,999'%-  </w:t>
      </w:r>
      <w:r>
        <w:rPr>
          <w:rFonts w:ascii="Times New Roman" w:cs="Times New Roman" w:eastAsia="Times New Roman" w:hAnsi="Times New Roman"/>
          <w:sz w:val="24"/>
          <w:szCs w:val="24"/>
          <w:color w:val="auto"/>
          <w:vertAlign w:val="subscript"/>
        </w:rPr>
        <w:t>[MEASUREMENT DATE 1]</w:t>
      </w:r>
      <w:r>
        <w:rPr>
          <w:rFonts w:ascii="Times New Roman" w:cs="Times New Roman" w:eastAsia="Times New Roman" w:hAnsi="Times New Roman"/>
          <w:sz w:val="14"/>
          <w:szCs w:val="14"/>
          <w:color w:val="auto"/>
        </w:rPr>
        <w:t xml:space="preserve"> [MEASUREMENT START DATE 1 -</w:t>
      </w:r>
    </w:p>
    <w:p>
      <w:pPr>
        <w:ind w:left="2020"/>
        <w:spacing w:after="0"/>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MEASUREMENT END DATE 1]</w:t>
      </w:r>
    </w:p>
    <w:p>
      <w:pPr>
        <w:ind w:left="760" w:hanging="439"/>
        <w:spacing w:after="0" w:line="183" w:lineRule="auto"/>
        <w:tabs>
          <w:tab w:leader="none" w:pos="760" w:val="left"/>
        </w:tabs>
        <w:numPr>
          <w:ilvl w:val="0"/>
          <w:numId w:val="45"/>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23"/>
          <w:szCs w:val="23"/>
          <w:color w:val="auto"/>
          <w:vertAlign w:val="subscript"/>
        </w:rPr>
        <w:t>[VEST DATE 2]</w:t>
      </w:r>
      <w:r>
        <w:rPr>
          <w:rFonts w:ascii="Times New Roman" w:cs="Times New Roman" w:eastAsia="Times New Roman" w:hAnsi="Times New Roman"/>
          <w:sz w:val="14"/>
          <w:szCs w:val="14"/>
          <w:color w:val="auto"/>
        </w:rPr>
        <w:t xml:space="preserve"> USD %%CASH_PERIOD2,'999,999,999'%-  </w:t>
      </w:r>
      <w:r>
        <w:rPr>
          <w:rFonts w:ascii="Times New Roman" w:cs="Times New Roman" w:eastAsia="Times New Roman" w:hAnsi="Times New Roman"/>
          <w:sz w:val="23"/>
          <w:szCs w:val="23"/>
          <w:color w:val="auto"/>
          <w:vertAlign w:val="subscript"/>
        </w:rPr>
        <w:t>[MEASUREMENT DATE 2]</w:t>
      </w:r>
      <w:r>
        <w:rPr>
          <w:rFonts w:ascii="Times New Roman" w:cs="Times New Roman" w:eastAsia="Times New Roman" w:hAnsi="Times New Roman"/>
          <w:sz w:val="14"/>
          <w:szCs w:val="14"/>
          <w:color w:val="auto"/>
        </w:rPr>
        <w:t xml:space="preserve"> [MEASUREMENT START DATE 2 -</w:t>
      </w:r>
    </w:p>
    <w:p>
      <w:pPr>
        <w:spacing w:after="0" w:line="1" w:lineRule="exact"/>
        <w:rPr>
          <w:rFonts w:ascii="Times New Roman" w:cs="Times New Roman" w:eastAsia="Times New Roman" w:hAnsi="Times New Roman"/>
          <w:sz w:val="24"/>
          <w:szCs w:val="24"/>
          <w:color w:val="auto"/>
          <w:vertAlign w:val="subscript"/>
        </w:rPr>
      </w:pPr>
    </w:p>
    <w:p>
      <w:pPr>
        <w:ind w:left="2020"/>
        <w:spacing w:after="0"/>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MEASUREMENT END DATE 2]</w:t>
      </w:r>
    </w:p>
    <w:p>
      <w:pPr>
        <w:ind w:left="760" w:hanging="439"/>
        <w:spacing w:after="0" w:line="183" w:lineRule="auto"/>
        <w:tabs>
          <w:tab w:leader="none" w:pos="760" w:val="left"/>
        </w:tabs>
        <w:numPr>
          <w:ilvl w:val="0"/>
          <w:numId w:val="46"/>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23"/>
          <w:szCs w:val="23"/>
          <w:color w:val="auto"/>
          <w:vertAlign w:val="subscript"/>
        </w:rPr>
        <w:t>[VEST DATE 3]</w:t>
      </w:r>
      <w:r>
        <w:rPr>
          <w:rFonts w:ascii="Times New Roman" w:cs="Times New Roman" w:eastAsia="Times New Roman" w:hAnsi="Times New Roman"/>
          <w:sz w:val="14"/>
          <w:szCs w:val="14"/>
          <w:color w:val="auto"/>
        </w:rPr>
        <w:t xml:space="preserve"> USD %%CASH_PERIOD3,'999,999,999'%-  </w:t>
      </w:r>
      <w:r>
        <w:rPr>
          <w:rFonts w:ascii="Times New Roman" w:cs="Times New Roman" w:eastAsia="Times New Roman" w:hAnsi="Times New Roman"/>
          <w:sz w:val="23"/>
          <w:szCs w:val="23"/>
          <w:color w:val="auto"/>
          <w:vertAlign w:val="subscript"/>
        </w:rPr>
        <w:t>[MEASUREMENT DATE 3]</w:t>
      </w:r>
      <w:r>
        <w:rPr>
          <w:rFonts w:ascii="Times New Roman" w:cs="Times New Roman" w:eastAsia="Times New Roman" w:hAnsi="Times New Roman"/>
          <w:sz w:val="14"/>
          <w:szCs w:val="14"/>
          <w:color w:val="auto"/>
        </w:rPr>
        <w:t xml:space="preserve"> [MEASUREMENT START DATE 3 -</w:t>
      </w:r>
    </w:p>
    <w:p>
      <w:pPr>
        <w:spacing w:after="0" w:line="1" w:lineRule="exact"/>
        <w:rPr>
          <w:rFonts w:ascii="Times New Roman" w:cs="Times New Roman" w:eastAsia="Times New Roman" w:hAnsi="Times New Roman"/>
          <w:sz w:val="24"/>
          <w:szCs w:val="24"/>
          <w:color w:val="auto"/>
          <w:vertAlign w:val="subscript"/>
        </w:rPr>
      </w:pPr>
    </w:p>
    <w:p>
      <w:pPr>
        <w:ind w:left="2020"/>
        <w:spacing w:after="0"/>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MEASUREMENT END DATE 3]</w:t>
      </w:r>
    </w:p>
    <w:p>
      <w:pPr>
        <w:sectPr>
          <w:pgSz w:w="11900" w:h="16838" w:orient="portrait"/>
          <w:cols w:equalWidth="0" w:num="1">
            <w:col w:w="11240"/>
          </w:cols>
          <w:pgMar w:left="320" w:top="118" w:right="339" w:bottom="1440" w:gutter="0" w:footer="0" w:header="0"/>
        </w:sectPr>
      </w:pPr>
    </w:p>
    <w:bookmarkStart w:id="100" w:name="page101"/>
    <w:bookmarkEnd w:id="100"/>
    <w:p>
      <w:pPr>
        <w:ind w:left="4020"/>
        <w:spacing w:after="0"/>
        <w:rPr>
          <w:sz w:val="20"/>
          <w:szCs w:val="20"/>
          <w:color w:val="auto"/>
        </w:rPr>
      </w:pPr>
      <w:r>
        <w:rPr>
          <w:rFonts w:ascii="Times New Roman" w:cs="Times New Roman" w:eastAsia="Times New Roman" w:hAnsi="Times New Roman"/>
          <w:sz w:val="20"/>
          <w:szCs w:val="20"/>
          <w:b w:val="1"/>
          <w:bCs w:val="1"/>
          <w:color w:val="auto"/>
        </w:rPr>
        <w:t>RACKSPACE TECHNOLOGY, INC.</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CASH-SETTLED PERFORMANCE AWARD AGREEMENT (INDEXED CASH)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CASH-SETTLED PERFORMANCE AWARD AGREEMENT (this “Agreement”), dated as of</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%%OPTION_DATE,'Month DD, YYYY'%-%</w:t>
      </w:r>
    </w:p>
    <w:p>
      <w:pPr>
        <w:spacing w:after="0" w:line="260"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20"/>
          <w:szCs w:val="20"/>
          <w:color w:val="auto"/>
        </w:rPr>
        <w:t>(the “Grant Date”), by and among RACKSPACE TECHNOLOGY, INC., a Delaware corporation (the “Company”), and the following individual (the “Participant”):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%%FIRST_NAME_MIDDLE_NAME_LAST_NAME%-%.</w:t>
      </w:r>
    </w:p>
    <w:p>
      <w:pPr>
        <w:spacing w:after="0" w:line="2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WHEREAS, the Company, acting through a Committee (as defined in the Company’s 2020 Equity Incentive Plan, as amended (the “Plan”)) or delegation of authority, as applicable, has granted to the Participant, effective as of the Grant Date, a Cash-Based Award under the Plan in the form of this Cash-Settled Performance Award (the “Indexed Cash Award”) as specified in the attached Notice of Grant, to be settled in cash as further described herein and subject to the terms and conditions set forth in this Agreement and the Plan;</w:t>
      </w:r>
    </w:p>
    <w:p>
      <w:pPr>
        <w:spacing w:after="0" w:line="19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promises and of the mutual agreements contained in this Agreement, the parties hereto agree as follows:</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Section (1) The Plan. The terms and provisions of the Plan are hereby incorporated into this Agreement as if set forth herein in their entirety (including, without limitation, the provisions of Article 8 and Article 12). In the event of a conflict between any provision of this Agreement and the Plan, the provisions of the Plan shall control. A copy of the Plan may be obtained from the Company by the Participant upon request. Capitalized terms used herein and not otherwise defined shall have the meanings ascribed thereto in the Plan.</w:t>
      </w: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As a condition to the grant of the Indexed Cash Award, the Participant agrees that this Agreement, together with the grant of any other applicable cash or equity-based awards under the Plan, satisfies all obligations and liabilities of the Company in connection with any “annual equity award” or similar contemplated by his or her employment agreement or offer letter, as applicable, for the calendar year in which it was granted.</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Section (2) Vesting. Subject to the Participant’s continued employment or other service relationship with the Company or one of its Subsidiaries (such applicable entity, the “Employer”) through each applicable Vesting Date in accordance with Section 7, each Tranche of this Indexed Cash Award shall be earned and shall vest and become non-forfeitable based on the Company’s Stock Price Performance for the Measurement Period for such Tranche, as described below (the “Performance Goal”):</w:t>
      </w:r>
    </w:p>
    <w:p>
      <w:pPr>
        <w:spacing w:after="0" w:line="199" w:lineRule="exact"/>
        <w:rPr>
          <w:sz w:val="20"/>
          <w:szCs w:val="20"/>
          <w:color w:val="auto"/>
        </w:rPr>
      </w:pPr>
    </w:p>
    <w:p>
      <w:pPr>
        <w:ind w:left="980" w:right="80"/>
        <w:spacing w:after="0" w:line="283" w:lineRule="auto"/>
        <w:tabs>
          <w:tab w:leader="none" w:pos="129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the Company shall calculate the beginning stock price (the “RXT Beginning Stock Price”) by using the VWAP ending on and including the first day in each Measurement Period.</w:t>
      </w:r>
    </w:p>
    <w:p>
      <w:pPr>
        <w:spacing w:after="0" w:line="187" w:lineRule="exact"/>
        <w:rPr>
          <w:sz w:val="20"/>
          <w:szCs w:val="20"/>
          <w:color w:val="auto"/>
        </w:rPr>
      </w:pPr>
    </w:p>
    <w:p>
      <w:pPr>
        <w:ind w:left="980" w:right="20"/>
        <w:spacing w:after="0" w:line="269" w:lineRule="auto"/>
        <w:rPr>
          <w:sz w:val="20"/>
          <w:szCs w:val="20"/>
          <w:color w:val="auto"/>
        </w:rPr>
      </w:pPr>
      <w:r>
        <w:rPr>
          <w:rFonts w:ascii="Times New Roman" w:cs="Times New Roman" w:eastAsia="Times New Roman" w:hAnsi="Times New Roman"/>
          <w:sz w:val="20"/>
          <w:szCs w:val="20"/>
          <w:color w:val="auto"/>
        </w:rPr>
        <w:t>Second, for each Tranche, the Company shall calculate the ending stock price (the “RXT Ending Stock Price”) for the applicable Measurement Period by using the VWAP ending on and including the applicable Measurement Date.</w:t>
      </w:r>
    </w:p>
    <w:p>
      <w:pPr>
        <w:sectPr>
          <w:pgSz w:w="11900" w:h="16838" w:orient="portrait"/>
          <w:cols w:equalWidth="0" w:num="1">
            <w:col w:w="11200"/>
          </w:cols>
          <w:pgMar w:left="320" w:top="1409" w:right="379" w:bottom="1440" w:gutter="0" w:footer="0" w:header="0"/>
        </w:sectPr>
      </w:pPr>
    </w:p>
    <w:bookmarkStart w:id="101" w:name="page102"/>
    <w:bookmarkEnd w:id="101"/>
    <w:p>
      <w:pPr>
        <w:ind w:right="120"/>
        <w:spacing w:after="0" w:line="258" w:lineRule="auto"/>
        <w:rPr>
          <w:sz w:val="20"/>
          <w:szCs w:val="20"/>
          <w:color w:val="auto"/>
        </w:rPr>
      </w:pPr>
      <w:r>
        <w:rPr>
          <w:rFonts w:ascii="Times New Roman" w:cs="Times New Roman" w:eastAsia="Times New Roman" w:hAnsi="Times New Roman"/>
          <w:sz w:val="20"/>
          <w:szCs w:val="20"/>
          <w:color w:val="auto"/>
        </w:rPr>
        <w:t>Third, the Company will determine the “Vesting Percentage” for each Tranche by comparing the RXT Beginning Stock Price to the RXT Ending Stock Price according to the table below (the “Stock Price Performance”), but subject to the caps provided in Section 2(b). Such determination shall be made as soon as reasonably practicable after, but in no event later than the Vesting Date.</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Fourth, the “Actual Payout Amount” for each Tranche shall be determined following the conclusion of each Measurement Period as follows: (A) one-third of the Total Target Payout Amount as set forth on the Notice of Grant accompanying this Agreement shall be multiplied by (B) the Vesting Percentage for such Tranche according to the actual Performance Level achieved based on the Company’s Stock Price Performance.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Finally, on the Vesting Date for each Tranche, the Actual Payout Amount shall vest and become non-forfeitable.</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660" w:type="dxa"/>
            <w:vAlign w:val="bottom"/>
            <w:tcBorders>
              <w:top w:val="single" w:sz="8" w:color="auto"/>
              <w:left w:val="single" w:sz="8" w:color="auto"/>
              <w:bottom w:val="single" w:sz="8" w:color="auto"/>
              <w:right w:val="single" w:sz="8" w:color="auto"/>
            </w:tcBorders>
            <w:shd w:val="clear" w:color="auto" w:fill="262626"/>
          </w:tcPr>
          <w:p>
            <w:pPr>
              <w:ind w:left="40"/>
              <w:spacing w:after="0"/>
              <w:rPr>
                <w:sz w:val="20"/>
                <w:szCs w:val="20"/>
                <w:color w:val="auto"/>
              </w:rPr>
            </w:pPr>
            <w:r>
              <w:rPr>
                <w:rFonts w:ascii="Times New Roman" w:cs="Times New Roman" w:eastAsia="Times New Roman" w:hAnsi="Times New Roman"/>
                <w:sz w:val="16"/>
                <w:szCs w:val="16"/>
                <w:color w:val="FFFFFF"/>
              </w:rPr>
              <w:t>Performance Level</w:t>
            </w:r>
          </w:p>
        </w:tc>
        <w:tc>
          <w:tcPr>
            <w:tcW w:w="5680" w:type="dxa"/>
            <w:vAlign w:val="bottom"/>
            <w:tcBorders>
              <w:top w:val="single" w:sz="8" w:color="auto"/>
              <w:bottom w:val="single" w:sz="8" w:color="auto"/>
              <w:right w:val="single" w:sz="8" w:color="auto"/>
            </w:tcBorders>
            <w:shd w:val="clear" w:color="auto" w:fill="262626"/>
          </w:tcPr>
          <w:p>
            <w:pPr>
              <w:spacing w:after="0"/>
              <w:rPr>
                <w:sz w:val="20"/>
                <w:szCs w:val="20"/>
                <w:color w:val="auto"/>
              </w:rPr>
            </w:pPr>
            <w:r>
              <w:rPr>
                <w:rFonts w:ascii="Times New Roman" w:cs="Times New Roman" w:eastAsia="Times New Roman" w:hAnsi="Times New Roman"/>
                <w:sz w:val="16"/>
                <w:szCs w:val="16"/>
                <w:color w:val="FFFFFF"/>
              </w:rPr>
              <w:t>Stock Price Performance</w:t>
            </w:r>
          </w:p>
        </w:tc>
        <w:tc>
          <w:tcPr>
            <w:tcW w:w="1760" w:type="dxa"/>
            <w:vAlign w:val="bottom"/>
            <w:tcBorders>
              <w:top w:val="single" w:sz="8" w:color="auto"/>
              <w:bottom w:val="single" w:sz="8" w:color="auto"/>
              <w:right w:val="single" w:sz="8" w:color="auto"/>
            </w:tcBorders>
            <w:shd w:val="clear" w:color="auto" w:fill="262626"/>
          </w:tcPr>
          <w:p>
            <w:pPr>
              <w:jc w:val="center"/>
              <w:spacing w:after="0"/>
              <w:rPr>
                <w:sz w:val="20"/>
                <w:szCs w:val="20"/>
                <w:color w:val="auto"/>
              </w:rPr>
            </w:pPr>
            <w:r>
              <w:rPr>
                <w:rFonts w:ascii="Times New Roman" w:cs="Times New Roman" w:eastAsia="Times New Roman" w:hAnsi="Times New Roman"/>
                <w:sz w:val="16"/>
                <w:szCs w:val="16"/>
                <w:color w:val="FFFFFF"/>
                <w:w w:val="99"/>
              </w:rPr>
              <w:t>Vesting Percentage*</w:t>
            </w:r>
          </w:p>
        </w:tc>
      </w:tr>
      <w:tr>
        <w:trPr>
          <w:trHeight w:val="20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Minimum</w:t>
            </w:r>
          </w:p>
        </w:tc>
        <w:tc>
          <w:tcPr>
            <w:tcW w:w="5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[PERFORMANCE LEVEL MINIMUM]</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[XXX]%</w:t>
            </w:r>
          </w:p>
        </w:tc>
      </w:tr>
      <w:tr>
        <w:trPr>
          <w:trHeight w:val="210"/>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Target</w:t>
            </w:r>
          </w:p>
        </w:tc>
        <w:tc>
          <w:tcPr>
            <w:tcW w:w="5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[PERFORMANCE LEVEL TARGET]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[XXX]%</w:t>
            </w:r>
          </w:p>
        </w:tc>
      </w:tr>
      <w:tr>
        <w:trPr>
          <w:trHeight w:val="209"/>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Maximum</w:t>
            </w:r>
          </w:p>
        </w:tc>
        <w:tc>
          <w:tcPr>
            <w:tcW w:w="5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[PERFORMANCE LEVEL MAXIMUM]</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[XXX]%</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Vesting Percentage for Stock Price Performance between Performance Levels shall be determined by linear interpolation.</w:t>
      </w:r>
    </w:p>
    <w:p>
      <w:pPr>
        <w:spacing w:after="0" w:line="239" w:lineRule="exact"/>
        <w:rPr>
          <w:sz w:val="20"/>
          <w:szCs w:val="20"/>
          <w:color w:val="auto"/>
        </w:rPr>
      </w:pPr>
    </w:p>
    <w:p>
      <w:pPr>
        <w:ind w:left="320" w:hanging="320"/>
        <w:spacing w:after="0"/>
        <w:tabs>
          <w:tab w:leader="none" w:pos="3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Vesting Percentage for any Tranche shall not exceed [XXX]%.</w:t>
      </w:r>
    </w:p>
    <w:p>
      <w:pPr>
        <w:spacing w:after="0" w:line="256" w:lineRule="exact"/>
        <w:rPr>
          <w:rFonts w:ascii="Times New Roman" w:cs="Times New Roman" w:eastAsia="Times New Roman" w:hAnsi="Times New Roman"/>
          <w:sz w:val="20"/>
          <w:szCs w:val="20"/>
          <w:color w:val="auto"/>
        </w:rPr>
      </w:pPr>
    </w:p>
    <w:p>
      <w:pPr>
        <w:ind w:right="80"/>
        <w:spacing w:after="0" w:line="261" w:lineRule="auto"/>
        <w:tabs>
          <w:tab w:leader="none" w:pos="31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 For purposes hereof, capitalized but not otherwise defined terms herein shall have the meanings ascribed below. For convenience, many of the below defined terms are summarized in a table on the Notice of Grant accompanying this Agreement.</w:t>
      </w:r>
    </w:p>
    <w:p>
      <w:pPr>
        <w:spacing w:after="0" w:line="208" w:lineRule="exact"/>
        <w:rPr>
          <w:rFonts w:ascii="Times New Roman" w:cs="Times New Roman" w:eastAsia="Times New Roman" w:hAnsi="Times New Roman"/>
          <w:sz w:val="20"/>
          <w:szCs w:val="20"/>
          <w:color w:val="auto"/>
        </w:rPr>
      </w:pPr>
    </w:p>
    <w:p>
      <w:pPr>
        <w:ind w:left="960" w:hanging="312"/>
        <w:spacing w:after="0"/>
        <w:tabs>
          <w:tab w:leader="none" w:pos="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shall mean each of</w:t>
      </w:r>
    </w:p>
    <w:p>
      <w:pPr>
        <w:spacing w:after="0" w:line="242" w:lineRule="exact"/>
        <w:rPr>
          <w:rFonts w:ascii="Times New Roman" w:cs="Times New Roman" w:eastAsia="Times New Roman" w:hAnsi="Times New Roman"/>
          <w:sz w:val="20"/>
          <w:szCs w:val="20"/>
          <w:color w:val="auto"/>
        </w:rPr>
      </w:pPr>
    </w:p>
    <w:p>
      <w:pPr>
        <w:ind w:left="980" w:right="20" w:hanging="8"/>
        <w:spacing w:after="0" w:line="268" w:lineRule="auto"/>
        <w:tabs>
          <w:tab w:leader="none" w:pos="1619"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one-third of the Total Target Payout Amount included on the Notice of Grant accompanying this Agreement, which shall be earned and eligible to vest based on the Company’s Stock Price Performance for the First Tranche Measurement Period (the “First Tranche”);</w:t>
      </w:r>
    </w:p>
    <w:p>
      <w:pPr>
        <w:spacing w:after="0" w:line="188" w:lineRule="exact"/>
        <w:rPr>
          <w:rFonts w:ascii="Times New Roman" w:cs="Times New Roman" w:eastAsia="Times New Roman" w:hAnsi="Times New Roman"/>
          <w:sz w:val="20"/>
          <w:szCs w:val="20"/>
          <w:color w:val="auto"/>
        </w:rPr>
      </w:pPr>
    </w:p>
    <w:p>
      <w:pPr>
        <w:ind w:left="980" w:right="20" w:hanging="8"/>
        <w:spacing w:after="0" w:line="261" w:lineRule="auto"/>
        <w:tabs>
          <w:tab w:leader="none" w:pos="1622"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one-third of the Total Target Payout Amount included on the Notice of Grant accompanying this Agreement, which shall be earned and eligible to vest based on the Company’s Stock Price Performance for the Second Tranche Measurement Period (the “Second Tranche”); and</w:t>
      </w:r>
    </w:p>
    <w:p>
      <w:pPr>
        <w:spacing w:after="0" w:line="208" w:lineRule="exact"/>
        <w:rPr>
          <w:rFonts w:ascii="Times New Roman" w:cs="Times New Roman" w:eastAsia="Times New Roman" w:hAnsi="Times New Roman"/>
          <w:sz w:val="20"/>
          <w:szCs w:val="20"/>
          <w:color w:val="auto"/>
        </w:rPr>
      </w:pPr>
    </w:p>
    <w:p>
      <w:pPr>
        <w:ind w:left="980" w:right="20" w:hanging="8"/>
        <w:spacing w:after="0" w:line="261" w:lineRule="auto"/>
        <w:tabs>
          <w:tab w:leader="none" w:pos="1622"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one-third of the Total Target Payout Amount included on the Notice of Grant accompanying this Agreement, which shall be earned and eligible to vest based on the Company’s Stock Price Performance for the Third Tranche Measurement Period (the “Third Tranche”).</w:t>
      </w:r>
    </w:p>
    <w:p>
      <w:pPr>
        <w:spacing w:after="0" w:line="208" w:lineRule="exact"/>
        <w:rPr>
          <w:rFonts w:ascii="Times New Roman" w:cs="Times New Roman" w:eastAsia="Times New Roman" w:hAnsi="Times New Roman"/>
          <w:sz w:val="20"/>
          <w:szCs w:val="20"/>
          <w:color w:val="auto"/>
        </w:rPr>
      </w:pPr>
    </w:p>
    <w:p>
      <w:pPr>
        <w:ind w:left="640" w:right="560" w:firstLine="8"/>
        <w:spacing w:after="0" w:line="261" w:lineRule="auto"/>
        <w:tabs>
          <w:tab w:leader="none" w:pos="96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“Measurement Period” means (subject to Section 3) each of (A) for the First Tranche, the period from the [Measurement Start Date 1] through [Measurement Date 1] (the “First Tranche Measurement Period”), (B) for the Second Tranche, the period</w:t>
      </w:r>
    </w:p>
    <w:p>
      <w:pPr>
        <w:sectPr>
          <w:pgSz w:w="11900" w:h="16838" w:orient="portrait"/>
          <w:cols w:equalWidth="0" w:num="1">
            <w:col w:w="10240"/>
          </w:cols>
          <w:pgMar w:left="1300" w:top="1413" w:right="359" w:bottom="1440" w:gutter="0" w:footer="0" w:header="0"/>
        </w:sectPr>
      </w:pPr>
    </w:p>
    <w:bookmarkStart w:id="102" w:name="page103"/>
    <w:bookmarkEnd w:id="102"/>
    <w:p>
      <w:pPr>
        <w:jc w:val="both"/>
        <w:ind w:left="1620" w:right="140"/>
        <w:spacing w:after="0" w:line="261" w:lineRule="auto"/>
        <w:rPr>
          <w:sz w:val="20"/>
          <w:szCs w:val="20"/>
          <w:color w:val="auto"/>
        </w:rPr>
      </w:pPr>
      <w:r>
        <w:rPr>
          <w:rFonts w:ascii="Times New Roman" w:cs="Times New Roman" w:eastAsia="Times New Roman" w:hAnsi="Times New Roman"/>
          <w:sz w:val="20"/>
          <w:szCs w:val="20"/>
          <w:color w:val="auto"/>
        </w:rPr>
        <w:t>from [Measurement Start Date 2] through [Measurement Date 2] (the “Second Tranche Measurement Period”) and (C) for the Third Tranche, the period from [Measurement Start Date 3] through [Measurement Date 3] (the “Third Tranche Measurement Period”).</w:t>
      </w:r>
    </w:p>
    <w:p>
      <w:pPr>
        <w:spacing w:after="0" w:line="208" w:lineRule="exact"/>
        <w:rPr>
          <w:sz w:val="20"/>
          <w:szCs w:val="20"/>
          <w:color w:val="auto"/>
        </w:rPr>
      </w:pPr>
    </w:p>
    <w:p>
      <w:pPr>
        <w:ind w:left="1620" w:right="100" w:firstLine="8"/>
        <w:spacing w:after="0" w:line="269" w:lineRule="auto"/>
        <w:tabs>
          <w:tab w:leader="none" w:pos="19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Period” means (subject to Section 3) the period commencing [Measurement Start Date 1] and ending on (and including ) [Measurement Date 3].</w:t>
      </w:r>
    </w:p>
    <w:p>
      <w:pPr>
        <w:spacing w:after="0" w:line="199" w:lineRule="exact"/>
        <w:rPr>
          <w:rFonts w:ascii="Times New Roman" w:cs="Times New Roman" w:eastAsia="Times New Roman" w:hAnsi="Times New Roman"/>
          <w:sz w:val="20"/>
          <w:szCs w:val="20"/>
          <w:color w:val="auto"/>
        </w:rPr>
      </w:pPr>
    </w:p>
    <w:p>
      <w:pPr>
        <w:ind w:left="1620" w:right="60" w:firstLine="8"/>
        <w:spacing w:after="0" w:line="261" w:lineRule="auto"/>
        <w:tabs>
          <w:tab w:leader="none" w:pos="193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“Vesting Date” shall mean, for each Tranche, the date that is the first day of the quarter that is at least 90 days after the Measurement Date for such Tranche; provided, that the Committee may, in its sole discretion, accelerate the Vesting Date for any Tranche to a date that is after the calculation of the Vesting Percentage for such Tranche.</w:t>
      </w:r>
    </w:p>
    <w:p>
      <w:pPr>
        <w:spacing w:after="0" w:line="208" w:lineRule="exact"/>
        <w:rPr>
          <w:rFonts w:ascii="Times New Roman" w:cs="Times New Roman" w:eastAsia="Times New Roman" w:hAnsi="Times New Roman"/>
          <w:sz w:val="20"/>
          <w:szCs w:val="20"/>
          <w:color w:val="auto"/>
        </w:rPr>
      </w:pPr>
    </w:p>
    <w:p>
      <w:pPr>
        <w:ind w:left="1620" w:right="20" w:firstLine="8"/>
        <w:spacing w:after="0" w:line="258" w:lineRule="auto"/>
        <w:tabs>
          <w:tab w:leader="none" w:pos="193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“VWAP” means the volume weighted average market closing price of one share of the Company’s common stock, par value $0.01 per share (the “Common Stock”) as reported on any national securities exchange on which the Common Stock is then traded for the thirty (30) consecutive trading days immediately preceding and including the Grant Date or Measurement Date, as applicable.</w:t>
      </w:r>
    </w:p>
    <w:p>
      <w:pPr>
        <w:spacing w:after="0" w:line="199" w:lineRule="exact"/>
        <w:rPr>
          <w:rFonts w:ascii="Times New Roman" w:cs="Times New Roman" w:eastAsia="Times New Roman" w:hAnsi="Times New Roman"/>
          <w:sz w:val="20"/>
          <w:szCs w:val="20"/>
          <w:color w:val="auto"/>
        </w:rPr>
      </w:pPr>
    </w:p>
    <w:p>
      <w:pPr>
        <w:ind w:left="1620" w:right="120" w:firstLine="8"/>
        <w:spacing w:after="0" w:line="283" w:lineRule="auto"/>
        <w:tabs>
          <w:tab w:leader="none" w:pos="193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“Measurement Date” means (subject to Section 3) each of (A) for the First Tranche, [Measurement Date 1], (B) for the Second Tranche, [Measurement Date 2] and (C) for the Third Tranche, [Measurement Date 3].</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Section (3) Change in Control. If the Company has a Change in Control during the Performance Period, then, subject to Section 2(b) but notwithstanding any other provision herein to the contrary, (i) each Measurement Period that has not ended before the effective date of such Change in Control will end as of the effective date of such Change in Control, (ii) each Measurement Date that has not occurred prior to the effective date of such Change in Control shall be deemed to be the effective date of such Change in Control, (iii) the Performance Period shall end as of the effective date of such Change in Control; (iv) the Vesting Percentage for each Tranche that has not already vested shall be determined as soon as reasonably practicable after, but in no event later than 20 days after, the effective date of such Change in Control; (v) the Vesting Date for each such Tranche shall be deemed to be the Measurement Date; and (vi) the Vesting Percentage for each such Tranche shall be not less than 100%.</w:t>
      </w:r>
    </w:p>
    <w:p>
      <w:pPr>
        <w:spacing w:after="0" w:line="2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Section (4) Settlement. To the extent that any portion of the Indexed Cash Award is earned and vests under Section 2 of this Agreement, the Company will pay the Participant the Actual Payout Amount in cash, subject to withholding of Tax-Related Items pursuant to Section 8 below. The settlement date on which payment of the Actual Payout Amount will be made to the Participant will be on or before the first regularly scheduled pay period in Participant’s local jurisdiction following the Vesting Date; provided, however, that in the event that the Indexed Cash Award vests on a Change in Control pursuant to Section 3 or on such other applicable vesting event under this Agreement, settlement of the Actual Payout Amount due on such vesting of the Indexed Cash Award shall be made as soon as practicable after the Change in Control or other applicable vesting event but in no event later than the seventieth (70th) calendar day thereafter, subject to Section 22(b) below, if applicable.</w:t>
      </w:r>
    </w:p>
    <w:p>
      <w:pPr>
        <w:spacing w:after="0" w:line="22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This Indexed Cash Award is denominated in United States Dollars. If Participant’s base salary is paid in a currency other than United States Dollars, the Actual Payout Amount will be converted to the</w:t>
      </w:r>
    </w:p>
    <w:p>
      <w:pPr>
        <w:sectPr>
          <w:pgSz w:w="11900" w:h="16838" w:orient="portrait"/>
          <w:cols w:equalWidth="0" w:num="1">
            <w:col w:w="11180"/>
          </w:cols>
          <w:pgMar w:left="320" w:top="1413" w:right="399" w:bottom="1440" w:gutter="0" w:footer="0" w:header="0"/>
        </w:sectPr>
      </w:pPr>
    </w:p>
    <w:bookmarkStart w:id="103" w:name="page104"/>
    <w:bookmarkEnd w:id="103"/>
    <w:p>
      <w:pPr>
        <w:ind w:right="240"/>
        <w:spacing w:after="0" w:line="283" w:lineRule="auto"/>
        <w:rPr>
          <w:sz w:val="20"/>
          <w:szCs w:val="20"/>
          <w:color w:val="auto"/>
        </w:rPr>
      </w:pPr>
      <w:r>
        <w:rPr>
          <w:rFonts w:ascii="Times New Roman" w:cs="Times New Roman" w:eastAsia="Times New Roman" w:hAnsi="Times New Roman"/>
          <w:sz w:val="20"/>
          <w:szCs w:val="20"/>
          <w:color w:val="auto"/>
        </w:rPr>
        <w:t>Participant’s local currency equivalent shortly before the settlement date to allow sufficient time for administrative processes leading up to the settlement date.</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Section (5) Restriction on Transfer. The Indexed Cash Award may not be transferred, pledged, assigned, hypothecated or otherwise disposed of in any way by the Participant, other than as provided in Section 10.3(b) of the Plan. The Indexed Cash Award shall not be subject to execution, attachment or similar process. Any attempted assignment, transfer, pledge, hypothecation or other disposition of the Indexed Cash Award contrary to the provisions hereof, and the levy of any execution, attachment or similar process upon the Indexed Cash Award, shall be null and void and without effect.</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Section (6) Participant’s Employment or Other Service Relationship. Nothing in this Agreement nor the grant of the Indexed Cash Award shall confer upon the Participant any right to continue the Participant’s employment or other service relationship with the Company or, if different, the Employer or interfere in any way with the right of the Company or, if different, the Employer to terminate the Participant’s employment or other service relationship or to increase or decrease the Participant’s compensation at any time. The grant of the Indexed Cash Award is an exceptional, voluntary and one-time benefit and does not create any contractual or other right to receive any other grant of other Awards (including Indexed Cash Awards) under the Plan in the future, or benefits in lieu of Indexed Cash Awards, even if Indexed Cash Awards have been granted in the past. The grant of this Indexed Cash Award does not form or amend part of the Participant’s entitlement to remuneration or benefits in terms of his or her employment or other service relationship with the Company or, if different, the Employer, if any, at any time.</w:t>
      </w:r>
    </w:p>
    <w:p>
      <w:pPr>
        <w:spacing w:after="0" w:line="21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Section (7) Termination. Notwithstanding anything contained herein to the contrary and except as may be provided in the Participant’s employment or services agreement with the Company or the Company’s Executive Change in Control Severance Plan, no portion of any Tranche of this Indexed Cash Award shall be eligible for vesting if the Participant has a Termination of Service for any reason before the Vesting Date for such Tranche, and no portion of any Tranche of this Indexed Cash Award that has a Vesting Date after the date of the Participant’s Termination of Service shall vest thereafter (i.e., the portion of the Indexed Cash Award associated with such Tranche shall be forfeited immediately upon Participant’s Termination of Service) and cancelled by the Company, except Termination of Service as a result of the death or Disability of the Participant.</w:t>
      </w:r>
    </w:p>
    <w:p>
      <w:pPr>
        <w:spacing w:after="0" w:line="22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For the avoidance of doubt, if the Participant has a Termination of Service after the Measurement Date for a Tranche of the Performance Units but before the Vesting Date of such Tranche, the Performance Units of such Tranche shall not be eligible to vest on such Vesting Date and will cease vesting and be forfeited immediately upon Participant’s Termination of Service and cancelled by the Company.</w:t>
      </w:r>
    </w:p>
    <w:p>
      <w:pPr>
        <w:spacing w:after="0" w:line="195" w:lineRule="exact"/>
        <w:rPr>
          <w:sz w:val="20"/>
          <w:szCs w:val="20"/>
          <w:color w:val="auto"/>
        </w:rPr>
      </w:pPr>
    </w:p>
    <w:p>
      <w:pPr>
        <w:ind w:right="800"/>
        <w:spacing w:after="0" w:line="283" w:lineRule="auto"/>
        <w:rPr>
          <w:sz w:val="20"/>
          <w:szCs w:val="20"/>
          <w:color w:val="auto"/>
        </w:rPr>
      </w:pPr>
      <w:r>
        <w:rPr>
          <w:rFonts w:ascii="Times New Roman" w:cs="Times New Roman" w:eastAsia="Times New Roman" w:hAnsi="Times New Roman"/>
          <w:sz w:val="20"/>
          <w:szCs w:val="20"/>
          <w:color w:val="auto"/>
        </w:rPr>
        <w:t>Upon the death or Disability of the Participant, any portion of the Indexed Cash Award that was not vested immediately prior to the Participant’s death or Disability shall immediately vest in full at the Target Performance Level.</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Responsibility for Taxes.</w:t>
      </w:r>
    </w:p>
    <w:p>
      <w:pPr>
        <w:spacing w:after="0" w:line="243" w:lineRule="exact"/>
        <w:rPr>
          <w:sz w:val="20"/>
          <w:szCs w:val="20"/>
          <w:color w:val="auto"/>
        </w:rPr>
      </w:pPr>
    </w:p>
    <w:p>
      <w:pPr>
        <w:ind w:left="980" w:right="60"/>
        <w:spacing w:after="0" w:line="258" w:lineRule="auto"/>
        <w:tabs>
          <w:tab w:leader="none" w:pos="129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that, regardless of any action taken by the Company or the Employer, the ultimate liability for all income tax, social insurance, payroll tax, fringe benefits tax, payment on account or other tax related items related to the Participant’s participation in the Plan and legally applicable to the Participant (“Tax-Related Items”) is and remains the Participant’s responsibility and may exceed the amount actually withheld by the</w:t>
      </w:r>
    </w:p>
    <w:p>
      <w:pPr>
        <w:sectPr>
          <w:pgSz w:w="11900" w:h="16838" w:orient="portrait"/>
          <w:cols w:equalWidth="0" w:num="1">
            <w:col w:w="11220"/>
          </w:cols>
          <w:pgMar w:left="320" w:top="1413"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Company or the Employer. The Participant further acknowledges that the Company and/or the Employer</w:t>
      </w:r>
    </w:p>
    <w:p>
      <w:pPr>
        <w:spacing w:after="0" w:line="256" w:lineRule="exact"/>
        <w:rPr>
          <w:sz w:val="20"/>
          <w:szCs w:val="20"/>
          <w:color w:val="auto"/>
        </w:rPr>
      </w:pPr>
    </w:p>
    <w:p>
      <w:pPr>
        <w:ind w:left="640" w:right="180" w:firstLine="8"/>
        <w:spacing w:after="0" w:line="261" w:lineRule="auto"/>
        <w:tabs>
          <w:tab w:leader="none" w:pos="96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no representations or undertakings regarding the treatment of any Tax-Related Items in connection with any aspect of the Indexed Cash Award, including, but not limited to, the grant or vesting of the Indexed Cash Award, or the receipt of a cash payment acquired pursuant to such vesting; and</w:t>
      </w:r>
    </w:p>
    <w:p>
      <w:pPr>
        <w:spacing w:after="0" w:line="194" w:lineRule="exact"/>
        <w:rPr>
          <w:rFonts w:ascii="Times New Roman" w:cs="Times New Roman" w:eastAsia="Times New Roman" w:hAnsi="Times New Roman"/>
          <w:sz w:val="20"/>
          <w:szCs w:val="20"/>
          <w:color w:val="auto"/>
        </w:rPr>
      </w:pPr>
    </w:p>
    <w:p>
      <w:pPr>
        <w:ind w:left="640" w:right="20" w:firstLine="8"/>
        <w:spacing w:after="0" w:line="253" w:lineRule="auto"/>
        <w:tabs>
          <w:tab w:leader="none" w:pos="96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commit to and are under no obligation to structure the terms of the grant or any aspect of Indexed Cash Awards to reduce or eliminate the Participant’s liability for Tax-Related Items or achieve any particular tax result. The Participant shall not make any claim against the Company, the Employer or any other Subsidiary, or their respective board, officers or employees related to Tax-Related Items arising from the Indexed Cash Award.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19" w:lineRule="exact"/>
        <w:rPr>
          <w:rFonts w:ascii="Times New Roman" w:cs="Times New Roman" w:eastAsia="Times New Roman" w:hAnsi="Times New Roman"/>
          <w:sz w:val="20"/>
          <w:szCs w:val="20"/>
          <w:color w:val="auto"/>
        </w:rPr>
      </w:pPr>
    </w:p>
    <w:p>
      <w:pPr>
        <w:spacing w:after="0" w:line="251" w:lineRule="auto"/>
        <w:tabs>
          <w:tab w:leader="none" w:pos="31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the Participant agrees to make adequate arrangements satisfactory to the Company and/or the Employer to satisfy all Tax-Related Items. To satisfy any withholding obligations of the Company and/or the Employer with respect to Tax-Related Items, the Company or the Employer will generally withhold cash which would otherwise be payable to the Participant pursuant to the vesting of the Indexed Cash Award sufficient to cotver the withholding obligation for Tax Related Items. Alternatively, or in addition, the Participant authorizes the Company and/or the Employer, or their respective agents, at their discretion and with no obligation to do so, to satisfy any applicable withholding obligations with regard to Tax-Related Items by one or a combination of the following:</w:t>
      </w:r>
    </w:p>
    <w:p>
      <w:pPr>
        <w:spacing w:after="0" w:line="219" w:lineRule="exact"/>
        <w:rPr>
          <w:rFonts w:ascii="Times New Roman" w:cs="Times New Roman" w:eastAsia="Times New Roman" w:hAnsi="Times New Roman"/>
          <w:sz w:val="20"/>
          <w:szCs w:val="20"/>
          <w:color w:val="auto"/>
        </w:rPr>
      </w:pPr>
    </w:p>
    <w:p>
      <w:pPr>
        <w:ind w:left="640" w:right="300" w:firstLine="8"/>
        <w:spacing w:after="0" w:line="269" w:lineRule="auto"/>
        <w:tabs>
          <w:tab w:leader="none" w:pos="96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the Participant’s wages or other cash compensation paid to the Participant by the Company, the Employer or any other Subsidiary;</w:t>
      </w:r>
    </w:p>
    <w:p>
      <w:pPr>
        <w:spacing w:after="0" w:line="199" w:lineRule="exact"/>
        <w:rPr>
          <w:rFonts w:ascii="Times New Roman" w:cs="Times New Roman" w:eastAsia="Times New Roman" w:hAnsi="Times New Roman"/>
          <w:sz w:val="20"/>
          <w:szCs w:val="20"/>
          <w:color w:val="auto"/>
        </w:rPr>
      </w:pPr>
    </w:p>
    <w:p>
      <w:pPr>
        <w:ind w:left="980" w:hanging="332"/>
        <w:spacing w:after="0"/>
        <w:tabs>
          <w:tab w:leader="none" w:pos="9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the Participant to tender a cash payment to the Company or the Employer; and/or</w:t>
      </w:r>
    </w:p>
    <w:p>
      <w:pPr>
        <w:spacing w:after="0" w:line="242" w:lineRule="exact"/>
        <w:rPr>
          <w:rFonts w:ascii="Times New Roman" w:cs="Times New Roman" w:eastAsia="Times New Roman" w:hAnsi="Times New Roman"/>
          <w:sz w:val="20"/>
          <w:szCs w:val="20"/>
          <w:color w:val="auto"/>
        </w:rPr>
      </w:pPr>
    </w:p>
    <w:p>
      <w:pPr>
        <w:ind w:left="980" w:hanging="332"/>
        <w:spacing w:after="0"/>
        <w:tabs>
          <w:tab w:leader="none" w:pos="9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methods approved by the Committee and permitted by applicable laws.</w:t>
      </w:r>
    </w:p>
    <w:p>
      <w:pPr>
        <w:spacing w:after="0" w:line="256" w:lineRule="exact"/>
        <w:rPr>
          <w:rFonts w:ascii="Times New Roman" w:cs="Times New Roman" w:eastAsia="Times New Roman" w:hAnsi="Times New Roman"/>
          <w:sz w:val="20"/>
          <w:szCs w:val="20"/>
          <w:color w:val="auto"/>
        </w:rPr>
      </w:pPr>
    </w:p>
    <w:p>
      <w:pPr>
        <w:ind w:right="40"/>
        <w:spacing w:after="0" w:line="253" w:lineRule="auto"/>
        <w:tabs>
          <w:tab w:leader="none" w:pos="31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 minimum statutory withholding amounts or other applicable withholding rates, including maximum applicable rates, in which case the Participant may receive a refund of any over-withheld amount or, if not refunded, the Participant may seek a refund from the local tax authorities. 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deliver the cash payment if the Participant fails to comply with his or her obligations in connection with the Tax-Related Items.</w:t>
      </w:r>
    </w:p>
    <w:p>
      <w:pPr>
        <w:sectPr>
          <w:pgSz w:w="11900" w:h="16838" w:orient="portrait"/>
          <w:cols w:equalWidth="0" w:num="1">
            <w:col w:w="10240"/>
          </w:cols>
          <w:pgMar w:left="1300" w:top="1413" w:right="359" w:bottom="1440" w:gutter="0" w:footer="0" w:header="0"/>
        </w:sectPr>
      </w:pPr>
    </w:p>
    <w:bookmarkStart w:id="105" w:name="page106"/>
    <w:bookmarkEnd w:id="105"/>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Nature of Grant. In accepting the Indexed Cash Award, the Participant acknowledges, understands and agrees that:</w:t>
      </w:r>
    </w:p>
    <w:p>
      <w:pPr>
        <w:spacing w:after="0" w:line="256" w:lineRule="exact"/>
        <w:rPr>
          <w:sz w:val="20"/>
          <w:szCs w:val="20"/>
          <w:color w:val="auto"/>
        </w:rPr>
      </w:pPr>
    </w:p>
    <w:p>
      <w:pPr>
        <w:ind w:left="980" w:right="200"/>
        <w:spacing w:after="0" w:line="269" w:lineRule="auto"/>
        <w:tabs>
          <w:tab w:leader="none" w:pos="129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99" w:lineRule="exact"/>
        <w:rPr>
          <w:rFonts w:ascii="Times New Roman" w:cs="Times New Roman" w:eastAsia="Times New Roman" w:hAnsi="Times New Roman"/>
          <w:sz w:val="20"/>
          <w:szCs w:val="20"/>
          <w:color w:val="auto"/>
        </w:rPr>
      </w:pPr>
    </w:p>
    <w:p>
      <w:pPr>
        <w:ind w:left="980" w:right="20"/>
        <w:spacing w:after="0" w:line="269" w:lineRule="auto"/>
        <w:tabs>
          <w:tab w:leader="none" w:pos="129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Indexed Cash Awards or other grants or Awards, if any, will be at the sole discretion of the Company;</w:t>
      </w:r>
    </w:p>
    <w:p>
      <w:pPr>
        <w:spacing w:after="0" w:line="19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voluntarily participating in the Plan;</w:t>
      </w:r>
    </w:p>
    <w:p>
      <w:pPr>
        <w:spacing w:after="0" w:line="256" w:lineRule="exact"/>
        <w:rPr>
          <w:rFonts w:ascii="Times New Roman" w:cs="Times New Roman" w:eastAsia="Times New Roman" w:hAnsi="Times New Roman"/>
          <w:sz w:val="20"/>
          <w:szCs w:val="20"/>
          <w:color w:val="auto"/>
        </w:rPr>
      </w:pPr>
    </w:p>
    <w:p>
      <w:pPr>
        <w:ind w:left="980" w:right="40"/>
        <w:spacing w:after="0" w:line="269" w:lineRule="auto"/>
        <w:tabs>
          <w:tab w:leader="none" w:pos="129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Indexed Cash Award and any cash payment acquired upon vesting, and the income and value of same, are not intended to replace any pension rights or compensation;</w:t>
      </w:r>
    </w:p>
    <w:p>
      <w:pPr>
        <w:spacing w:after="0" w:line="199" w:lineRule="exact"/>
        <w:rPr>
          <w:rFonts w:ascii="Times New Roman" w:cs="Times New Roman" w:eastAsia="Times New Roman" w:hAnsi="Times New Roman"/>
          <w:sz w:val="20"/>
          <w:szCs w:val="20"/>
          <w:color w:val="auto"/>
        </w:rPr>
      </w:pPr>
    </w:p>
    <w:p>
      <w:pPr>
        <w:ind w:left="980" w:right="80"/>
        <w:spacing w:after="0" w:line="258" w:lineRule="auto"/>
        <w:tabs>
          <w:tab w:leader="none" w:pos="129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Indexed Cash Award and any cash payment acquired upon vesting, and the income and value of same, are not part of normal or expected compensation for any purpose, including, without limitation, for purposes of calculating any severance, resignation, termination, redundancy, dismissal, end-of-service payments, bonuses, long-service awards, leave-related payments, holiday pay, pension or retirement or welfare benefits or similar mandatory payments;</w:t>
      </w:r>
    </w:p>
    <w:p>
      <w:pPr>
        <w:spacing w:after="0" w:line="199" w:lineRule="exact"/>
        <w:rPr>
          <w:rFonts w:ascii="Times New Roman" w:cs="Times New Roman" w:eastAsia="Times New Roman" w:hAnsi="Times New Roman"/>
          <w:sz w:val="20"/>
          <w:szCs w:val="20"/>
          <w:color w:val="auto"/>
        </w:rPr>
      </w:pPr>
    </w:p>
    <w:p>
      <w:pPr>
        <w:ind w:left="980" w:right="260"/>
        <w:spacing w:after="0" w:line="283" w:lineRule="auto"/>
        <w:tabs>
          <w:tab w:leader="none" w:pos="129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Indexed Cash Award and the income and value of same, are not granted as consideration for, or in connection with, the service the Participant may provide as a director of any Subsidiary;</w:t>
      </w:r>
    </w:p>
    <w:p>
      <w:pPr>
        <w:spacing w:after="0" w:line="173" w:lineRule="exact"/>
        <w:rPr>
          <w:rFonts w:ascii="Times New Roman" w:cs="Times New Roman" w:eastAsia="Times New Roman" w:hAnsi="Times New Roman"/>
          <w:sz w:val="20"/>
          <w:szCs w:val="20"/>
          <w:color w:val="auto"/>
        </w:rPr>
      </w:pPr>
    </w:p>
    <w:p>
      <w:pPr>
        <w:jc w:val="both"/>
        <w:ind w:left="980" w:right="180"/>
        <w:spacing w:after="0" w:line="258" w:lineRule="auto"/>
        <w:tabs>
          <w:tab w:leader="none" w:pos="129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Indexed Cash Award resulting from a Termination of Service (for any reason whatsoever, whether or not later found to be invalid or in breach of employment laws in the jurisdiction where the Participant is employed or rendering services or the terms of the Participant’s employment or service agreement, if any) or from the application of any recoupment or clawback policy or requirement;</w:t>
      </w:r>
    </w:p>
    <w:p>
      <w:pPr>
        <w:spacing w:after="0" w:line="212" w:lineRule="exact"/>
        <w:rPr>
          <w:rFonts w:ascii="Times New Roman" w:cs="Times New Roman" w:eastAsia="Times New Roman" w:hAnsi="Times New Roman"/>
          <w:sz w:val="20"/>
          <w:szCs w:val="20"/>
          <w:color w:val="auto"/>
        </w:rPr>
      </w:pPr>
    </w:p>
    <w:p>
      <w:pPr>
        <w:ind w:left="980"/>
        <w:spacing w:after="0" w:line="281" w:lineRule="auto"/>
        <w:tabs>
          <w:tab w:leader="none" w:pos="1292"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the Plan or by the Company in its sole discretion, the Indexed Cash Award and the benefits evidenced by this Agreement do not create any entitlement to have the Indexed Cash Award or any such benefits transferred to, or assumed by, another company nor to be exchanged, cashed out or substituted for, in connection with any corporate transaction;</w:t>
      </w:r>
    </w:p>
    <w:p>
      <w:pPr>
        <w:spacing w:after="0" w:line="177" w:lineRule="exact"/>
        <w:rPr>
          <w:rFonts w:ascii="Times New Roman" w:cs="Times New Roman" w:eastAsia="Times New Roman" w:hAnsi="Times New Roman"/>
          <w:sz w:val="19"/>
          <w:szCs w:val="19"/>
          <w:color w:val="auto"/>
        </w:rPr>
      </w:pPr>
    </w:p>
    <w:p>
      <w:pPr>
        <w:ind w:left="980" w:right="260"/>
        <w:spacing w:after="0" w:line="268" w:lineRule="auto"/>
        <w:tabs>
          <w:tab w:leader="none" w:pos="130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other Subsidiary or Affiliate shall be liable for any foreign exchange rate fluctuation between the Participant’s local currency and the United States Dollar that may affect the value of the Indexed Cash Award or of any amounts due to the Participant pursuant to the vesting of the Indexed Cash Award; and</w:t>
      </w:r>
    </w:p>
    <w:p>
      <w:pPr>
        <w:spacing w:after="0" w:line="188" w:lineRule="exact"/>
        <w:rPr>
          <w:rFonts w:ascii="Times New Roman" w:cs="Times New Roman" w:eastAsia="Times New Roman" w:hAnsi="Times New Roman"/>
          <w:sz w:val="20"/>
          <w:szCs w:val="20"/>
          <w:color w:val="auto"/>
        </w:rPr>
      </w:pPr>
    </w:p>
    <w:p>
      <w:pPr>
        <w:jc w:val="both"/>
        <w:ind w:left="980" w:right="40"/>
        <w:spacing w:after="0" w:line="261" w:lineRule="auto"/>
        <w:tabs>
          <w:tab w:leader="none" w:pos="130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providing any tax, legal or financial advice, nor is the Company making any recommendations regarding the Participant’s participation in the Plan. The Participant should consult with his or her personal tax, legal and financial advisors regarding his or her participation in the Plan before taking any action related to the Plan.</w:t>
      </w:r>
    </w:p>
    <w:p>
      <w:pPr>
        <w:sectPr>
          <w:pgSz w:w="11900" w:h="16838" w:orient="portrait"/>
          <w:cols w:equalWidth="0" w:num="1">
            <w:col w:w="11240"/>
          </w:cols>
          <w:pgMar w:left="320" w:top="1413" w:right="339" w:bottom="1440" w:gutter="0" w:footer="0" w:header="0"/>
        </w:sectPr>
      </w:pPr>
    </w:p>
    <w:bookmarkStart w:id="106" w:name="page107"/>
    <w:bookmarkEnd w:id="106"/>
    <w:p>
      <w:pPr>
        <w:ind w:right="240"/>
        <w:spacing w:after="0" w:line="252" w:lineRule="auto"/>
        <w:rPr>
          <w:sz w:val="20"/>
          <w:szCs w:val="20"/>
          <w:color w:val="auto"/>
        </w:rPr>
      </w:pPr>
      <w:r>
        <w:rPr>
          <w:rFonts w:ascii="Times New Roman" w:cs="Times New Roman" w:eastAsia="Times New Roman" w:hAnsi="Times New Roman"/>
          <w:sz w:val="20"/>
          <w:szCs w:val="20"/>
          <w:color w:val="auto"/>
        </w:rPr>
        <w:t>Section (10) Adjustment of Performance Goals. The Committee shall have the right to adjust or modify the calculation of the Performance Goals as permitted under the Plan or contemplated herein. In addition, the Performance Goals and the calculated level of achievement of the Performance Goals may be equitably adjusted from time to time in any manner that the Committee deems necessary or appropriate in its sole discretion. For instance, adjustments may be made to take account of (i) subject to Section 3, any acquisitions, divestitures, reorganization, restructuring, or any other specific unusual or nonrecurring events or conditions that occur during the Performance Period, and/or (ii) any changes in tax laws, accounting principles, or other laws or regulatory rules affecting reported results, including such changes that result in gains, losses or expenses determined to be extraordinary or unusual in nature or infrequent in occurrence, in each case, affecting the Company or any of its subsidiaries or the financial statements of the Company or any of its subsidiaries.</w:t>
      </w:r>
    </w:p>
    <w:p>
      <w:pPr>
        <w:spacing w:after="0" w:line="19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b w:val="1"/>
          <w:bCs w:val="1"/>
          <w:color w:val="auto"/>
        </w:rPr>
        <w:t>Data Privacy Consent. The Company is located at 19122 US Highway 281N, Suite 128, San Antonio, TX 78258-7667,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USA and grants certain employees of the Company and its other Subsidiaries and Affiliates,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spacing w:after="0" w:line="209" w:lineRule="exact"/>
        <w:rPr>
          <w:sz w:val="20"/>
          <w:szCs w:val="20"/>
          <w:color w:val="auto"/>
        </w:rPr>
      </w:pPr>
    </w:p>
    <w:p>
      <w:pPr>
        <w:ind w:left="980"/>
        <w:spacing w:after="0" w:line="251" w:lineRule="auto"/>
        <w:tabs>
          <w:tab w:leader="none" w:pos="129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Collection and Usage.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Common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spacing w:after="0" w:line="208" w:lineRule="exact"/>
        <w:rPr>
          <w:rFonts w:ascii="Times New Roman" w:cs="Times New Roman" w:eastAsia="Times New Roman" w:hAnsi="Times New Roman"/>
          <w:sz w:val="20"/>
          <w:szCs w:val="20"/>
          <w:color w:val="auto"/>
        </w:rPr>
      </w:pPr>
    </w:p>
    <w:p>
      <w:pPr>
        <w:ind w:left="980" w:right="100"/>
        <w:spacing w:after="0" w:line="268" w:lineRule="auto"/>
        <w:tabs>
          <w:tab w:leader="none" w:pos="129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Plan Administration Service Providers. The Company transfers participant data to E*Trade and/or Morgan Stanley Smith Barney, independent service providers based in the United States, which assists the Company with the implementation, administration and management of the Plan, and if the Indexed Cash Award vests, the Company may transfer personal data to Computershare, an independent service provider based in the United States, which assists the Company with its stock administration.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w:t>
      </w:r>
    </w:p>
    <w:p>
      <w:pPr>
        <w:spacing w:after="0" w:line="194" w:lineRule="exact"/>
        <w:rPr>
          <w:rFonts w:ascii="Times New Roman" w:cs="Times New Roman" w:eastAsia="Times New Roman" w:hAnsi="Times New Roman"/>
          <w:sz w:val="19"/>
          <w:szCs w:val="19"/>
          <w:color w:val="auto"/>
        </w:rPr>
      </w:pPr>
    </w:p>
    <w:p>
      <w:pPr>
        <w:jc w:val="both"/>
        <w:ind w:left="980" w:right="500"/>
        <w:spacing w:after="0" w:line="261" w:lineRule="auto"/>
        <w:tabs>
          <w:tab w:leader="none" w:pos="129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Data Transfers. The Company and its service providers are based in the United States. If the Participant is outside of the United States, the Participant should note that his or her country may have enacted data privacy laws that are different from the United States.</w:t>
      </w:r>
    </w:p>
    <w:p>
      <w:pPr>
        <w:sectPr>
          <w:pgSz w:w="11900" w:h="16838" w:orient="portrait"/>
          <w:cols w:equalWidth="0" w:num="1">
            <w:col w:w="11220"/>
          </w:cols>
          <w:pgMar w:left="320" w:top="1413" w:right="359" w:bottom="1440" w:gutter="0" w:footer="0" w:header="0"/>
        </w:sectPr>
      </w:pPr>
    </w:p>
    <w:bookmarkStart w:id="107" w:name="page108"/>
    <w:bookmarkEnd w:id="107"/>
    <w:p>
      <w:pPr>
        <w:ind w:left="980" w:right="180"/>
        <w:spacing w:after="0" w:line="258" w:lineRule="auto"/>
        <w:tabs>
          <w:tab w:leader="none" w:pos="129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Retention.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reasonably requires access to the Participant's personal data, the Company will remove it from it from its systems.</w:t>
      </w:r>
    </w:p>
    <w:p>
      <w:pPr>
        <w:spacing w:after="0" w:line="199" w:lineRule="exact"/>
        <w:rPr>
          <w:rFonts w:ascii="Times New Roman" w:cs="Times New Roman" w:eastAsia="Times New Roman" w:hAnsi="Times New Roman"/>
          <w:sz w:val="20"/>
          <w:szCs w:val="20"/>
          <w:color w:val="auto"/>
        </w:rPr>
      </w:pPr>
    </w:p>
    <w:p>
      <w:pPr>
        <w:ind w:left="980" w:right="20"/>
        <w:spacing w:after="0" w:line="257" w:lineRule="auto"/>
        <w:tabs>
          <w:tab w:leader="none" w:pos="129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Voluntariness and Consequences of Consent Denial or Withdrawal.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this Agreement and the Plan.</w:t>
      </w:r>
    </w:p>
    <w:p>
      <w:pPr>
        <w:spacing w:after="0" w:line="199" w:lineRule="exact"/>
        <w:rPr>
          <w:rFonts w:ascii="Times New Roman" w:cs="Times New Roman" w:eastAsia="Times New Roman" w:hAnsi="Times New Roman"/>
          <w:sz w:val="20"/>
          <w:szCs w:val="20"/>
          <w:color w:val="auto"/>
        </w:rPr>
      </w:pPr>
    </w:p>
    <w:p>
      <w:pPr>
        <w:ind w:left="980"/>
        <w:spacing w:after="0" w:line="253" w:lineRule="auto"/>
        <w:tabs>
          <w:tab w:leader="none" w:pos="129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Subject Rights.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Stock Plan Administrator, 19122 US Highway 281N, Suite 128, San Antonio, TX 78258-7667.</w:t>
      </w:r>
    </w:p>
    <w:p>
      <w:pPr>
        <w:spacing w:after="0" w:line="219" w:lineRule="exact"/>
        <w:rPr>
          <w:rFonts w:ascii="Times New Roman" w:cs="Times New Roman" w:eastAsia="Times New Roman" w:hAnsi="Times New Roman"/>
          <w:sz w:val="20"/>
          <w:szCs w:val="20"/>
          <w:color w:val="auto"/>
        </w:rPr>
      </w:pPr>
    </w:p>
    <w:p>
      <w:pPr>
        <w:ind w:left="980" w:right="40"/>
        <w:spacing w:after="0" w:line="251" w:lineRule="auto"/>
        <w:tabs>
          <w:tab w:leader="none" w:pos="129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also understands that the Company may rely on a different legal basis for the processing or transfer of data in the future and/or request the Participant to provide another data privacy consent. If applicable and upon request of the Company, the Participant agrees to provide an executed acknowledgement or data privacy consent form to the Company or the Employer (or any other acknowledgements, agreements or consents) that the Company and/or the Employer may deem necessary to obtain under the data privacy laws in the Participant's country, either now or in the future. The Participant understands that he or she will not be able to participate in the Plan if the Participant fails to execute any such acknowledgement, agreement or consent requested by the Company and/or the Employer.</w:t>
      </w:r>
    </w:p>
    <w:p>
      <w:pPr>
        <w:spacing w:after="0" w:line="22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Section (12) Electronic Delivery and Acceptance.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Section (13) Language. The Participant acknowledges that he or she is sufficiently proficient in English to understand the terms and conditions of this Agreement. Furthermore, if the Participant has received this Agreement, or any other document related to the Indexed Cash Award and/or the Plan translated into a language other than English and if the meaning of the translated version is different than the English version, the English version will control unless otherwise required by applicable laws.</w:t>
      </w:r>
    </w:p>
    <w:p>
      <w:pPr>
        <w:spacing w:after="0" w:line="199"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9"/>
          <w:szCs w:val="19"/>
          <w:color w:val="auto"/>
        </w:rPr>
        <w:t>Section (14) Repayment of Awards. Consistent with Section 10.5 of the Plan, if, after the cash payment is made to the Participant the Company is required to restate previously reported financial results for any Measurement Period for which performance is measured for this grant, the Committee will require the Participant to repay any amounts paid in excess of the amounts that would have been paid based on</w:t>
      </w:r>
    </w:p>
    <w:p>
      <w:pPr>
        <w:sectPr>
          <w:pgSz w:w="11900" w:h="16838" w:orient="portrait"/>
          <w:cols w:equalWidth="0" w:num="1">
            <w:col w:w="11240"/>
          </w:cols>
          <w:pgMar w:left="320" w:top="1413" w:right="339" w:bottom="1440" w:gutter="0" w:footer="0" w:header="0"/>
        </w:sectPr>
      </w:pPr>
    </w:p>
    <w:bookmarkStart w:id="108" w:name="page109"/>
    <w:bookmarkEnd w:id="108"/>
    <w:p>
      <w:pPr>
        <w:ind w:right="140"/>
        <w:spacing w:after="0" w:line="253" w:lineRule="auto"/>
        <w:rPr>
          <w:sz w:val="20"/>
          <w:szCs w:val="20"/>
          <w:color w:val="auto"/>
        </w:rPr>
      </w:pPr>
      <w:r>
        <w:rPr>
          <w:rFonts w:ascii="Times New Roman" w:cs="Times New Roman" w:eastAsia="Times New Roman" w:hAnsi="Times New Roman"/>
          <w:sz w:val="20"/>
          <w:szCs w:val="20"/>
          <w:color w:val="auto"/>
        </w:rPr>
        <w:t>the restated financial results. The Committee will issue a written notice of repayment documenting the corrected calculation and the amount and terms of repayment. The Participant must repay the amount specified in the notice of repayment. The Committee may, in its discretion, reduce a future payout as necessary to recoup any amounts outstanding under a previously issued notice of repayment. Further, for the avoidance of doubt, the Indexed Cash Award and any cash paid thereunder are also subject to forfeiture and recoupment to the extent set forth in Section 10.5 of the Plan.</w:t>
      </w:r>
    </w:p>
    <w:p>
      <w:pPr>
        <w:spacing w:after="0" w:line="2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auto"/>
        </w:rPr>
        <w:t>Section (15) Imposition of Other Requirements. The Company reserves the right to impose other requirements on the Participant’s participation in the Plan, on the Indexed Cash Award and on any cash payment upon vesting of the Indexed Cash Award, to the extent the Company determines it is necessary or advisable for legal or administrative reasons, and to require the Participant to sign any additional agreements or undertakings that may be necessary to accomplish the foregoing.</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Section (16) Notices. All notices, claims, certificates, requests, demands and other communications hereunder shall be in writing and shall be deemed to have been duly given and delivered if personally delivered or if sent by an internationally recognized overnight courier, by facsimile, by email, or by registered or certified mail, return receipt requested and postage prepaid, addressed as follows: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If to the Company, to it at its current executive offices and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19122 US Highway 281N, Suite 128, San Antonio, TX 78258-7667</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Attn: Chief Legal Officer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cc: legalnotice@rackspace.com</w:t>
      </w:r>
    </w:p>
    <w:p>
      <w:pPr>
        <w:spacing w:after="0" w:line="24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If to the Participant, to him or her at the address set forth on the signature page hereto or to such other address as the party to whom notice is to be given may have furnished to the other party in writing in accordance herewith.</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Any such notice or communication shall be deemed to have been received (a) in the case of personal delivery, on the date of such delivery (or if such date is not a business day, on the next business day after the date of delivery), (b) in the case of internationally recognized overnight courier, on the next business day after the date sent, (c) in the case of email, when transmitted via email (in each case, if no “system error” or other notice of non-delivery is generated) to the applicable party and its legal counsel set forth above, and (d) in the case of mailing, on the third business day following that on which the piece of mail containing such communication is posted.</w:t>
      </w:r>
    </w:p>
    <w:p>
      <w:pPr>
        <w:spacing w:after="0" w:line="21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Section (17) Waiver of Breach. The waiver by either party of a breach of any provision of this Agreement must be in writing and shall not operate or be construed as a waiver of any other or subsequent breach.</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Section (18) Participant’s Undertaking. The Participant hereby agrees to take whatever additional actions and execute whatever additional documents the Company may in its reasonable judgment deem necessary or advisable in order to carry out or effect one or more of the obligations or restrictions imposed on the Participant pursuant to the express provisions of this Agreement and the Plan.</w:t>
      </w: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Section (19) Modification of Rights. The rights of the Participant are subject to modification and termination in certain events as provided in this Agreement and the Plan (with respect to the Indexed Cash Award granted hereby). Notwithstanding the foregoing, the Participant’s rights under this Agreement and the Plan may not be impaired without the Participant’s consent.</w:t>
      </w:r>
    </w:p>
    <w:p>
      <w:pPr>
        <w:sectPr>
          <w:pgSz w:w="11900" w:h="16838" w:orient="portrait"/>
          <w:cols w:equalWidth="0" w:num="1">
            <w:col w:w="11220"/>
          </w:cols>
          <w:pgMar w:left="320" w:top="1413" w:right="359" w:bottom="1440" w:gutter="0" w:footer="0" w:header="0"/>
        </w:sectPr>
      </w:pPr>
    </w:p>
    <w:bookmarkStart w:id="109" w:name="page110"/>
    <w:bookmarkEnd w:id="109"/>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(20)</w:t>
      </w:r>
      <w:r>
        <w:rPr>
          <w:sz w:val="20"/>
          <w:szCs w:val="20"/>
          <w:color w:val="auto"/>
        </w:rPr>
        <w:tab/>
      </w:r>
      <w:r>
        <w:rPr>
          <w:rFonts w:ascii="Times New Roman" w:cs="Times New Roman" w:eastAsia="Times New Roman" w:hAnsi="Times New Roman"/>
          <w:sz w:val="19"/>
          <w:szCs w:val="19"/>
          <w:color w:val="auto"/>
        </w:rPr>
        <w:t>Governing Law; Dispute Resolution.</w:t>
      </w:r>
    </w:p>
    <w:p>
      <w:pPr>
        <w:spacing w:after="0" w:line="256" w:lineRule="exact"/>
        <w:rPr>
          <w:sz w:val="20"/>
          <w:szCs w:val="20"/>
          <w:color w:val="auto"/>
        </w:rPr>
      </w:pPr>
    </w:p>
    <w:p>
      <w:pPr>
        <w:ind w:left="1300" w:hanging="320"/>
        <w:spacing w:after="0" w:line="250" w:lineRule="auto"/>
        <w:tabs>
          <w:tab w:leader="none" w:pos="129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ANY SERVICE AGREEMENT, THIS AGREEMENT WILL BE GOVERNED BY AND CONSTRUED EXCLUSIVELY IN 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 OF THE STATE OF DELAWARE WILL CONTROL THE INTERPRETATION AND CONSTRUCTION OF THIS AGREEMENT, EVEN IF UNDER SUCH JURISDICTION’S CHOICE OF LAW OR CONFLICT OF LAW ANALYSIS, THE SUBSTANTIVE LAW OF SOME OTHER JURISDICTION WOULD ORDINARILY APPLY.</w:t>
      </w:r>
    </w:p>
    <w:p>
      <w:pPr>
        <w:spacing w:after="0" w:line="219" w:lineRule="exact"/>
        <w:rPr>
          <w:rFonts w:ascii="Times New Roman" w:cs="Times New Roman" w:eastAsia="Times New Roman" w:hAnsi="Times New Roman"/>
          <w:sz w:val="20"/>
          <w:szCs w:val="20"/>
          <w:color w:val="auto"/>
        </w:rPr>
      </w:pPr>
    </w:p>
    <w:p>
      <w:pPr>
        <w:ind w:left="1300" w:right="60" w:hanging="320"/>
        <w:spacing w:after="0" w:line="253" w:lineRule="auto"/>
        <w:tabs>
          <w:tab w:leader="none" w:pos="128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set forth in the Plan, the Company and the Participant agree that any suit, action or proceeding brought by or against a party in connection with this Agreement or Executive’s employment with or separation from the Company shall be brought solely in the state districts courts of Texas. Each party expressly and irrevocably consents and submits to the jurisdiction, forum, and venue of such courts in connection with any such legal proceedings, including to enforce this Agreement or its/his rights or obligations hereunder, and both parties agree to accept service of process by the other party or any of its agents in connection with any such proceeding.</w:t>
      </w:r>
    </w:p>
    <w:p>
      <w:pPr>
        <w:spacing w:after="0" w:line="219"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Section (21) Exchange Control, Tax And/Or Foreign Asset/Account Reporting. The Participant acknowledges that, depending on his or her country, the Participant may be subject to foreign asset/account, exchange control and/or tax reporting requirements as a result of the acquisition, holding and/or transfer of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is advised to consult his or her personal legal advisor on this matter.</w:t>
      </w:r>
    </w:p>
    <w:p>
      <w:pPr>
        <w:spacing w:after="0" w:line="2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color w:val="auto"/>
        </w:rPr>
        <w:t>Section 409A.</w:t>
      </w:r>
    </w:p>
    <w:p>
      <w:pPr>
        <w:spacing w:after="0" w:line="243" w:lineRule="exact"/>
        <w:rPr>
          <w:sz w:val="20"/>
          <w:szCs w:val="20"/>
          <w:color w:val="auto"/>
        </w:rPr>
      </w:pPr>
    </w:p>
    <w:p>
      <w:pPr>
        <w:ind w:left="1300" w:hanging="320"/>
        <w:spacing w:after="0" w:line="257" w:lineRule="auto"/>
        <w:tabs>
          <w:tab w:leader="none" w:pos="129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intent of this Agreement that it and all payments and benefits hereunder be exempt from, or comply with, the requirements of Section 409A so that no portion of the Indexed Cash Award provided under this Agreement or cash payment thereunder will be subject to the additional tax imposed under Section 409A, and any ambiguities herein will be interpreted to be so exempt or so comply. Each payment payable under this Agreement is intended to constitute a separate payment for purposes of Treasury Regulation Section 1.409A-2(b)(2).</w:t>
      </w:r>
    </w:p>
    <w:p>
      <w:pPr>
        <w:spacing w:after="0" w:line="199" w:lineRule="exact"/>
        <w:rPr>
          <w:rFonts w:ascii="Times New Roman" w:cs="Times New Roman" w:eastAsia="Times New Roman" w:hAnsi="Times New Roman"/>
          <w:sz w:val="20"/>
          <w:szCs w:val="20"/>
          <w:color w:val="auto"/>
        </w:rPr>
      </w:pPr>
    </w:p>
    <w:p>
      <w:pPr>
        <w:ind w:left="1300" w:right="780" w:hanging="320"/>
        <w:spacing w:after="0" w:line="283" w:lineRule="auto"/>
        <w:tabs>
          <w:tab w:leader="none" w:pos="128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paragraph applies only if the Company determines that Participant is a “specified employee,” as defined in the regulations under Section 409A at the time of Participant’s</w:t>
      </w:r>
    </w:p>
    <w:p>
      <w:pPr>
        <w:sectPr>
          <w:pgSz w:w="11900" w:h="16838" w:orient="portrait"/>
          <w:cols w:equalWidth="0" w:num="1">
            <w:col w:w="11200"/>
          </w:cols>
          <w:pgMar w:left="320" w:top="1413" w:right="379" w:bottom="1440" w:gutter="0" w:footer="0" w:header="0"/>
        </w:sectPr>
      </w:pPr>
    </w:p>
    <w:bookmarkStart w:id="110" w:name="page111"/>
    <w:bookmarkEnd w:id="110"/>
    <w:p>
      <w:pPr>
        <w:ind w:left="1300"/>
        <w:spacing w:after="0" w:line="270" w:lineRule="auto"/>
        <w:rPr>
          <w:sz w:val="20"/>
          <w:szCs w:val="20"/>
          <w:color w:val="auto"/>
        </w:rPr>
      </w:pPr>
      <w:r>
        <w:rPr>
          <w:rFonts w:ascii="Times New Roman" w:cs="Times New Roman" w:eastAsia="Times New Roman" w:hAnsi="Times New Roman"/>
          <w:sz w:val="19"/>
          <w:szCs w:val="19"/>
          <w:color w:val="auto"/>
        </w:rPr>
        <w:t>“separation from service,” as defined in Treasury Regulation Section 1.409A-1(h), and it is determined that settlement of this Indexed Cash Award is not exempt from Section 409A. If this paragraph applies, and the event triggering settlement is Participant’s “separation from service,” then any portion of the Indexed Cash Award that otherwise would have been settled during the first six months following Participant’s “separation from service” will instead be settled on the first business day following the earlier of (i) the six-month anniversary of Participant’s separation from service or (ii) Participant’s death.</w:t>
      </w:r>
    </w:p>
    <w:p>
      <w:pPr>
        <w:spacing w:after="0" w:line="202"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Section (23) Counterparts. This Agreement may be executed in one or more counterparts, and each such counterpart shall be deemed to be an original, but all such counterparts together shall constitute but one agreement.</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Section (24) Entire Agreement. The Notice of Grant, this Agreement and the Plan (and the other writings referred to herein) constitute the entire agreement between the parties with respect to the subject matter hereof and thereof and supersede all prior written or oral negotiations, commitments, representations and agreements with respect thereto.</w:t>
      </w:r>
    </w:p>
    <w:p>
      <w:pPr>
        <w:spacing w:after="0" w:line="20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Section (25) Severability. It is the desire and intent of the parties hereto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2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Section (26) Enforcement. In the event the Company or the Participant institutes litigation to enforce or protect its rights under this Agreement or the Plan, each party shall be solely responsible for all attorneys’ fees, out-of-pocket costs and disbursements it incurs relating to such litigation.</w:t>
      </w:r>
    </w:p>
    <w:p>
      <w:pPr>
        <w:spacing w:after="0" w:line="19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0"/>
          <w:szCs w:val="20"/>
          <w:color w:val="auto"/>
        </w:rPr>
        <w:t>Section (27) Waiver of Jury Trial. EACH PARTY HERETO HEREBY IRREVOCABLY AND UNCONDITIONALLY WAIVES, TO THE FULLEST EXTENT THAT IT MAY LEGALLY AND EFFECTIVELY DO SO, TRIAL BY JURY IN ANY SUIT, ACTION OR PROCEEDING ARISING HEREUNDER.</w:t>
      </w:r>
    </w:p>
    <w:p>
      <w:pPr>
        <w:spacing w:after="0" w:line="188" w:lineRule="exact"/>
        <w:rPr>
          <w:sz w:val="20"/>
          <w:szCs w:val="20"/>
          <w:color w:val="auto"/>
        </w:rPr>
      </w:pPr>
    </w:p>
    <w:p>
      <w:pPr>
        <w:ind w:right="420"/>
        <w:spacing w:after="0" w:line="310" w:lineRule="auto"/>
        <w:rPr>
          <w:sz w:val="20"/>
          <w:szCs w:val="20"/>
          <w:color w:val="auto"/>
        </w:rPr>
      </w:pPr>
      <w:r>
        <w:rPr>
          <w:rFonts w:ascii="Times New Roman" w:cs="Times New Roman" w:eastAsia="Times New Roman" w:hAnsi="Times New Roman"/>
          <w:sz w:val="19"/>
          <w:szCs w:val="19"/>
          <w:color w:val="auto"/>
        </w:rPr>
        <w:t>Section (28) Required Acceptance; Termination of Prior Agreement. If the Participant does not agree (whether electronically or otherwise) to this Agreement within thirty (30) days from the Grant Date, the Indexed Cash Award shall be terminable by the Company.</w:t>
      </w:r>
    </w:p>
    <w:p>
      <w:pPr>
        <w:spacing w:after="0" w:line="1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Section (29) Recoupment/Clawback Policy; Compensation Subject to Recovery. The Participant acknowledges that the Company adopted the Executive Officer Incentive Compensation Clawback Policy (the “Clawback Policy”) to which the Participant is or may in the future become subject. In consideration of the grant of the Indexed Cash Award, the Participant agrees to abide by the Company’s Clawback Policy and any determinations of the Board or the Compensation Committee pursuant to the Clawback Policy or any similar clawback or recoupment policy which the Company may adopt from time to time to the extent the Board determines in good faith that the adoption and maintenance of such policy is</w:t>
      </w:r>
    </w:p>
    <w:p>
      <w:pPr>
        <w:sectPr>
          <w:pgSz w:w="11900" w:h="16838" w:orient="portrait"/>
          <w:cols w:equalWidth="0" w:num="1">
            <w:col w:w="11200"/>
          </w:cols>
          <w:pgMar w:left="320" w:top="1413" w:right="379" w:bottom="1440" w:gutter="0" w:footer="0" w:header="0"/>
        </w:sectPr>
      </w:pPr>
    </w:p>
    <w:bookmarkStart w:id="111" w:name="page112"/>
    <w:bookmarkEnd w:id="111"/>
    <w:p>
      <w:pPr>
        <w:spacing w:after="0" w:line="269" w:lineRule="auto"/>
        <w:rPr>
          <w:sz w:val="20"/>
          <w:szCs w:val="20"/>
          <w:color w:val="auto"/>
        </w:rPr>
      </w:pPr>
      <w:r>
        <w:rPr>
          <w:rFonts w:ascii="Times New Roman" w:cs="Times New Roman" w:eastAsia="Times New Roman" w:hAnsi="Times New Roman"/>
          <w:sz w:val="19"/>
          <w:szCs w:val="19"/>
          <w:color w:val="auto"/>
        </w:rPr>
        <w:t>necessary to maintain corporate governance best practices and/or comply with the Dodd-Frank Wall Street Reform and Consumer Protection Act and implementing rules and regulations thereunder, or is otherwise required by applicable law. The Participant acknowledges and agrees that the Actual Payout Amount received by the Participant pursuant to this Agreement shall be subject to forfeiture, recovery by the Company or other action pursuant to the Clawback Policy or any such other clawback or recoupment policy. This Section 29 shall survive the Participant’s Termination of Service for any reason. The foregoing remedy is in addition to and separate from any other relief available to the Company due to the Participant’s misconduct or fraud. Any determination by the Board or the Compensation Committee with respect to the foregoing shall be final, conclusive and binding upon the Holder and all persons claiming through the Participant.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1240"/>
          </w:cols>
          <w:pgMar w:left="320" w:top="141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Agreement as of the date first written above.</w:t>
      </w:r>
    </w:p>
    <w:p>
      <w:pPr>
        <w:spacing w:after="0" w:line="200" w:lineRule="exact"/>
        <w:rPr>
          <w:sz w:val="20"/>
          <w:szCs w:val="20"/>
          <w:color w:val="auto"/>
        </w:rPr>
      </w:pPr>
    </w:p>
    <w:p>
      <w:pPr>
        <w:spacing w:after="0" w:line="34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auto"/>
        </w:rPr>
        <w:t>RACKSPACE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196850</wp:posOffset>
            </wp:positionV>
            <wp:extent cx="3034665" cy="3689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3466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300" w:type="dxa"/>
        <w:tblCellMar>
          <w:top w:w="0" w:type="dxa"/>
          <w:left w:w="0" w:type="dxa"/>
          <w:bottom w:w="0" w:type="dxa"/>
          <w:right w:w="0" w:type="dxa"/>
        </w:tblCellMar>
      </w:tblPr>
      <w:tr>
        <w:trPr>
          <w:trHeight w:val="25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7160" w:type="dxa"/>
            <w:vAlign w:val="bottom"/>
            <w:tcBorders>
              <w:bottom w:val="single" w:sz="8" w:color="auto"/>
            </w:tcBorders>
          </w:tcPr>
          <w:p>
            <w:pPr>
              <w:spacing w:after="0"/>
              <w:rPr>
                <w:sz w:val="22"/>
                <w:szCs w:val="22"/>
                <w:color w:val="auto"/>
              </w:rPr>
            </w:pPr>
          </w:p>
        </w:tc>
      </w:tr>
      <w:tr>
        <w:trPr>
          <w:trHeight w:val="24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Kellie Teal-Guess</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7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368300</wp:posOffset>
            </wp:positionV>
            <wp:extent cx="45434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300"/>
        <w:spacing w:after="0"/>
        <w:tabs>
          <w:tab w:leader="none" w:pos="3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%%FIRST_NAME_MIDDLE_NAME_LAST_NAME%-%</w:t>
      </w:r>
    </w:p>
    <w:p>
      <w:pPr>
        <w:sectPr>
          <w:pgSz w:w="11900" w:h="16838" w:orient="portrait"/>
          <w:cols w:equalWidth="0" w:num="1">
            <w:col w:w="10580"/>
          </w:cols>
          <w:pgMar w:left="980" w:top="140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color w:val="auto"/>
        </w:rPr>
        <w:t>RSU_DIR_2024_EDGARTEMPLATE</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RACKSPACE TECHNOLOGY, INC. 2020 EQUITY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GRANT OF RESTRICTED STOCK UNITS FOR DIRECTORS</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Unless otherwise defined herein, the terms defined in the 2020 Rackspace Technology, Inc.’s Equity Incentive Plan, as amended (the “Plan”), shall have the same defined meanings in this Notice of Grant of Restricted Stock Units for Directors (the “Notice of Grant”) and Restricted Stock Unit Agreement for Directors (the “Agreement”).</w:t>
      </w:r>
    </w:p>
    <w:p>
      <w:pPr>
        <w:spacing w:after="0" w:line="250" w:lineRule="exact"/>
        <w:rPr>
          <w:sz w:val="20"/>
          <w:szCs w:val="20"/>
          <w:color w:val="auto"/>
        </w:rPr>
      </w:pPr>
    </w:p>
    <w:p>
      <w:pPr>
        <w:ind w:left="20"/>
        <w:spacing w:after="0"/>
        <w:tabs>
          <w:tab w:leader="none" w:pos="2340" w:val="left"/>
        </w:tabs>
        <w:rPr>
          <w:sz w:val="20"/>
          <w:szCs w:val="20"/>
          <w:color w:val="auto"/>
        </w:rPr>
      </w:pPr>
      <w:r>
        <w:rPr>
          <w:rFonts w:ascii="Times New Roman" w:cs="Times New Roman" w:eastAsia="Times New Roman" w:hAnsi="Times New Roman"/>
          <w:sz w:val="22"/>
          <w:szCs w:val="22"/>
          <w:b w:val="1"/>
          <w:bCs w:val="1"/>
          <w:color w:val="auto"/>
        </w:rPr>
        <w:t>Participant:</w:t>
      </w:r>
      <w:r>
        <w:rPr>
          <w:sz w:val="20"/>
          <w:szCs w:val="20"/>
          <w:color w:val="auto"/>
        </w:rPr>
        <w:tab/>
      </w:r>
      <w:r>
        <w:rPr>
          <w:rFonts w:ascii="Times New Roman" w:cs="Times New Roman" w:eastAsia="Times New Roman" w:hAnsi="Times New Roman"/>
          <w:sz w:val="22"/>
          <w:szCs w:val="22"/>
          <w:color w:val="auto"/>
        </w:rPr>
        <w:t>%%FIRST_NAME%-%_%%MIDDLE_NAME%-%_%%LAST_NAME%-%</w:t>
      </w:r>
    </w:p>
    <w:p>
      <w:pPr>
        <w:spacing w:after="0" w:line="3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Participant has been granted Restricted Stock Units over Common Stock of Rackspace Technology, Inc., subject to the terms and conditions of the Plan and this Agreement, as follows:</w:t>
      </w:r>
    </w:p>
    <w:p>
      <w:pPr>
        <w:sectPr>
          <w:pgSz w:w="11900" w:h="16838" w:orient="portrait"/>
          <w:cols w:equalWidth="0" w:num="1">
            <w:col w:w="11240"/>
          </w:cols>
          <w:pgMar w:left="320" w:top="118" w:right="339" w:bottom="1440" w:gutter="0" w:footer="0" w:header="0"/>
        </w:sectPr>
      </w:pPr>
    </w:p>
    <w:p>
      <w:pPr>
        <w:spacing w:after="0" w:line="2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Grant Number: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%%OPTION_NUMBER%-%</w:t>
      </w:r>
    </w:p>
    <w:p>
      <w:pPr>
        <w:spacing w:after="0" w:line="56" w:lineRule="exact"/>
        <w:rPr>
          <w:sz w:val="20"/>
          <w:szCs w:val="20"/>
          <w:color w:val="auto"/>
        </w:rPr>
      </w:pPr>
    </w:p>
    <w:p>
      <w:pPr>
        <w:sectPr>
          <w:pgSz w:w="11900" w:h="16838" w:orient="portrait"/>
          <w:cols w:equalWidth="0" w:num="2">
            <w:col w:w="2900" w:space="720"/>
            <w:col w:w="7620"/>
          </w:cols>
          <w:pgMar w:left="320" w:top="118"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%%OPTION_DATE,'Month DD, YYYY'%-%</w:t>
      </w:r>
    </w:p>
    <w:p>
      <w:pPr>
        <w:spacing w:after="0" w:line="56" w:lineRule="exact"/>
        <w:rPr>
          <w:sz w:val="20"/>
          <w:szCs w:val="20"/>
          <w:color w:val="auto"/>
        </w:rPr>
      </w:pPr>
    </w:p>
    <w:p>
      <w:pPr>
        <w:sectPr>
          <w:pgSz w:w="11900" w:h="16838" w:orient="portrait"/>
          <w:cols w:equalWidth="0" w:num="2">
            <w:col w:w="2900" w:space="720"/>
            <w:col w:w="7620"/>
          </w:cols>
          <w:pgMar w:left="320" w:top="118" w:right="339" w:bottom="1440" w:gutter="0" w:footer="0" w:header="0"/>
          <w:type w:val="continuous"/>
        </w:sectPr>
      </w:pPr>
    </w:p>
    <w:p>
      <w:pPr>
        <w:ind w:left="680"/>
        <w:spacing w:after="0"/>
        <w:tabs>
          <w:tab w:leader="none" w:pos="1580" w:val="left"/>
        </w:tabs>
        <w:rPr>
          <w:sz w:val="20"/>
          <w:szCs w:val="20"/>
          <w:color w:val="auto"/>
        </w:rPr>
      </w:pPr>
      <w:r>
        <w:rPr>
          <w:rFonts w:ascii="Times New Roman" w:cs="Times New Roman" w:eastAsia="Times New Roman" w:hAnsi="Times New Roman"/>
          <w:sz w:val="22"/>
          <w:szCs w:val="22"/>
          <w:color w:val="auto"/>
        </w:rPr>
        <w:t>Number</w:t>
      </w:r>
      <w:r>
        <w:rPr>
          <w:sz w:val="20"/>
          <w:szCs w:val="20"/>
          <w:color w:val="auto"/>
        </w:rPr>
        <w:tab/>
      </w:r>
      <w:r>
        <w:rPr>
          <w:rFonts w:ascii="Times New Roman" w:cs="Times New Roman" w:eastAsia="Times New Roman" w:hAnsi="Times New Roman"/>
          <w:sz w:val="21"/>
          <w:szCs w:val="21"/>
          <w:color w:val="auto"/>
        </w:rPr>
        <w:t>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Restricted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Stock %%TOTAL_SHARES_GRANTED,'999,999,999'%-%</w:t>
      </w:r>
    </w:p>
    <w:p>
      <w:pPr>
        <w:spacing w:after="0" w:line="40" w:lineRule="exact"/>
        <w:rPr>
          <w:sz w:val="20"/>
          <w:szCs w:val="20"/>
          <w:color w:val="auto"/>
        </w:rPr>
      </w:pPr>
    </w:p>
    <w:p>
      <w:pPr>
        <w:sectPr>
          <w:pgSz w:w="11900" w:h="16838" w:orient="portrait"/>
          <w:cols w:equalWidth="0" w:num="3">
            <w:col w:w="1780" w:space="220"/>
            <w:col w:w="860" w:space="220"/>
            <w:col w:w="8160"/>
          </w:cols>
          <w:pgMar w:left="320" w:top="118"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1"/>
          <w:szCs w:val="21"/>
          <w:color w:val="auto"/>
        </w:rPr>
        <w:t>Units Granted:</w:t>
      </w:r>
    </w:p>
    <w:p>
      <w:pPr>
        <w:sectPr>
          <w:pgSz w:w="11900" w:h="16838" w:orient="portrait"/>
          <w:cols w:equalWidth="0" w:num="1">
            <w:col w:w="11240"/>
          </w:cols>
          <w:pgMar w:left="320" w:top="118" w:right="339" w:bottom="1440" w:gutter="0" w:footer="0" w:header="0"/>
          <w:type w:val="continuous"/>
        </w:sect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Vesting Schedule</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22"/>
          <w:szCs w:val="22"/>
          <w:color w:val="auto"/>
        </w:rPr>
        <w:t>Subject to accelerated vesting and/or forfeiture as set forth in the Agreement or in the Plan, the Restricted Stock Units will vest [INSERT VEST SCHEDULE DESCRIPTION], as set forth in Section 2 of the Agreement.</w:t>
      </w:r>
    </w:p>
    <w:p>
      <w:pPr>
        <w:sectPr>
          <w:pgSz w:w="11900" w:h="16838" w:orient="portrait"/>
          <w:cols w:equalWidth="0" w:num="1">
            <w:col w:w="11240"/>
          </w:cols>
          <w:pgMar w:left="320" w:top="118" w:right="339" w:bottom="1440" w:gutter="0" w:footer="0" w:header="0"/>
          <w:type w:val="continuous"/>
        </w:sectPr>
      </w:pPr>
    </w:p>
    <w:bookmarkStart w:id="114" w:name="page115"/>
    <w:bookmarkEnd w:id="114"/>
    <w:p>
      <w:pPr>
        <w:ind w:left="3880"/>
        <w:spacing w:after="0"/>
        <w:rPr>
          <w:sz w:val="20"/>
          <w:szCs w:val="20"/>
          <w:color w:val="auto"/>
        </w:rPr>
      </w:pPr>
      <w:r>
        <w:rPr>
          <w:rFonts w:ascii="Times New Roman" w:cs="Times New Roman" w:eastAsia="Times New Roman" w:hAnsi="Times New Roman"/>
          <w:sz w:val="22"/>
          <w:szCs w:val="22"/>
          <w:b w:val="1"/>
          <w:bCs w:val="1"/>
          <w:color w:val="auto"/>
        </w:rPr>
        <w:t>RACKSPACE TECHNOLOGY, INC.</w:t>
      </w:r>
    </w:p>
    <w:p>
      <w:pPr>
        <w:spacing w:after="0" w:line="2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 FOR DIRECTORS</w:t>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RESTRICTED STOCK UNIT AGREEMENT FOR DIRECTORS</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including any addendum to the Agreement for the Participant’s country (the “</w:t>
      </w: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dated as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%%OPTION_DATE,'Month DD, YYYY'%-%</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xml:space="preserve">”), by and among </w:t>
      </w:r>
      <w:r>
        <w:rPr>
          <w:rFonts w:ascii="Times New Roman" w:cs="Times New Roman" w:eastAsia="Times New Roman" w:hAnsi="Times New Roman"/>
          <w:sz w:val="22"/>
          <w:szCs w:val="22"/>
          <w:b w:val="1"/>
          <w:bCs w:val="1"/>
          <w:color w:val="auto"/>
        </w:rPr>
        <w:t>RACKSPACE TECHNOLOGY,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following individual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%%FIRST_NAME%-%_%%LAST_NAME%-%.</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Rackspace Technology, Inc. Non-Employee Director Compensation Policy,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acting through the Board, has granted to the Participant, effective as of the date of this Agreement, Restricted Stock Units under the Company’s 2020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to acquire a number of shares of Common Stock (as defined in the Plan) on the terms and subject to the conditions set forth in this Agreement and the Plan;</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promises and of the mutual agreements contained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agree as follows: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xml:space="preserve">. The terms and provisions of the Plan are hereby incorporated into this Agreement as if set forth herein in their entirety (including, without limitation, the provisions of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In the event of a conflict between any provision of this Agreement and the Plan, the provisions of the Plan shall control. A copy of the Plan may be obtained from the Company by the Participant upon request. Capitalized terms used herein and not otherwise defined shall have the meanings ascribed thereto in the Plan.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Subject to the Participant’s continued service, the Restricted Stock Units shall become non-forfeitable and shall vest [INSERT VEST SCHEDULE DESCRIPTION];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Restricted Stock Units shall immediately vest upon a (i) Change in Control or (ii) the death or Disability of the Participant.</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Notwithstanding anything contained herein to the contrary, the Restricted Stock Units shall cease vesting as of the date of the Participant’s Termination of Service for any reason other than the death or Disability of the Participant and no portion of the Restricted Stock Units that is not vested as of such time shall vest thereafter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that portion of the Restricted Stock Units that is not vested shall be forfeited immediately). The Restricted Stock Units will be immediately forfeited by the Participant and cancelled by the Company.</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xml:space="preserve"> As soon as practicable after the vesting date or other vesting event under this Agreement but in no event later than the seventieth (70th) calendar day following such vesting date, the Participant shall receive the number of Shares that correspond to the number of Restricted Stock Units that have become vested on the applicable vesting date. Notwithstanding the foregoing, in accordance with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of the Plan, the Board, at its sole</w:t>
      </w:r>
    </w:p>
    <w:p>
      <w:pPr>
        <w:sectPr>
          <w:pgSz w:w="11900" w:h="16838" w:orient="portrait"/>
          <w:cols w:equalWidth="0" w:num="1">
            <w:col w:w="11240"/>
          </w:cols>
          <w:pgMar w:left="320" w:top="1418" w:right="339" w:bottom="1440" w:gutter="0" w:footer="0" w:header="0"/>
        </w:sectPr>
      </w:pPr>
    </w:p>
    <w:bookmarkStart w:id="115" w:name="page116"/>
    <w:bookmarkEnd w:id="115"/>
    <w:p>
      <w:pPr>
        <w:jc w:val="both"/>
        <w:spacing w:after="0" w:line="258" w:lineRule="auto"/>
        <w:rPr>
          <w:sz w:val="20"/>
          <w:szCs w:val="20"/>
          <w:color w:val="auto"/>
        </w:rPr>
      </w:pPr>
      <w:r>
        <w:rPr>
          <w:rFonts w:ascii="Times New Roman" w:cs="Times New Roman" w:eastAsia="Times New Roman" w:hAnsi="Times New Roman"/>
          <w:sz w:val="22"/>
          <w:szCs w:val="22"/>
          <w:color w:val="auto"/>
        </w:rPr>
        <w:t>discretion, may settle the Restricted Stock Units in cash if necessary or appropriate for legal or administrative reasons based on laws in the Participant’s jurisdiction.</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The Restricted Stock Units may not be transferred, pledged, assigned, hypothecated or otherwise disposed of in any way by the Participant. The Restricted Stock Units shall not be subject to execution, attachment or similar process. Any attempted assignment, transfer, pledge, hypothecation or other disposition of the Restricted Stock Units contrary to the provisions hereof, and the levy of any execution, attachment or similar process upon the Restricted Stock Units, shall be null and void and without effect.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Participant’s Service Relationship as a Director</w:t>
      </w:r>
      <w:r>
        <w:rPr>
          <w:rFonts w:ascii="Times New Roman" w:cs="Times New Roman" w:eastAsia="Times New Roman" w:hAnsi="Times New Roman"/>
          <w:sz w:val="22"/>
          <w:szCs w:val="22"/>
          <w:color w:val="auto"/>
        </w:rPr>
        <w:t>. Nothing in this Agreement nor the grant of the Restricted Stock Units shall confer upon the Participant any right to continue the Participant’s service relationship as a director or interfere in any way with any right of removal with respect to such director, as provided under the Company’s Second Amended and Restated Certificate of Incorporation, as amended from time to time, or with the Board’s authority to increase or decrease the Participant’s compensation. The grant of Restricted Stock Units is an exceptional and voluntary benefit.</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For the avoidance of doubt, the Restricted Stock Units shall cease vesting and shall be forfeited immediately as of the date of the Participant’s Termination of Service and cancelled by the Company; provided, however, that the Restricted Stock Units shall immediately vest upon (a) a Change in Control or (b) the death or Disability of the Participant.</w:t>
      </w:r>
    </w:p>
    <w:p>
      <w:pPr>
        <w:spacing w:after="0" w:line="20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Responsibility for Taxes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300" w:hanging="320"/>
        <w:spacing w:after="0" w:line="244" w:lineRule="exact"/>
        <w:tabs>
          <w:tab w:leader="none" w:pos="129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that, regardless of any action taken by the Company, the ultimate liability for all income tax, social insurance, payroll tax, fringe benefits tax, payment on account or other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 related to the Participant’s participation in the Plan and legally applicable to the Participant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is and remains the Participant’s responsibility and may exceed the amount (if any) actually withheld by the Company. The Participant further acknowledges that the Company (i) makes no representations or undertakings regarding the treatment of any Tax-Related Items in connection with any aspect of the Restricted Stock Units, including, but not limited to, the grant or vesting of the Restricted Stock Units, the subsequent sale of Shares acquired pursuant to such vesting; and (ii) does not commit to and is under no obligation to structure the terms of the grant or any aspect of Restricted Stock Units to reduce or eliminate the Participant’s liability for Tax-Related Items or achieve any particular tax result. The Participant shall not make any claim against the Company, or any other Subsidiary, or their respective boards, officers or employees related to Tax-Related Items arising from the Restricted Stock Units. Further, if the Participant is subject to Tax-Related Items in more than one jurisdiction, the Participant acknowledges that the Company may be required to withhold or account for Tax-Related Items in more than one jurisdiction.</w:t>
      </w:r>
    </w:p>
    <w:p>
      <w:pPr>
        <w:spacing w:after="0" w:line="209"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29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responsible for withholding any applicable Tax-Related Items from a director, unless required by Applicable Law. To the extent that Tax-Related Items are required to be withheld under Applicable Law, the</w:t>
      </w:r>
    </w:p>
    <w:p>
      <w:pPr>
        <w:sectPr>
          <w:pgSz w:w="11900" w:h="16838" w:orient="portrait"/>
          <w:cols w:equalWidth="0" w:num="1">
            <w:col w:w="11240"/>
          </w:cols>
          <w:pgMar w:left="320" w:top="1408" w:right="339" w:bottom="1440" w:gutter="0" w:footer="0" w:header="0"/>
        </w:sectPr>
      </w:pPr>
    </w:p>
    <w:bookmarkStart w:id="116" w:name="page117"/>
    <w:bookmarkEnd w:id="116"/>
    <w:p>
      <w:pPr>
        <w:jc w:val="both"/>
        <w:ind w:left="320"/>
        <w:spacing w:after="0" w:line="246" w:lineRule="auto"/>
        <w:rPr>
          <w:sz w:val="20"/>
          <w:szCs w:val="20"/>
          <w:color w:val="auto"/>
        </w:rPr>
      </w:pPr>
      <w:r>
        <w:rPr>
          <w:rFonts w:ascii="Times New Roman" w:cs="Times New Roman" w:eastAsia="Times New Roman" w:hAnsi="Times New Roman"/>
          <w:sz w:val="21"/>
          <w:szCs w:val="21"/>
          <w:color w:val="auto"/>
        </w:rPr>
        <w:t>Participant agrees to make adequate arrangements satisfactory to the Company to satisfy all Tax-Related Items. In this regard, the Participant authorizes the Company, or its respective agents, to satisfy any applicable withholding obligations with regard to Tax-Related Items by withholding Shares to be issued upon vesting. Alternatively, if the Company determines in its sole discretion that withholding Shares is not feasible under applicable tax or securities laws or potentially has adverse accounting, financial, contractual or other consequences, the Participant authorizes the Company, or its respective agents, at their discretion and with no obligation to do so, to satisfy any applicable withholding obligations with regard to Tax-Related Items by one or a combination of the following:</w:t>
      </w:r>
    </w:p>
    <w:p>
      <w:pPr>
        <w:spacing w:after="0" w:line="198" w:lineRule="exact"/>
        <w:rPr>
          <w:sz w:val="20"/>
          <w:szCs w:val="20"/>
          <w:color w:val="auto"/>
        </w:rPr>
      </w:pPr>
    </w:p>
    <w:p>
      <w:pPr>
        <w:ind w:left="960" w:hanging="312"/>
        <w:spacing w:after="0"/>
        <w:tabs>
          <w:tab w:leader="none" w:pos="9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the Participant’s cash compensation payable to the Participant by the Company;</w:t>
      </w:r>
    </w:p>
    <w:p>
      <w:pPr>
        <w:spacing w:after="0" w:line="233" w:lineRule="exact"/>
        <w:rPr>
          <w:rFonts w:ascii="Times New Roman" w:cs="Times New Roman" w:eastAsia="Times New Roman" w:hAnsi="Times New Roman"/>
          <w:sz w:val="22"/>
          <w:szCs w:val="22"/>
          <w:color w:val="auto"/>
        </w:rPr>
      </w:pPr>
    </w:p>
    <w:p>
      <w:pPr>
        <w:jc w:val="both"/>
        <w:ind w:left="980" w:hanging="332"/>
        <w:spacing w:after="0" w:line="238" w:lineRule="auto"/>
        <w:tabs>
          <w:tab w:leader="none" w:pos="97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proceeds of the sale of Shares acquired at vesting either through a voluntary sale or through a mandatory sale arranged by the Company (on the director’s behalf pursuant to this authorization) without further consent, including by aggregating such Shares into sell orders that include Shares held by other participants and routing such sell orders to the special handling desk or other trading desk managed by the Company’s stock plan administrator;</w:t>
      </w:r>
    </w:p>
    <w:p>
      <w:pPr>
        <w:spacing w:after="0" w:line="204" w:lineRule="exact"/>
        <w:rPr>
          <w:sz w:val="20"/>
          <w:szCs w:val="20"/>
          <w:color w:val="auto"/>
        </w:rPr>
      </w:pPr>
    </w:p>
    <w:p>
      <w:pPr>
        <w:jc w:val="right"/>
        <w:ind w:left="640"/>
        <w:spacing w:after="0" w:line="241" w:lineRule="auto"/>
        <w:rPr>
          <w:sz w:val="20"/>
          <w:szCs w:val="20"/>
          <w:color w:val="auto"/>
        </w:rPr>
      </w:pPr>
      <w:r>
        <w:rPr>
          <w:rFonts w:ascii="Times New Roman" w:cs="Times New Roman" w:eastAsia="Times New Roman" w:hAnsi="Times New Roman"/>
          <w:sz w:val="22"/>
          <w:szCs w:val="22"/>
          <w:color w:val="auto"/>
        </w:rPr>
        <w:t>(iii)cash payment made by the Participant to the Company; provided that (i) the participant made the appropriate elections as may be specified in the Participant’s stock plan account from time to time AND</w:t>
      </w:r>
    </w:p>
    <w:p>
      <w:pPr>
        <w:spacing w:after="0" w:line="2" w:lineRule="exact"/>
        <w:rPr>
          <w:sz w:val="20"/>
          <w:szCs w:val="20"/>
          <w:color w:val="auto"/>
        </w:rPr>
      </w:pPr>
    </w:p>
    <w:p>
      <w:pPr>
        <w:ind w:left="980" w:hanging="8"/>
        <w:spacing w:after="0" w:line="237" w:lineRule="auto"/>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cash payment is actually made or available to the Company in the Participant’s stock plan account within forty-eight (48) hours immediately following the applicable vest date; and/or</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(iv)any other methods approved by the Board and permitted by applicable laws.</w:t>
      </w:r>
    </w:p>
    <w:p>
      <w:pPr>
        <w:spacing w:after="0" w:line="233" w:lineRule="exact"/>
        <w:rPr>
          <w:sz w:val="20"/>
          <w:szCs w:val="20"/>
          <w:color w:val="auto"/>
        </w:rPr>
      </w:pPr>
    </w:p>
    <w:p>
      <w:pPr>
        <w:jc w:val="both"/>
        <w:ind w:left="320" w:hanging="320"/>
        <w:spacing w:after="0" w:line="232" w:lineRule="auto"/>
        <w:tabs>
          <w:tab w:leader="none" w:pos="31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withholding is required by Applicable Law, the Company may withhold or account for Tax-Related Items by considering applicable minimum statutory withholding amounts or other applicable withholding rates, including maximum applicable rates, in which case the Participant may receive a refund of any over-withheld amount and will have no entitlement to the Share equivalent or, if not refunded, the Participant may seek a refund from the applicable tax authorities. If the obligation for Tax-Related Items is satisfied by withholding in Shares, the Participant is deemed, for tax purposes, to have been issued the full number of Shares subject to the vested Restricted Stock Units, notwithstanding that a number of the Shares is held back solely for the purpose of paying the Tax-Related Items. Finally, the Participant agrees to pay to the Company any amount of Tax-Related Items that the Company may be required to withhold or account for as a result of the Participant’s participation in the Plan that cannot be satisfied by the means previously described. The Company may refuse to issue or deliver the Shares or the proceeds of the sale of Shares, if the Participant fails to comply with his or her obligations in connection with the Tax-Related Items.</w:t>
      </w:r>
    </w:p>
    <w:p>
      <w:pPr>
        <w:sectPr>
          <w:pgSz w:w="11900" w:h="16838" w:orient="portrait"/>
          <w:cols w:equalWidth="0" w:num="1">
            <w:col w:w="10260"/>
          </w:cols>
          <w:pgMar w:left="1300" w:top="1408" w:right="339" w:bottom="1440" w:gutter="0" w:footer="0" w:header="0"/>
        </w:sectPr>
      </w:pPr>
    </w:p>
    <w:bookmarkStart w:id="117" w:name="page118"/>
    <w:bookmarkEnd w:id="117"/>
    <w:p>
      <w:pPr>
        <w:spacing w:after="0" w:line="2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Restricted Stock Units, the Participant acknowledges, understands and agrees that:</w:t>
      </w:r>
    </w:p>
    <w:p>
      <w:pPr>
        <w:spacing w:after="0" w:line="200" w:lineRule="exact"/>
        <w:rPr>
          <w:sz w:val="20"/>
          <w:szCs w:val="20"/>
          <w:color w:val="auto"/>
        </w:rPr>
      </w:pPr>
    </w:p>
    <w:p>
      <w:pPr>
        <w:spacing w:after="0" w:line="267" w:lineRule="exact"/>
        <w:rPr>
          <w:sz w:val="20"/>
          <w:szCs w:val="20"/>
          <w:color w:val="auto"/>
        </w:rPr>
      </w:pPr>
    </w:p>
    <w:p>
      <w:pPr>
        <w:ind w:left="1300" w:right="20" w:hanging="320"/>
        <w:spacing w:after="0" w:line="241" w:lineRule="auto"/>
        <w:tabs>
          <w:tab w:leader="none" w:pos="12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 w:lineRule="exact"/>
        <w:rPr>
          <w:rFonts w:ascii="Times New Roman" w:cs="Times New Roman" w:eastAsia="Times New Roman" w:hAnsi="Times New Roman"/>
          <w:sz w:val="22"/>
          <w:szCs w:val="22"/>
          <w:color w:val="auto"/>
        </w:rPr>
      </w:pPr>
    </w:p>
    <w:p>
      <w:pPr>
        <w:ind w:left="1300" w:hanging="320"/>
        <w:spacing w:after="0" w:line="224" w:lineRule="auto"/>
        <w:tabs>
          <w:tab w:leader="none" w:pos="129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Company;</w:t>
      </w:r>
    </w:p>
    <w:p>
      <w:pPr>
        <w:ind w:left="1300" w:hanging="320"/>
        <w:spacing w:after="0" w:line="230" w:lineRule="auto"/>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ind w:left="1300" w:hanging="320"/>
        <w:spacing w:after="0" w:line="230" w:lineRule="auto"/>
        <w:tabs>
          <w:tab w:leader="none" w:pos="129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 with certainty;</w:t>
      </w:r>
    </w:p>
    <w:p>
      <w:pPr>
        <w:spacing w:after="0" w:line="1" w:lineRule="exact"/>
        <w:rPr>
          <w:rFonts w:ascii="Times New Roman" w:cs="Times New Roman" w:eastAsia="Times New Roman" w:hAnsi="Times New Roman"/>
          <w:sz w:val="22"/>
          <w:szCs w:val="22"/>
          <w:color w:val="auto"/>
        </w:rPr>
      </w:pPr>
    </w:p>
    <w:p>
      <w:pPr>
        <w:ind w:left="1300" w:hanging="320"/>
        <w:spacing w:after="0" w:line="230" w:lineRule="auto"/>
        <w:tabs>
          <w:tab w:leader="none" w:pos="12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Restricted Stock Units vest and the Participant acquires Shares, the value of such Stock may increase or decrease in value;</w:t>
      </w:r>
    </w:p>
    <w:p>
      <w:pPr>
        <w:spacing w:after="0" w:line="1" w:lineRule="exact"/>
        <w:rPr>
          <w:rFonts w:ascii="Times New Roman" w:cs="Times New Roman" w:eastAsia="Times New Roman" w:hAnsi="Times New Roman"/>
          <w:sz w:val="22"/>
          <w:szCs w:val="22"/>
          <w:color w:val="auto"/>
        </w:rPr>
      </w:pPr>
    </w:p>
    <w:p>
      <w:pPr>
        <w:jc w:val="both"/>
        <w:ind w:left="1300" w:hanging="320"/>
        <w:spacing w:after="0" w:line="230" w:lineRule="auto"/>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Company in its sole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2" w:lineRule="exact"/>
        <w:rPr>
          <w:rFonts w:ascii="Times New Roman" w:cs="Times New Roman" w:eastAsia="Times New Roman" w:hAnsi="Times New Roman"/>
          <w:sz w:val="22"/>
          <w:szCs w:val="22"/>
          <w:color w:val="auto"/>
        </w:rPr>
      </w:pPr>
    </w:p>
    <w:p>
      <w:pPr>
        <w:jc w:val="both"/>
        <w:ind w:left="1300" w:hanging="320"/>
        <w:spacing w:after="0" w:line="230" w:lineRule="auto"/>
        <w:tabs>
          <w:tab w:leader="none" w:pos="129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the Participant’s participation in the Plan or the Participant’s acquisition or sale of the Shares. The Participant should consult with his or her personal tax, legal and financial advisors regarding his or her participation in the Plan before taking any action related to the Plan.</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Data Privacy Consent</w:t>
      </w:r>
      <w:r>
        <w:rPr>
          <w:rFonts w:ascii="Times New Roman" w:cs="Times New Roman" w:eastAsia="Times New Roman" w:hAnsi="Times New Roman"/>
          <w:sz w:val="21"/>
          <w:szCs w:val="21"/>
          <w:b w:val="1"/>
          <w:bCs w:val="1"/>
          <w:i w:val="1"/>
          <w:iCs w:val="1"/>
          <w:color w:val="auto"/>
        </w:rPr>
        <w:t>.</w:t>
      </w:r>
    </w:p>
    <w:p>
      <w:pPr>
        <w:spacing w:after="0" w:line="233"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The Company is located at 19122 US Highway 281N, Suite 128, San Antonio, TX 78258-7667 and grants the Participant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spacing w:after="0" w:line="199" w:lineRule="exact"/>
        <w:rPr>
          <w:sz w:val="20"/>
          <w:szCs w:val="20"/>
          <w:color w:val="auto"/>
        </w:rPr>
      </w:pPr>
    </w:p>
    <w:p>
      <w:pPr>
        <w:jc w:val="both"/>
        <w:ind w:left="660" w:hanging="328"/>
        <w:spacing w:after="0" w:line="234" w:lineRule="auto"/>
        <w:tabs>
          <w:tab w:leader="none" w:pos="6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Data Collection and Usage.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stock or directorships held in the Company, and details of all awards, canceled, vested, or outstanding in the Participant's favor, which the Company receives from the Participant.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spacing w:after="0" w:line="200" w:lineRule="exact"/>
        <w:rPr>
          <w:sz w:val="20"/>
          <w:szCs w:val="20"/>
          <w:color w:val="auto"/>
        </w:rPr>
      </w:pPr>
    </w:p>
    <w:p>
      <w:pPr>
        <w:ind w:left="660" w:hanging="328"/>
        <w:spacing w:after="0" w:line="264" w:lineRule="auto"/>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Stock Plan Administration Service Providers. The Company transfers participant data to E*Trade and/or Morgan Stanley Smith Barney, an independent service provider</w:t>
      </w:r>
    </w:p>
    <w:p>
      <w:pPr>
        <w:sectPr>
          <w:pgSz w:w="11900" w:h="16838" w:orient="portrait"/>
          <w:cols w:equalWidth="0" w:num="1">
            <w:col w:w="11240"/>
          </w:cols>
          <w:pgMar w:left="320" w:top="1440" w:right="339" w:bottom="1440" w:gutter="0" w:footer="0" w:header="0"/>
        </w:sectPr>
      </w:pPr>
    </w:p>
    <w:bookmarkStart w:id="118" w:name="page119"/>
    <w:bookmarkEnd w:id="118"/>
    <w:p>
      <w:pPr>
        <w:jc w:val="both"/>
        <w:ind w:left="328"/>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based in the United States, which assists the Company with the implementation, administration and management of the Plan, and if the Participant’s Restricted Stock Units vest, the Company transfers shareholder data to Computershare, an independent service provider based in the United States, which assists the Company with its stock administration.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w:t>
      </w:r>
    </w:p>
    <w:p>
      <w:pPr>
        <w:spacing w:after="0" w:line="200" w:lineRule="exact"/>
        <w:rPr>
          <w:sz w:val="20"/>
          <w:szCs w:val="20"/>
          <w:color w:val="auto"/>
        </w:rPr>
      </w:pPr>
    </w:p>
    <w:p>
      <w:pPr>
        <w:jc w:val="both"/>
        <w:ind w:left="328" w:hanging="328"/>
        <w:spacing w:after="0" w:line="247" w:lineRule="auto"/>
        <w:tabs>
          <w:tab w:leader="none" w:pos="31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International Data Transfers. The Company and its service providers are based in the United States. If the Participant is outside of the United States, the Participant should note that his or her country may have enacted data privacy laws that are different from the United States.</w:t>
      </w:r>
    </w:p>
    <w:p>
      <w:pPr>
        <w:spacing w:after="0" w:line="191" w:lineRule="exact"/>
        <w:rPr>
          <w:sz w:val="20"/>
          <w:szCs w:val="20"/>
          <w:color w:val="auto"/>
        </w:rPr>
      </w:pPr>
    </w:p>
    <w:p>
      <w:pPr>
        <w:jc w:val="both"/>
        <w:ind w:left="328" w:hanging="328"/>
        <w:spacing w:after="0" w:line="241" w:lineRule="auto"/>
        <w:tabs>
          <w:tab w:leader="none" w:pos="32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Data Retention.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spacing w:after="0" w:line="199" w:lineRule="exact"/>
        <w:rPr>
          <w:sz w:val="20"/>
          <w:szCs w:val="20"/>
          <w:color w:val="auto"/>
        </w:rPr>
      </w:pPr>
    </w:p>
    <w:p>
      <w:pPr>
        <w:jc w:val="both"/>
        <w:ind w:left="328" w:hanging="328"/>
        <w:spacing w:after="0" w:line="238" w:lineRule="auto"/>
        <w:tabs>
          <w:tab w:leader="none" w:pos="31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Voluntariness and Consequences of Consent Denial or Withdrawal.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may cause the Participant to forfeit the opportunities associated with the Plan.</w:t>
      </w:r>
    </w:p>
    <w:p>
      <w:pPr>
        <w:spacing w:after="0" w:line="198" w:lineRule="exact"/>
        <w:rPr>
          <w:sz w:val="20"/>
          <w:szCs w:val="20"/>
          <w:color w:val="auto"/>
        </w:rPr>
      </w:pPr>
    </w:p>
    <w:p>
      <w:pPr>
        <w:jc w:val="both"/>
        <w:ind w:left="328" w:hanging="328"/>
        <w:spacing w:after="0" w:line="249" w:lineRule="auto"/>
        <w:tabs>
          <w:tab w:leader="none" w:pos="31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Data Subject Rights.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Stock Plan Administrator, 1718 Dry Creek Way, Suite 115, San Antonio, TX 78259-1837, USA.</w:t>
      </w:r>
    </w:p>
    <w:p>
      <w:pPr>
        <w:spacing w:after="0" w:line="190" w:lineRule="exact"/>
        <w:rPr>
          <w:sz w:val="20"/>
          <w:szCs w:val="20"/>
          <w:color w:val="auto"/>
        </w:rPr>
      </w:pPr>
    </w:p>
    <w:p>
      <w:pPr>
        <w:jc w:val="both"/>
        <w:ind w:left="328" w:hanging="328"/>
        <w:spacing w:after="0" w:line="235"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The Participant also understands that the Company may rely on a different legal basis for the processing or transfer of data in the future and/or request the Participant to provide another data privacy consent. If applicable and upon request of the Company, the Participant agrees to provide an executed acknowledgement or data privacy consent form to the Company (or any other acknowledgements, agreements or consents) that the Company may deem necessary to obtain under the data privacy laws in the Participant's country, either now or in the future. The Participant understands</w:t>
      </w:r>
    </w:p>
    <w:p>
      <w:pPr>
        <w:sectPr>
          <w:pgSz w:w="11900" w:h="16838" w:orient="portrait"/>
          <w:cols w:equalWidth="0" w:num="1">
            <w:col w:w="10908"/>
          </w:cols>
          <w:pgMar w:left="652" w:top="1402" w:right="339" w:bottom="1440" w:gutter="0" w:footer="0" w:header="0"/>
        </w:sectPr>
      </w:pPr>
    </w:p>
    <w:bookmarkStart w:id="119" w:name="page120"/>
    <w:bookmarkEnd w:id="119"/>
    <w:p>
      <w:pPr>
        <w:ind w:left="66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that he or she will not be able to participate in the Plan if the Participant fails to execute any such acknowledgement, agreement or consent requested by the Company.</w:t>
      </w:r>
    </w:p>
    <w:p>
      <w:pPr>
        <w:spacing w:after="0" w:line="17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Notwithstanding any other provisions of the Plan or this Agreement, unless there is an exemption from any registration, qualification or other legal requirement applicable to the Shares, the Company shall not be required to deliver any Shares issuable upon vesting of the Restricted Stock Units prior to the completion of any registration or qualification of the Shares under any U.S. or non-U.S. local, state or federal securities or exchange control law or regulation or under rulings or regulations of the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with the SEC or any U.S. or non-U.S. state or other securities commission or to seek approval or clearance from any governmental authority for the issuance or sale of the Shares and the inability of the Company to obtain approval from any regulatory body having authority deemed by the Company to be necessary for the lawful issuance and sale of any Shares pursuant to the Restricted Stock Units shall relieve the Company of any liability with respect to the non-issuance or sale of the Shares as to which such approval shall not have been obtained.</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Participant acknowledges that he or she is sufficiently proficient in English to understand the terms and conditions of this Agreement. Furthermore, if the Participant has received this Agreement, or any other document related to the Restricted Stock Units and/or the Plan translated into a language other than English and if the meaning of the translated version is different than the English version, the English version will control.</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Notwithstanding any provisions in this Agreement, the Restricted Stock Units shall be subject to any special terms and conditions set forth in any Addendum to this Agreement for the Participant’s country. Moreover, if the Participant relocates to one of the countries included in the Addendum, the special terms and conditions for such country will apply to the Participant, to the extent the Committee determines that the application of such terms and conditions is necessary or advisable for legal or administrative reasons. The Addendum constitutes part of this Agreement.</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the Participant’s participation in the Plan, on the Restricted Stock Units and on any Shares purchased upon vesting of the Restricted Stock Units, to the extent the Company determines it is necessary or advisable for legal or administrative reasons, and to require the Participant to sign any additional agreements or undertakings that may be necessary to accomplish the foregoing.</w:t>
      </w:r>
    </w:p>
    <w:p>
      <w:pPr>
        <w:sectPr>
          <w:pgSz w:w="11900" w:h="16838" w:orient="portrait"/>
          <w:cols w:equalWidth="0" w:num="1">
            <w:col w:w="11240"/>
          </w:cols>
          <w:pgMar w:left="320" w:top="1402" w:right="339" w:bottom="1440" w:gutter="0" w:footer="0" w:header="0"/>
        </w:sectPr>
      </w:pPr>
    </w:p>
    <w:bookmarkStart w:id="120" w:name="page121"/>
    <w:bookmarkEnd w:id="120"/>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claims, certificates, requests, demands and other communications hereunder shall be in writing and shall be deemed to have been duly given and delivered if personally delivered or if sent by an internationally recognized overnight courier, by facsimile, by email, or by registered or certified mail, return receipt requested and postage prepaid, addressed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to it at its current executive offices and to:</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1718 Dry Creek Way, Suite 115</w:t>
      </w:r>
    </w:p>
    <w:p>
      <w:pPr>
        <w:ind w:left="1300"/>
        <w:spacing w:after="0"/>
        <w:rPr>
          <w:sz w:val="20"/>
          <w:szCs w:val="20"/>
          <w:color w:val="auto"/>
        </w:rPr>
      </w:pPr>
      <w:r>
        <w:rPr>
          <w:rFonts w:ascii="Times New Roman" w:cs="Times New Roman" w:eastAsia="Times New Roman" w:hAnsi="Times New Roman"/>
          <w:sz w:val="20"/>
          <w:szCs w:val="20"/>
          <w:color w:val="auto"/>
        </w:rPr>
        <w:t>San Antonio, TX 78259-1837</w:t>
      </w:r>
    </w:p>
    <w:p>
      <w:pPr>
        <w:ind w:left="1300"/>
        <w:spacing w:after="0" w:line="236" w:lineRule="auto"/>
        <w:rPr>
          <w:sz w:val="20"/>
          <w:szCs w:val="20"/>
          <w:color w:val="auto"/>
        </w:rPr>
      </w:pPr>
      <w:r>
        <w:rPr>
          <w:rFonts w:ascii="Times New Roman" w:cs="Times New Roman" w:eastAsia="Times New Roman" w:hAnsi="Times New Roman"/>
          <w:sz w:val="20"/>
          <w:szCs w:val="20"/>
          <w:color w:val="auto"/>
        </w:rPr>
        <w:t>Attn: Deputy General Counsel, Corporate &amp; Securities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Legalnotice@rackspace.com</w:t>
      </w:r>
    </w:p>
    <w:p>
      <w:pPr>
        <w:spacing w:after="0" w:line="20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If to the Participant, to him or her at the address set forth on the signature page hereto or to such other address as the party to whom notice is to be given may have furnished to the other party in writing in accordance herewith.</w:t>
      </w:r>
    </w:p>
    <w:p>
      <w:pPr>
        <w:spacing w:after="0" w:line="1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Any such notice or communication shall be deemed to have been received (a) in the case of personal delivery, on the date of such delivery (or if such date is not a business day, on the next business day after the date of delivery), (b) in the case of internationally recognized overnight courier, on the next business day after the date sent, (c) in the case of email, when transmitted via email (in each case, if no “system error” or other notice of non-delivery is generated) to the applicable party and its legal counsel set forth above, and (d) in the case of mailing, on the third business day following that on which the piece of mail containing such communication is posted.</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The waiver by either party of a breach of any provision of this Agreement must be in writing and shall not operate or be construed as a waiver of any other or subsequent breach.</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Participant’s Undertaking</w:t>
      </w:r>
      <w:r>
        <w:rPr>
          <w:rFonts w:ascii="Times New Roman" w:cs="Times New Roman" w:eastAsia="Times New Roman" w:hAnsi="Times New Roman"/>
          <w:sz w:val="22"/>
          <w:szCs w:val="22"/>
          <w:color w:val="auto"/>
        </w:rPr>
        <w:t>. The Participant hereby agrees to take whatever additional actions and execute whatever additional documents the Company may in its reasonable judgment deem necessary or advisable in order to carry out or effect one or more of the obligations or restrictions imposed on the Participant pursuant to the express provisions of this Agreement and the Plan.</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Modification of Rights</w:t>
      </w:r>
      <w:r>
        <w:rPr>
          <w:rFonts w:ascii="Times New Roman" w:cs="Times New Roman" w:eastAsia="Times New Roman" w:hAnsi="Times New Roman"/>
          <w:sz w:val="22"/>
          <w:szCs w:val="22"/>
          <w:color w:val="auto"/>
        </w:rPr>
        <w:t>. The rights of the Participant are subject to modification and termination in certain events as provided in this Agreement and the Plan (with respect to the Restricted Stock Units granted hereby). Notwithstanding the foregoing, the Participant’s rights under this Agreement and the Plan may not be materially impaired without the Participant’s consent.</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19.</w:t>
      </w:r>
      <w:r>
        <w:rPr>
          <w:sz w:val="20"/>
          <w:szCs w:val="20"/>
          <w:color w:val="auto"/>
        </w:rPr>
        <w:tab/>
      </w:r>
      <w:r>
        <w:rPr>
          <w:rFonts w:ascii="Times New Roman" w:cs="Times New Roman" w:eastAsia="Times New Roman" w:hAnsi="Times New Roman"/>
          <w:sz w:val="21"/>
          <w:szCs w:val="21"/>
          <w:u w:val="single" w:color="auto"/>
          <w:color w:val="auto"/>
        </w:rPr>
        <w:t>Governing Law; Consent to Jurisdiction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300" w:hanging="320"/>
        <w:spacing w:after="0" w:line="239" w:lineRule="auto"/>
        <w:tabs>
          <w:tab w:leader="none" w:pos="129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ANY SERVICE AGREEMENT, THIS AGREEMENT WILL BE GOVERNED BY AND CONSTRUED EXCLUSIVELY IN ACCORDANCE WITH THE LAWS OF THE STATE OF DELAWARE, WITHOUT GIVING EFFECT TO ANY CHOICE OF LAW OR CONFLICTING PROVISION OR RULE</w:t>
      </w:r>
    </w:p>
    <w:p>
      <w:pPr>
        <w:sectPr>
          <w:pgSz w:w="11900" w:h="16838" w:orient="portrait"/>
          <w:cols w:equalWidth="0" w:num="1">
            <w:col w:w="11240"/>
          </w:cols>
          <w:pgMar w:left="320" w:top="1408" w:right="339" w:bottom="1440" w:gutter="0" w:footer="0" w:header="0"/>
        </w:sectPr>
      </w:pPr>
    </w:p>
    <w:bookmarkStart w:id="121" w:name="page122"/>
    <w:bookmarkEnd w:id="121"/>
    <w:p>
      <w:pPr>
        <w:jc w:val="both"/>
        <w:ind w:left="1300"/>
        <w:spacing w:after="0" w:line="236" w:lineRule="auto"/>
        <w:rPr>
          <w:sz w:val="20"/>
          <w:szCs w:val="20"/>
          <w:color w:val="auto"/>
        </w:rPr>
      </w:pPr>
      <w:r>
        <w:rPr>
          <w:rFonts w:ascii="Times New Roman" w:cs="Times New Roman" w:eastAsia="Times New Roman" w:hAnsi="Times New Roman"/>
          <w:sz w:val="22"/>
          <w:szCs w:val="22"/>
          <w:color w:val="auto"/>
        </w:rPr>
        <w:t>(WHETHER OF THE STATE OF DELAWARE OR ANY OTHER JURISDICTION) THAT WOULD CAUSE THE LAWS OF ANY JURISDICTION OTHER THAN THE STATE OF DELAWARE TO BE APPLIED. IN FURTHERANCE OF THE FOREGOING, THE INTERNAL LAW OF THE STATE OF DELAWARE WILL CONTROL THE INTERPRETATION AND CONSTRUCTION OF THIS AGREEMENT, EVEN IF UNDER SUCH JURISDICTION’S CHOICE OF LAW OR CONFLICT OF LAW ANALYSIS, THE SUBSTANTIVE LAW OF SOME OTHER JURISDICTION WOULD ORDINARILY APPLY.</w:t>
      </w:r>
    </w:p>
    <w:p>
      <w:pPr>
        <w:spacing w:after="0" w:line="195" w:lineRule="exact"/>
        <w:rPr>
          <w:sz w:val="20"/>
          <w:szCs w:val="20"/>
          <w:color w:val="auto"/>
        </w:rPr>
      </w:pPr>
    </w:p>
    <w:p>
      <w:pPr>
        <w:jc w:val="both"/>
        <w:ind w:left="1300" w:hanging="320"/>
        <w:spacing w:after="0" w:line="244" w:lineRule="auto"/>
        <w:tabs>
          <w:tab w:leader="none" w:pos="129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any service agreement, each of the parties hereto irrevocably (i) consents to submit itself to the personal jurisdiction of the Delaware Court of Chancery, or in the event (but only in the event) that the Delaware Court of Chancery does not have subject matter jurisdiction over such legal action or proceeding, the United States District Court for the District of Delaware, or in the event (but only in the event) that such United States District Court for the District of Delaware also does not have subject matter jurisdiction over such legal action or proceeding, any Delaware state court sitting in New Castle County, in connection with any matter based upon or arising out of this Agreement or the actions of the parties hereof or any restrictive covenants to which the Participant is subject to under any service agreement, (ii) agrees that it will not attempt to deny or defeat such personal jurisdiction by motion or other request for leave from any such court and</w:t>
      </w:r>
    </w:p>
    <w:p>
      <w:pPr>
        <w:spacing w:after="0" w:line="1" w:lineRule="exact"/>
        <w:rPr>
          <w:rFonts w:ascii="Times New Roman" w:cs="Times New Roman" w:eastAsia="Times New Roman" w:hAnsi="Times New Roman"/>
          <w:sz w:val="21"/>
          <w:szCs w:val="21"/>
          <w:color w:val="auto"/>
        </w:rPr>
      </w:pPr>
    </w:p>
    <w:p>
      <w:pPr>
        <w:jc w:val="both"/>
        <w:ind w:left="1300" w:firstLine="4"/>
        <w:spacing w:after="0" w:line="229" w:lineRule="auto"/>
        <w:tabs>
          <w:tab w:leader="none" w:pos="169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it will not bring any action relating to this Agreement or any restrictive covenants to which the Participant is subject to under any service agreement in any court other than the courts of the State of Delaware, as described above. Each party to this Agreement hereby irrevocably waives, and agrees not to assert, by way of motion, as a defense, counterclaim or otherwise, in any action or proceeding with respect to this Agreement or any restrictive covenants to which the Participant is subject to under any service agreement, any claim that it is not personally subject to the jurisdiction of the above-named courts for any reason,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suit, action or proceeding in any such court is brought in an inconvenient forum, that the venue of such suit, action or proceeding is improper, or that this Agreement or the subject matter hereof or any restrictive covenants to which the Participant is subject to under any service agreement, may not be enforced in or by such courts and further irrevocably waives, to the fullest extent permitted by applicable law, the benefit of any defense that would hinder, fetter or delay the levy, execution or collection of any amount to which a party hereto is entitled pursuant to the final judgment of any court having jurisdiction.</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u w:val="single" w:color="auto"/>
          <w:color w:val="auto"/>
        </w:rPr>
        <w:t>Insider Trading/Market Abuse Restrictions</w:t>
      </w:r>
      <w:r>
        <w:rPr>
          <w:rFonts w:ascii="Times New Roman" w:cs="Times New Roman" w:eastAsia="Times New Roman" w:hAnsi="Times New Roman"/>
          <w:sz w:val="22"/>
          <w:szCs w:val="22"/>
          <w:color w:val="auto"/>
        </w:rPr>
        <w:t>. The Participant may be subject to insider trading restrictions and/or market abuse laws in applicable jurisdictions, which may affect the Participant's ability to, directly or indirectly, acquire, sell or attempt to sell Shares or otherwise dispose of Shares or rights to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Restricted Stock Units) under the Plan</w:t>
      </w:r>
    </w:p>
    <w:p>
      <w:pPr>
        <w:sectPr>
          <w:pgSz w:w="11900" w:h="16838" w:orient="portrait"/>
          <w:cols w:equalWidth="0" w:num="1">
            <w:col w:w="11240"/>
          </w:cols>
          <w:pgMar w:left="320" w:top="1408" w:right="339" w:bottom="1440" w:gutter="0" w:footer="0" w:header="0"/>
        </w:sectPr>
      </w:pPr>
    </w:p>
    <w:bookmarkStart w:id="122" w:name="page123"/>
    <w:bookmarkEnd w:id="122"/>
    <w:p>
      <w:pPr>
        <w:jc w:val="both"/>
        <w:spacing w:after="0" w:line="233" w:lineRule="auto"/>
        <w:rPr>
          <w:sz w:val="20"/>
          <w:szCs w:val="20"/>
          <w:color w:val="auto"/>
        </w:rPr>
      </w:pPr>
      <w:r>
        <w:rPr>
          <w:rFonts w:ascii="Times New Roman" w:cs="Times New Roman" w:eastAsia="Times New Roman" w:hAnsi="Times New Roman"/>
          <w:sz w:val="22"/>
          <w:szCs w:val="22"/>
          <w:color w:val="auto"/>
        </w:rPr>
        <w:t>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(other than on a “need to know” basis); (ii) “tipping” third parties or causing them to otherwise buy or sell securities; and (iii) cancelling or amending orders the Participant placed before he or she possessed inside information. Any restrictions under these laws or regulations are separate from 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Exchange Control, Tax And/Or Foreign Asset/Account Reporting</w:t>
      </w:r>
      <w:r>
        <w:rPr>
          <w:rFonts w:ascii="Times New Roman" w:cs="Times New Roman" w:eastAsia="Times New Roman" w:hAnsi="Times New Roman"/>
          <w:sz w:val="22"/>
          <w:szCs w:val="22"/>
          <w:color w:val="auto"/>
        </w:rPr>
        <w:t>. The Participant acknowledges that, depending on his or her country, the Participant may be subject to foreign asset/account, exchange control and/or tax reporting requirements as a result of the acquisition, holding and/or transfer of Shares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is advised to consult his or her personal legal advisor on this matter.</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 of this Agreement that it and all payments and benefits hereunder be exempt from, or comply with, the requirements of Section 409A so that none of the Restricted Stock Units provided under this Agreement or Shares issuable thereunder will be subject to the additional tax imposed under Section 409A, and any ambiguities herein will be interpreted to be so exempt or so comply. Each payment payable under this Agreement is intended to constitute a separate payment for purposes of Treasury Regulation Section 1.409A-2(b)(2).</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and each such counterpart shall be deemed to be an original, but all such counterparts together shall constitute but one agreement.</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Notice of Grant, this Agreement and the Plan (and the other writings referred to herein) constitute the entire agreement between the parties with respect to the subject matter hereof and thereof and supersede all prior written or oral negotiations, commitments, representations and agreements with respect thereto.</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It is the desire and intent of the parties hereto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w:t>
      </w:r>
    </w:p>
    <w:p>
      <w:pPr>
        <w:sectPr>
          <w:pgSz w:w="11900" w:h="16838" w:orient="portrait"/>
          <w:cols w:equalWidth="0" w:num="1">
            <w:col w:w="11240"/>
          </w:cols>
          <w:pgMar w:left="320" w:top="1408" w:right="339" w:bottom="1440" w:gutter="0" w:footer="0" w:header="0"/>
        </w:sectPr>
      </w:pPr>
    </w:p>
    <w:bookmarkStart w:id="123" w:name="page124"/>
    <w:bookmarkEnd w:id="12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In the event the Company or the Participant institutes litigation to enforce or protect its rights under this Agreement or the Plan, each party shall be solely responsible for all attorneys’ fees, out-of-pocket costs and disbursements it incurs relating to such litigation.</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IRREVOCABLY AND UNCONDITIONALLY WAIVES, TO THE FULLEST EXTENT THAT IT MAY LEGALLY AND EFFECTIVELY DO SO, TRIAL BY JURY IN ANY SUIT, ACTION OR PROCEEDING ARISING HEREUNDER.</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Required Acceptance.</w:t>
      </w:r>
      <w:r>
        <w:rPr>
          <w:rFonts w:ascii="Times New Roman" w:cs="Times New Roman" w:eastAsia="Times New Roman" w:hAnsi="Times New Roman"/>
          <w:sz w:val="22"/>
          <w:szCs w:val="22"/>
          <w:color w:val="auto"/>
        </w:rPr>
        <w:t xml:space="preserve"> This Agreement is conditioned upon the Participant’s agreement to all terms of this Agreement. If the Participant has not affirmatively rejected this Agreement by notifying the Company within thirty (30) days from the Grant Date of the Restricted Stock Units, the Participant will be deemed to have accepted the grant of Restricted Stock Units and agreed to all terms of this Agreement.</w:t>
      </w:r>
    </w:p>
    <w:p>
      <w:pPr>
        <w:sectPr>
          <w:pgSz w:w="11900" w:h="16838" w:orient="portrait"/>
          <w:cols w:equalWidth="0" w:num="1">
            <w:col w:w="11240"/>
          </w:cols>
          <w:pgMar w:left="320" w:top="140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2"/>
          <w:szCs w:val="22"/>
          <w:b w:val="1"/>
          <w:bCs w:val="1"/>
          <w:color w:val="auto"/>
        </w:rPr>
        <w:t>ADDENDUM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 FOR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but not defined in this Addendum have the meanings set forth in the Plan and/or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granted to the Participant under the Plan if the Participant resides in one of the countries listed below.</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Participant is a citizen or resident of a country other than the one in which he or she is currently residing or transfers to another country after the grant of the Restricted Stock Units, or is considered a resident of another country for local law purposes, the Company shall, in its sole discretion, determine to what extent the terms and conditions contained herein shall apply to the Participant under these circumstances.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Addendum also includes information regarding exchange controls and certain other issues of which the Participant should be aware with respect to his or her participation in the Plan. The information is based on the securities, exchange control and other laws in effect in the respective countries as of June 2020. Such laws are often complex and change frequently. As a result, the Company strongly recommends that the Participant not rely on the information in this Addendum as the only source of information relating to the consequences of the Participant’s participation in the Plan because the information may be out of date at the time that the Restricted Stock Units vest or at the time the Participant sells Shares acquired under the Plan.</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his or her situation.</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the Participant is a citizen or resident of a country other than the one in which he or she is currently residing or transfers to another country after the grant of the Restricted Stock Units, or is considered a resident of another country for local law purposes, the information contained herein may not be applicable to the Participant in the same manner.</w:t>
      </w:r>
    </w:p>
    <w:p>
      <w:pPr>
        <w:sectPr>
          <w:pgSz w:w="11900" w:h="16838" w:orient="portrait"/>
          <w:cols w:equalWidth="0" w:num="1">
            <w:col w:w="11240"/>
          </w:cols>
          <w:pgMar w:left="320" w:top="1404" w:right="339" w:bottom="1440" w:gutter="0" w:footer="0" w:header="0"/>
        </w:sectPr>
      </w:pPr>
    </w:p>
    <w:bookmarkStart w:id="125" w:name="page126"/>
    <w:bookmarkEnd w:id="125"/>
    <w:p>
      <w:pPr>
        <w:jc w:val="center"/>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Data Privacy Notice for Participants in the European Union (“EU”) / European Economic Area (“EEA”) / SWITZERLAND / United Kingdom (“UK”)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following provisions replace Section 10 of the Agreement:</w:t>
      </w:r>
    </w:p>
    <w:p>
      <w:pPr>
        <w:spacing w:after="0" w:line="23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i w:val="1"/>
          <w:iCs w:val="1"/>
          <w:color w:val="auto"/>
        </w:rPr>
        <w:t>The Company is located at 19122 US Highway 281N, Suite 128, San Antonio, TX 78258-7667 USA and grants employees of the Company and its other Subsidiaries and Affiliates, the opportunity to participate in the Plan, at the Company's sole discretion. If the Participant would like to participate in the Plan, the Participant understands that he or she should review the following information about the Company’s data processing practices.</w:t>
      </w:r>
    </w:p>
    <w:p>
      <w:pPr>
        <w:spacing w:after="0" w:line="198" w:lineRule="exact"/>
        <w:rPr>
          <w:sz w:val="20"/>
          <w:szCs w:val="20"/>
          <w:color w:val="auto"/>
        </w:rPr>
      </w:pPr>
    </w:p>
    <w:p>
      <w:pPr>
        <w:jc w:val="both"/>
        <w:ind w:left="660" w:hanging="328"/>
        <w:spacing w:after="0" w:line="235" w:lineRule="auto"/>
        <w:tabs>
          <w:tab w:leader="none" w:pos="64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Collection and Usage</w:t>
      </w:r>
      <w:r>
        <w:rPr>
          <w:rFonts w:ascii="Times New Roman" w:cs="Times New Roman" w:eastAsia="Times New Roman" w:hAnsi="Times New Roman"/>
          <w:sz w:val="22"/>
          <w:szCs w:val="22"/>
          <w:b w:val="1"/>
          <w:bCs w:val="1"/>
          <w:i w:val="1"/>
          <w:iCs w:val="1"/>
          <w:color w:val="auto"/>
        </w:rPr>
        <w:t xml:space="preserve">.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stock or directorships held in the Company, and details of all awards, canceled, vested, or outstanding in the Participant's favor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which the Company receives from the Participant or the Participant's Employer. If the Company offers the Participant the opportunity to participate in the Plan, then the Company will collect the Data for purposes of allocating stock and implementing, administering and managing the Plan. The Company’s legal basis for the processing of the Participant’s personal data would be the implementation, administration and management of the Participant’s participation in the Plan.</w:t>
      </w:r>
    </w:p>
    <w:p>
      <w:pPr>
        <w:spacing w:after="0" w:line="201" w:lineRule="exact"/>
        <w:rPr>
          <w:sz w:val="20"/>
          <w:szCs w:val="20"/>
          <w:color w:val="auto"/>
        </w:rPr>
      </w:pPr>
    </w:p>
    <w:p>
      <w:pPr>
        <w:jc w:val="both"/>
        <w:ind w:left="660" w:hanging="328"/>
        <w:spacing w:after="0" w:line="235" w:lineRule="auto"/>
        <w:tabs>
          <w:tab w:leader="none" w:pos="6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Purposes and Legal Bases of Processing</w:t>
      </w:r>
      <w:r>
        <w:rPr>
          <w:rFonts w:ascii="Times New Roman" w:cs="Times New Roman" w:eastAsia="Times New Roman" w:hAnsi="Times New Roman"/>
          <w:sz w:val="22"/>
          <w:szCs w:val="22"/>
          <w:b w:val="1"/>
          <w:bCs w:val="1"/>
          <w:i w:val="1"/>
          <w:iCs w:val="1"/>
          <w:color w:val="auto"/>
        </w:rPr>
        <w:t xml:space="preserve"> The Company processes the Data for the purpose of performing its contractual obligations under the Agreement, granting the Restricted Stock Units, implementing, administering and managing Participant’s participation in the Plan. The legal basis for the processing of the Data by the Company and the third party service providers described below is the necessity of the data processing for the Company to perform its contractual obligations under the Agreement and for the Company’s legitimate business interests of managing the Plan and generally administering employee equity awards.</w:t>
      </w:r>
    </w:p>
    <w:p>
      <w:pPr>
        <w:spacing w:after="0" w:line="201" w:lineRule="exact"/>
        <w:rPr>
          <w:sz w:val="20"/>
          <w:szCs w:val="20"/>
          <w:color w:val="auto"/>
        </w:rPr>
      </w:pPr>
    </w:p>
    <w:p>
      <w:pPr>
        <w:jc w:val="both"/>
        <w:ind w:left="660" w:hanging="328"/>
        <w:spacing w:after="0" w:line="233" w:lineRule="auto"/>
        <w:tabs>
          <w:tab w:leader="none" w:pos="64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Stock Plan Administration Service Providers</w:t>
      </w:r>
      <w:r>
        <w:rPr>
          <w:rFonts w:ascii="Times New Roman" w:cs="Times New Roman" w:eastAsia="Times New Roman" w:hAnsi="Times New Roman"/>
          <w:sz w:val="22"/>
          <w:szCs w:val="22"/>
          <w:b w:val="1"/>
          <w:bCs w:val="1"/>
          <w:i w:val="1"/>
          <w:iCs w:val="1"/>
          <w:color w:val="auto"/>
        </w:rPr>
        <w:t>. The Company transfers participant data to E*Trade, an independent service provider based in the United States, which assists the Company with the implementation, administration and management of the Plan, and if the Restricted Stock Units vest, the Company transfers shareholder data to Computershare, an independent service provider based in the United States, which assists the Company with its stock administration.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 The Company and its service providers are based in the United States. If the Participant is outside of the United States, the Participant should note that his or her country may have enacted data privacy laws that are different from the United States.</w:t>
      </w:r>
    </w:p>
    <w:p>
      <w:pPr>
        <w:sectPr>
          <w:pgSz w:w="11900" w:h="16838" w:orient="portrait"/>
          <w:cols w:equalWidth="0" w:num="1">
            <w:col w:w="11240"/>
          </w:cols>
          <w:pgMar w:left="320" w:top="1404" w:right="339" w:bottom="1440" w:gutter="0" w:footer="0" w:header="0"/>
        </w:sectPr>
      </w:pPr>
    </w:p>
    <w:bookmarkStart w:id="126" w:name="page127"/>
    <w:bookmarkEnd w:id="126"/>
    <w:p>
      <w:pPr>
        <w:spacing w:after="0" w:line="206" w:lineRule="exact"/>
        <w:rPr>
          <w:sz w:val="20"/>
          <w:szCs w:val="20"/>
          <w:color w:val="auto"/>
        </w:rPr>
      </w:pPr>
    </w:p>
    <w:p>
      <w:pPr>
        <w:jc w:val="both"/>
        <w:ind w:left="328" w:hanging="328"/>
        <w:spacing w:after="0" w:line="237" w:lineRule="auto"/>
        <w:tabs>
          <w:tab w:leader="none" w:pos="3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Retention</w:t>
      </w:r>
      <w:r>
        <w:rPr>
          <w:rFonts w:ascii="Times New Roman" w:cs="Times New Roman" w:eastAsia="Times New Roman" w:hAnsi="Times New Roman"/>
          <w:sz w:val="22"/>
          <w:szCs w:val="22"/>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exchange control, securities, and labor laws. When the Company no longer needs the Participant's Data, the Company will remove it from its systems. The Company may keep some of the Data longer to satisfy legal or regulatory obligations and the Company’s legal basis for such use would be necessity to comply with legal obligations.</w:t>
      </w:r>
    </w:p>
    <w:p>
      <w:pPr>
        <w:spacing w:after="0" w:line="189" w:lineRule="exact"/>
        <w:rPr>
          <w:sz w:val="20"/>
          <w:szCs w:val="20"/>
          <w:color w:val="auto"/>
        </w:rPr>
      </w:pPr>
    </w:p>
    <w:p>
      <w:pPr>
        <w:jc w:val="both"/>
        <w:ind w:left="328" w:hanging="328"/>
        <w:spacing w:after="0" w:line="235" w:lineRule="auto"/>
        <w:tabs>
          <w:tab w:leader="none" w:pos="31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Contractual Requirement</w:t>
      </w:r>
      <w:r>
        <w:rPr>
          <w:rFonts w:ascii="Times New Roman" w:cs="Times New Roman" w:eastAsia="Times New Roman" w:hAnsi="Times New Roman"/>
          <w:sz w:val="22"/>
          <w:szCs w:val="22"/>
          <w:b w:val="1"/>
          <w:bCs w:val="1"/>
          <w:i w:val="1"/>
          <w:iCs w:val="1"/>
          <w:color w:val="auto"/>
        </w:rPr>
        <w:t xml:space="preserve"> The Participant’s provision of Data and its processing as described above is a contractual requirement and a condition to the Participant’s ability to participate in the Plan. The Participant understands that, as a consequence of the Participant’s refusing to provide Data, the Company may not be able to allow the Participant to participate in the Plan, grant Restricted Stock Units to the Participant or administer or maintain such awards. However, the Participant’s participation in the Plan and acceptance of the Agreement terms are purely voluntary. While Employee will not receive Restricted Stock Units if the Participant decides against participating in the Plan or providing Data as described above, the Participant’s career and salary will not be affected in any way if the Participant chooses not to participate in the Plan or provide Data.</w:t>
      </w:r>
    </w:p>
    <w:p>
      <w:pPr>
        <w:spacing w:after="0" w:line="205" w:lineRule="exact"/>
        <w:rPr>
          <w:sz w:val="20"/>
          <w:szCs w:val="20"/>
          <w:color w:val="auto"/>
        </w:rPr>
      </w:pPr>
    </w:p>
    <w:p>
      <w:pPr>
        <w:jc w:val="both"/>
        <w:ind w:left="328" w:hanging="328"/>
        <w:spacing w:after="0" w:line="247" w:lineRule="auto"/>
        <w:tabs>
          <w:tab w:leader="none" w:pos="31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Data Subject Rights</w:t>
      </w:r>
      <w:r>
        <w:rPr>
          <w:rFonts w:ascii="Times New Roman" w:cs="Times New Roman" w:eastAsia="Times New Roman" w:hAnsi="Times New Roman"/>
          <w:sz w:val="21"/>
          <w:szCs w:val="21"/>
          <w:b w:val="1"/>
          <w:bCs w:val="1"/>
          <w:i w:val="1"/>
          <w:iCs w:val="1"/>
          <w:color w:val="auto"/>
        </w:rPr>
        <w:t>.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 (v) 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Stock Plan Administrator, 1718 Dry Creek Way, Suite 115, San Antonio, TX 78259-1837 USA.</w:t>
      </w:r>
    </w:p>
    <w:p>
      <w:pPr>
        <w:sectPr>
          <w:pgSz w:w="11900" w:h="16838" w:orient="portrait"/>
          <w:cols w:equalWidth="0" w:num="1">
            <w:col w:w="10908"/>
          </w:cols>
          <w:pgMar w:left="652" w:top="144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Restricted Stock Units Payable Only in Shares</w:t>
      </w:r>
      <w:r>
        <w:rPr>
          <w:rFonts w:ascii="Times New Roman" w:cs="Times New Roman" w:eastAsia="Times New Roman" w:hAnsi="Times New Roman"/>
          <w:sz w:val="22"/>
          <w:szCs w:val="22"/>
          <w:color w:val="auto"/>
        </w:rPr>
        <w:t>. Notwithstanding Section 3 of the Agreement, the grant of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does not provide any right for the Participant to receive a cash payment, and settlement of the Restricted Stock Units is payable only in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following provisions will apply to Participants who are residents of Quebec:</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Language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parties acknowledge that it is their express wish that the Agreement, as well as all documents, 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legal proceeds entered into, given or instituted pursuant hereto or relating directly or indirectly hereto, be drawn up in English.</w:t>
      </w:r>
    </w:p>
    <w:p>
      <w:pPr>
        <w:spacing w:after="0" w:line="1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Consentement relatif à la langue utilisée</w:t>
      </w:r>
      <w:r>
        <w:rPr>
          <w:rFonts w:ascii="Times New Roman" w:cs="Times New Roman" w:eastAsia="Times New Roman" w:hAnsi="Times New Roman"/>
          <w:sz w:val="22"/>
          <w:szCs w:val="22"/>
          <w:i w:val="1"/>
          <w:iCs w:val="1"/>
          <w:color w:val="auto"/>
        </w:rPr>
        <w:t>: Les parties reconnaissent avoir exigé la rédaction en anglais de cette convention,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ainsi que de tous documents exécutés, avis donnés et procédures judiciaries intentées, directement ou indirectement, relativement à ou suite à la présente convention.</w:t>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Data Privacy Notice</w:t>
      </w:r>
      <w:r>
        <w:rPr>
          <w:rFonts w:ascii="Times New Roman" w:cs="Times New Roman" w:eastAsia="Times New Roman" w:hAnsi="Times New Roman"/>
          <w:sz w:val="22"/>
          <w:szCs w:val="22"/>
          <w:color w:val="auto"/>
        </w:rPr>
        <w:t>. This provision supplements Section 9 of the Agreement:</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any other Affiliate or Subsidiary to disclose and discuss the Plan with their respective advisors. The Participant further authorizes the Company and any other Affiliate or Subsidiary to record such information and to keep such information in the Participant’s electronic file.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Securities Law Notification</w:t>
      </w:r>
      <w:r>
        <w:rPr>
          <w:rFonts w:ascii="Times New Roman" w:cs="Times New Roman" w:eastAsia="Times New Roman" w:hAnsi="Times New Roman"/>
          <w:sz w:val="22"/>
          <w:szCs w:val="22"/>
          <w:color w:val="auto"/>
        </w:rPr>
        <w:t>. The Participant acknowledges that he or she is permitted to sell Shares acquired under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the sale of the Shares acquired under the Plan takes place outside of Canada.</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Foreign Asset/Account Reporting Notification</w:t>
      </w:r>
      <w:r>
        <w:rPr>
          <w:rFonts w:ascii="Times New Roman" w:cs="Times New Roman" w:eastAsia="Times New Roman" w:hAnsi="Times New Roman"/>
          <w:sz w:val="22"/>
          <w:szCs w:val="22"/>
          <w:color w:val="auto"/>
        </w:rPr>
        <w:t>. The Participant is required to report any foreign specified property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acquired under the Plan) with a value exceeding C$100,000 on Form T1135 (Foreign Income Verification Statement) on an annual basis. The statement is due at the same time as the Participant’s annual tax return. The Restricted Stock Units must be reported (generally at a nil cost) if the $100,000 cost threshold is exceeded because of other foreign specified property the Participant holds at any time during the year. If Shares are acquired, their cost generally is the adjusted cost base (“ACB”) of the Shares. The ACB ordinarily would equal the fair market value of the Shares at the time of acquisition, but if the Participant owns other Shares, this ACB may have to be averaged with the ACB of the other Shares. The form must be filed by April 30 of the following year. The Participant is strongly advised to check with his or her personal advisor regarding the Participant’s reporting obligations.</w:t>
      </w:r>
    </w:p>
    <w:p>
      <w:pPr>
        <w:sectPr>
          <w:pgSz w:w="11900" w:h="16838" w:orient="portrait"/>
          <w:cols w:equalWidth="0" w:num="1">
            <w:col w:w="11240"/>
          </w:cols>
          <w:pgMar w:left="320" w:top="140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 The following provision supplements Section 3 of the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Notwithstanding any discretion contained in the Plan or the Agreement, the Restricted Stock Units will not be settled in cash or a combination of cash and shares of Common Stock. The Restricted Stock Units will be settled only in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Responsibility for Taxes</w:t>
      </w:r>
      <w:r>
        <w:rPr>
          <w:rFonts w:ascii="Times New Roman" w:cs="Times New Roman" w:eastAsia="Times New Roman" w:hAnsi="Times New Roman"/>
          <w:sz w:val="22"/>
          <w:szCs w:val="22"/>
          <w:color w:val="auto"/>
        </w:rPr>
        <w:t>. The following provision supplements Section 8 of the Agreement:</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Without limitation to Section 8 of the Agreement, the Participant agrees to be liable for any Tax-Related Items related to the Participant's participation in the Plan and legally applicable to the Participant and hereby covenants to pay any such Tax-Related Items, as and when requested by the Employer or by Her Majesty’s Revenue &amp; Customs (“</w:t>
      </w:r>
      <w:r>
        <w:rPr>
          <w:rFonts w:ascii="Times New Roman" w:cs="Times New Roman" w:eastAsia="Times New Roman" w:hAnsi="Times New Roman"/>
          <w:sz w:val="22"/>
          <w:szCs w:val="22"/>
          <w:u w:val="single" w:color="auto"/>
          <w:color w:val="auto"/>
        </w:rPr>
        <w:t>HMRC</w:t>
      </w:r>
      <w:r>
        <w:rPr>
          <w:rFonts w:ascii="Times New Roman" w:cs="Times New Roman" w:eastAsia="Times New Roman" w:hAnsi="Times New Roman"/>
          <w:sz w:val="22"/>
          <w:szCs w:val="22"/>
          <w:color w:val="auto"/>
        </w:rPr>
        <w:t>”) (or any other tax authority or any other relevant authority). The Participant also agrees to indemnify and keep indemnified the Employer against any Tax-Related Items that the Employer is required to pay or withhold on the Participant's behalf or have paid or will pay to HMRC (or any other tax authority or any other relevant authority).</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Notwithstanding the foregoing, if the Participant is a director or executive officer,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 w:cs="Times New Roman" w:eastAsia="Times New Roman" w:hAnsi="Times New Roman"/>
          <w:sz w:val="22"/>
          <w:szCs w:val="22"/>
          <w:u w:val="single" w:color="auto"/>
          <w:color w:val="auto"/>
        </w:rPr>
        <w:t>NICs</w:t>
      </w:r>
      <w:r>
        <w:rPr>
          <w:rFonts w:ascii="Times New Roman" w:cs="Times New Roman" w:eastAsia="Times New Roman" w:hAnsi="Times New Roman"/>
          <w:sz w:val="22"/>
          <w:szCs w:val="22"/>
          <w:color w:val="auto"/>
        </w:rPr>
        <w:t>”) may be payable. The Participant understands that he or she will be responsible for reporting and paying any income tax due on this additional benefit directly to HMRC under the self assessment regime and for paying to the Company and/or the Employer (as appropriate) the amount of any NICs due on this additional benefit, which may also be recovered from the Participant by any of the means referred to in Section 8 of the Agreement.</w:t>
      </w:r>
    </w:p>
    <w:p>
      <w:pPr>
        <w:spacing w:after="0" w:line="20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auto"/>
        </w:rPr>
        <w:t>National Insurance Contributions</w:t>
      </w:r>
      <w:r>
        <w:rPr>
          <w:rFonts w:ascii="Times New Roman" w:cs="Times New Roman" w:eastAsia="Times New Roman" w:hAnsi="Times New Roman"/>
          <w:sz w:val="22"/>
          <w:szCs w:val="22"/>
          <w:color w:val="auto"/>
        </w:rPr>
        <w:t>. As a condition of participation in the Plan and the vesting of the Restricted Stock Units,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agrees to accept any liability for secondary Class 1 NICs which may be payable by the Company and/or the Employer in connection with the Restricted Stock Units and any event giving rise to Tax-Related Items (the “</w:t>
      </w:r>
      <w:r>
        <w:rPr>
          <w:rFonts w:ascii="Times New Roman" w:cs="Times New Roman" w:eastAsia="Times New Roman" w:hAnsi="Times New Roman"/>
          <w:sz w:val="22"/>
          <w:szCs w:val="22"/>
          <w:u w:val="single" w:color="auto"/>
          <w:color w:val="auto"/>
        </w:rPr>
        <w:t>Employer NICs</w:t>
      </w:r>
      <w:r>
        <w:rPr>
          <w:rFonts w:ascii="Times New Roman" w:cs="Times New Roman" w:eastAsia="Times New Roman" w:hAnsi="Times New Roman"/>
          <w:sz w:val="22"/>
          <w:szCs w:val="22"/>
          <w:color w:val="auto"/>
        </w:rPr>
        <w:t>”). Without limitation to the foregoing, the Participant agrees to execute a joint election with the Company, the form of such joint election being formally approved by HMRC (the “</w:t>
      </w:r>
      <w:r>
        <w:rPr>
          <w:rFonts w:ascii="Times New Roman" w:cs="Times New Roman" w:eastAsia="Times New Roman" w:hAnsi="Times New Roman"/>
          <w:sz w:val="22"/>
          <w:szCs w:val="22"/>
          <w:u w:val="single" w:color="auto"/>
          <w:color w:val="auto"/>
        </w:rPr>
        <w:t>Joint Election</w:t>
      </w:r>
      <w:r>
        <w:rPr>
          <w:rFonts w:ascii="Times New Roman" w:cs="Times New Roman" w:eastAsia="Times New Roman" w:hAnsi="Times New Roman"/>
          <w:sz w:val="22"/>
          <w:szCs w:val="22"/>
          <w:color w:val="auto"/>
        </w:rPr>
        <w:t>”), and any other required consent or election. The Participant further agrees to execute such other joint elections as may be required between the Participant and any successor to the Company and/or the Employer. The Participant further agrees that the Company and/or the Employer may collect the Employer NICs from the Participant by any of the means set forth in Section 8 of the Agreement. The Participant must enter into the Joint Election attached as Exhibit A hereto concurrent with the execution of the Agreement.</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the Participant does not enter into a Joint Election prior to the vesting of the Restricted Stock Units or if approval of the Joint Election has been withdrawn by HMRC, the Restricted Stock Units shall become null and void without any liability to the Company and/or the Employer.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0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Agreement as of the date first written above.</w:t>
      </w:r>
    </w:p>
    <w:p>
      <w:pPr>
        <w:spacing w:after="0" w:line="200" w:lineRule="exact"/>
        <w:rPr>
          <w:sz w:val="20"/>
          <w:szCs w:val="20"/>
          <w:color w:val="auto"/>
        </w:rPr>
      </w:pPr>
    </w:p>
    <w:p>
      <w:pPr>
        <w:spacing w:after="0" w:line="31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b w:val="1"/>
          <w:bCs w:val="1"/>
          <w:color w:val="auto"/>
        </w:rPr>
        <w:t>RACKSPACE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193675</wp:posOffset>
            </wp:positionV>
            <wp:extent cx="3034665" cy="368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3466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300" w:type="dxa"/>
        <w:tblCellMar>
          <w:top w:w="0" w:type="dxa"/>
          <w:left w:w="0" w:type="dxa"/>
          <w:bottom w:w="0" w:type="dxa"/>
          <w:right w:w="0" w:type="dxa"/>
        </w:tblCellMar>
      </w:tblP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160" w:type="dxa"/>
            <w:vAlign w:val="bottom"/>
            <w:tcBorders>
              <w:bottom w:val="single" w:sz="8" w:color="auto"/>
            </w:tcBorders>
          </w:tcPr>
          <w:p>
            <w:pPr>
              <w:spacing w:after="0"/>
              <w:rPr>
                <w:sz w:val="24"/>
                <w:szCs w:val="24"/>
                <w:color w:val="auto"/>
              </w:rPr>
            </w:pPr>
          </w:p>
        </w:tc>
      </w:tr>
      <w:tr>
        <w:trPr>
          <w:trHeight w:val="251"/>
        </w:trPr>
        <w:tc>
          <w:tcPr>
            <w:tcW w:w="11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71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Kellie Teal-Guess</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375" w:lineRule="exact"/>
        <w:rPr>
          <w:sz w:val="20"/>
          <w:szCs w:val="20"/>
          <w:color w:val="auto"/>
        </w:rPr>
      </w:pPr>
    </w:p>
    <w:p>
      <w:pPr>
        <w:ind w:left="2300"/>
        <w:spacing w:after="0"/>
        <w:tabs>
          <w:tab w:leader="none" w:pos="34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%%FIRST_NAME_MIDDLE_NAME_LAST_NAME%-%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-160020</wp:posOffset>
            </wp:positionV>
            <wp:extent cx="45434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ectPr>
          <w:pgSz w:w="11900" w:h="16838" w:orient="portrait"/>
          <w:cols w:equalWidth="0" w:num="1">
            <w:col w:w="10580"/>
          </w:cols>
          <w:pgMar w:left="980" w:top="141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76" w:lineRule="auto"/>
        <w:tabs>
          <w:tab w:leader="none" w:pos="9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100" w:hanging="398"/>
        <w:spacing w:after="0" w:line="266" w:lineRule="auto"/>
        <w:tabs>
          <w:tab w:leader="none" w:pos="153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2024</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ectPr>
          <w:pgSz w:w="11900" w:h="16838" w:orient="portrait"/>
          <w:cols w:equalWidth="0" w:num="1">
            <w:col w:w="11240"/>
          </w:cols>
          <w:pgMar w:left="320" w:top="36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Marino, certify that:</w:t>
      </w:r>
    </w:p>
    <w:p>
      <w:pPr>
        <w:spacing w:after="0" w:line="252" w:lineRule="exact"/>
        <w:rPr>
          <w:sz w:val="20"/>
          <w:szCs w:val="20"/>
          <w:color w:val="auto"/>
        </w:rPr>
      </w:pPr>
    </w:p>
    <w:p>
      <w:pPr>
        <w:ind w:left="900" w:hanging="40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76" w:lineRule="auto"/>
        <w:tabs>
          <w:tab w:leader="none" w:pos="9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100" w:hanging="398"/>
        <w:spacing w:after="0" w:line="266" w:lineRule="auto"/>
        <w:tabs>
          <w:tab w:leader="none" w:pos="153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2024</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6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 Amar Maletira, Chief Executive Officer of Rackspace Technology, Inc. (the “Company”), certify pursuant to Section 906 of the Sarbanes-Oxley Act of 2002, 18 U.S.C. Section 1350, that:</w:t>
      </w:r>
    </w:p>
    <w:p>
      <w:pPr>
        <w:spacing w:after="0" w:line="189" w:lineRule="exact"/>
        <w:rPr>
          <w:sz w:val="20"/>
          <w:szCs w:val="20"/>
          <w:color w:val="auto"/>
        </w:rPr>
      </w:pPr>
    </w:p>
    <w:p>
      <w:pPr>
        <w:ind w:left="660" w:right="20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2024</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ectPr>
          <w:pgSz w:w="11900" w:h="16838" w:orient="portrait"/>
          <w:cols w:equalWidth="0" w:num="1">
            <w:col w:w="11240"/>
          </w:cols>
          <w:pgMar w:left="320" w:top="360"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 Mark Marino, Chief Financial Officer of Rackspace Technology, Inc. (the “Company”), certify pursuant to Section 906 of the Sarbanes-Oxley Act of 2002, 18 U.S.C. Section 1350, that:</w:t>
      </w:r>
    </w:p>
    <w:p>
      <w:pPr>
        <w:spacing w:after="0" w:line="189" w:lineRule="exact"/>
        <w:rPr>
          <w:sz w:val="20"/>
          <w:szCs w:val="20"/>
          <w:color w:val="auto"/>
        </w:rPr>
      </w:pPr>
    </w:p>
    <w:p>
      <w:pPr>
        <w:ind w:left="660" w:right="20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2024</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decimal"/>
      <w:start w:val="1"/>
    </w:lvl>
    <w:lvl w:ilvl="1">
      <w:lvlJc w:val="left"/>
      <w:lvlText w:val="-"/>
      <w:numFmt w:val="bullet"/>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lvl w:ilvl="1">
      <w:lvlJc w:val="left"/>
      <w:lvlText w:val="-"/>
      <w:numFmt w:val="bullet"/>
      <w:start w:val="1"/>
    </w:lvl>
  </w:abstractNum>
  <w:abstractNum w:abstractNumId="8">
    <w:nsid w:val="57E4CCAF"/>
    <w:multiLevelType w:val="hybridMultilevel"/>
    <w:lvl w:ilvl="0">
      <w:lvlJc w:val="left"/>
      <w:lvlText w:val="(%1)"/>
      <w:numFmt w:val="decimal"/>
      <w:start w:val="1"/>
    </w:lvl>
    <w:lvl w:ilvl="1">
      <w:lvlJc w:val="left"/>
      <w:lvlText w:val="-"/>
      <w:numFmt w:val="bullet"/>
      <w:start w:val="1"/>
    </w:lvl>
  </w:abstractNum>
  <w:abstractNum w:abstractNumId="9">
    <w:nsid w:val="7A6D8D3C"/>
    <w:multiLevelType w:val="hybridMultilevel"/>
    <w:lvl w:ilvl="0">
      <w:lvlJc w:val="left"/>
      <w:lvlText w:val="(%1)"/>
      <w:numFmt w:val="lowerLetter"/>
      <w:start w:val="1"/>
    </w:lvl>
    <w:lvl w:ilvl="1">
      <w:lvlJc w:val="left"/>
      <w:lvlText w:val="-"/>
      <w:numFmt w:val="bullet"/>
      <w:start w:val="1"/>
    </w:lvl>
  </w:abstractNum>
  <w:abstractNum w:abstractNumId="10">
    <w:nsid w:val="4B588F54"/>
    <w:multiLevelType w:val="hybridMultilevel"/>
    <w:lvl w:ilvl="0">
      <w:lvlJc w:val="left"/>
      <w:lvlText w:val="(%1)"/>
      <w:numFmt w:val="lowerLetter"/>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1)"/>
      <w:numFmt w:val="lowerLetter"/>
      <w:start w:val="1"/>
    </w:lvl>
  </w:abstractNum>
  <w:abstractNum w:abstractNumId="13">
    <w:nsid w:val="38437FDB"/>
    <w:multiLevelType w:val="hybridMultilevel"/>
    <w:lvl w:ilvl="0">
      <w:lvlJc w:val="left"/>
      <w:lvlText w:val="(%1)"/>
      <w:numFmt w:val="lowerLetter"/>
      <w:start w:val="1"/>
    </w:lvl>
    <w:lvl w:ilvl="1">
      <w:lvlJc w:val="left"/>
      <w:lvlText w:val="-"/>
      <w:numFmt w:val="bullet"/>
      <w:start w:val="1"/>
    </w:lvl>
  </w:abstractNum>
  <w:abstractNum w:abstractNumId="14">
    <w:nsid w:val="7644A45C"/>
    <w:multiLevelType w:val="hybridMultilevel"/>
    <w:lvl w:ilvl="0">
      <w:lvlJc w:val="left"/>
      <w:lvlText w:val="(%1)"/>
      <w:numFmt w:val="lowerLetter"/>
      <w:start w:val="1"/>
    </w:lvl>
  </w:abstractNum>
  <w:abstractNum w:abstractNumId="15">
    <w:nsid w:val="32FFF902"/>
    <w:multiLevelType w:val="hybridMultilevel"/>
    <w:lvl w:ilvl="0">
      <w:lvlJc w:val="left"/>
      <w:lvlText w:val="(%1)"/>
      <w:numFmt w:val="lowerLetter"/>
      <w:start w:val="1"/>
    </w:lvl>
  </w:abstractNum>
  <w:abstractNum w:abstractNumId="16">
    <w:nsid w:val="684A481A"/>
    <w:multiLevelType w:val="hybridMultilevel"/>
    <w:lvl w:ilvl="0">
      <w:lvlJc w:val="left"/>
      <w:lvlText w:val="(%1)"/>
      <w:numFmt w:val="lowerLetter"/>
      <w:start w:val="9"/>
    </w:lvl>
  </w:abstractNum>
  <w:abstractNum w:abstractNumId="17">
    <w:nsid w:val="579478FE"/>
    <w:multiLevelType w:val="hybridMultilevel"/>
    <w:lvl w:ilvl="0">
      <w:lvlJc w:val="left"/>
      <w:lvlText w:val="(%1)"/>
      <w:numFmt w:val="lowerLetter"/>
      <w:start w:val="1"/>
    </w:lvl>
    <w:lvl w:ilvl="1">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lowerLetter"/>
      <w:start w:val="1"/>
    </w:lvl>
    <w:lvl w:ilvl="1">
      <w:lvlJc w:val="left"/>
      <w:lvlText w:val="(%2)"/>
      <w:numFmt w:val="lowerLetter"/>
      <w:start w:val="1"/>
    </w:lvl>
  </w:abstractNum>
  <w:abstractNum w:abstractNumId="23">
    <w:nsid w:val="12E685FB"/>
    <w:multiLevelType w:val="hybridMultilevel"/>
    <w:lvl w:ilvl="0">
      <w:lvlJc w:val="left"/>
      <w:lvlText w:val="(%1)"/>
      <w:numFmt w:val="lowerLetter"/>
      <w:start w:val="3"/>
    </w:lvl>
    <w:lvl w:ilvl="1">
      <w:lvlJc w:val="left"/>
      <w:lvlText w:val="(%2)"/>
      <w:numFmt w:val="lowerLetter"/>
      <w:start w:val="4"/>
    </w:lvl>
  </w:abstractNum>
  <w:abstractNum w:abstractNumId="24">
    <w:nsid w:val="70C6A529"/>
    <w:multiLevelType w:val="hybridMultilevel"/>
    <w:lvl w:ilvl="0">
      <w:lvlJc w:val="left"/>
      <w:lvlText w:val="(%1)"/>
      <w:numFmt w:val="lowerLetter"/>
      <w:start w:val="5"/>
    </w:lvl>
    <w:lvl w:ilvl="1">
      <w:lvlJc w:val="left"/>
      <w:lvlText w:val="(%2)"/>
      <w:numFmt w:val="lowerLetter"/>
      <w:start w:val="6"/>
    </w:lvl>
  </w:abstractNum>
  <w:abstractNum w:abstractNumId="25">
    <w:nsid w:val="520EEDD1"/>
    <w:multiLevelType w:val="hybridMultilevel"/>
    <w:lvl w:ilvl="0">
      <w:lvlJc w:val="left"/>
      <w:lvlText w:val="(%1)"/>
      <w:numFmt w:val="lowerLetter"/>
      <w:start w:val="1"/>
    </w:lvl>
    <w:lvl w:ilvl="1">
      <w:lvlJc w:val="left"/>
      <w:lvlText w:val="(%2)"/>
      <w:numFmt w:val="lowerRoman"/>
      <w:start w:val="1"/>
    </w:lvl>
  </w:abstractNum>
  <w:abstractNum w:abstractNumId="26">
    <w:nsid w:val="374A3FE6"/>
    <w:multiLevelType w:val="hybridMultilevel"/>
    <w:lvl w:ilvl="0">
      <w:lvlJc w:val="left"/>
      <w:lvlText w:val="%1"/>
      <w:numFmt w:val="lowerLetter"/>
      <w:start w:val="1"/>
    </w:lvl>
    <w:lvl w:ilvl="1">
      <w:lvlJc w:val="left"/>
      <w:lvlText w:val="(%2)"/>
      <w:numFmt w:val="lowerRoman"/>
      <w:start w:val="3"/>
    </w:lvl>
  </w:abstractNum>
  <w:abstractNum w:abstractNumId="27">
    <w:nsid w:val="4F4EF005"/>
    <w:multiLevelType w:val="hybridMultilevel"/>
    <w:lvl w:ilvl="0">
      <w:lvlJc w:val="left"/>
      <w:lvlText w:val="(%1)"/>
      <w:numFmt w:val="lowerLetter"/>
      <w:start w:val="3"/>
    </w:lvl>
    <w:lvl w:ilvl="1">
      <w:lvlJc w:val="left"/>
      <w:lvlText w:val="%2"/>
      <w:numFmt w:val="lowerRoman"/>
      <w:start w:val="1"/>
    </w:lvl>
  </w:abstractNum>
  <w:abstractNum w:abstractNumId="28">
    <w:nsid w:val="23F9C13C"/>
    <w:multiLevelType w:val="hybridMultilevel"/>
    <w:lvl w:ilvl="0">
      <w:lvlJc w:val="left"/>
      <w:lvlText w:val="(%1)"/>
      <w:numFmt w:val="lowerLetter"/>
      <w:start w:val="1"/>
    </w:lvl>
  </w:abstractNum>
  <w:abstractNum w:abstractNumId="29">
    <w:nsid w:val="649BB77C"/>
    <w:multiLevelType w:val="hybridMultilevel"/>
    <w:lvl w:ilvl="0">
      <w:lvlJc w:val="left"/>
      <w:lvlText w:val="(%1)"/>
      <w:numFmt w:val="lowerLetter"/>
      <w:start w:val="7"/>
    </w:lvl>
  </w:abstractNum>
  <w:abstractNum w:abstractNumId="30">
    <w:nsid w:val="275AC794"/>
    <w:multiLevelType w:val="hybridMultilevel"/>
    <w:lvl w:ilvl="0">
      <w:lvlJc w:val="left"/>
      <w:lvlText w:val="(%1)"/>
      <w:numFmt w:val="lowerLetter"/>
      <w:start w:val="1"/>
    </w:lvl>
  </w:abstractNum>
  <w:abstractNum w:abstractNumId="31">
    <w:nsid w:val="39386575"/>
    <w:multiLevelType w:val="hybridMultilevel"/>
    <w:lvl w:ilvl="0">
      <w:lvlJc w:val="left"/>
      <w:lvlText w:val="%1"/>
      <w:numFmt w:val="lowerLetter"/>
      <w:start w:val="1"/>
    </w:lvl>
    <w:lvl w:ilvl="1">
      <w:lvlJc w:val="left"/>
      <w:lvlText w:val="(%2)"/>
      <w:numFmt w:val="lowerLetter"/>
      <w:start w:val="3"/>
    </w:lvl>
  </w:abstractNum>
  <w:abstractNum w:abstractNumId="32">
    <w:nsid w:val="1CF10FD8"/>
    <w:multiLevelType w:val="hybridMultilevel"/>
    <w:lvl w:ilvl="0">
      <w:lvlJc w:val="left"/>
      <w:lvlText w:val="(%1)"/>
      <w:numFmt w:val="lowerLetter"/>
      <w:start w:val="22"/>
    </w:lvl>
    <w:lvl w:ilvl="1">
      <w:lvlJc w:val="left"/>
      <w:lvlText w:val="%2"/>
      <w:numFmt w:val="lowerLetter"/>
      <w:start w:val="1"/>
    </w:lvl>
  </w:abstractNum>
  <w:abstractNum w:abstractNumId="33">
    <w:nsid w:val="180115BE"/>
    <w:multiLevelType w:val="hybridMultilevel"/>
    <w:lvl w:ilvl="0">
      <w:lvlJc w:val="left"/>
      <w:lvlText w:val="(%1)"/>
      <w:numFmt w:val="lowerLetter"/>
      <w:start w:val="7"/>
    </w:lvl>
  </w:abstractNum>
  <w:abstractNum w:abstractNumId="34">
    <w:nsid w:val="235BA861"/>
    <w:multiLevelType w:val="hybridMultilevel"/>
    <w:lvl w:ilvl="0">
      <w:lvlJc w:val="left"/>
      <w:lvlText w:val="(%1)"/>
      <w:numFmt w:val="lowerLetter"/>
      <w:start w:val="4"/>
    </w:lvl>
  </w:abstractNum>
  <w:abstractNum w:abstractNumId="35">
    <w:nsid w:val="47398C89"/>
    <w:multiLevelType w:val="hybridMultilevel"/>
    <w:lvl w:ilvl="0">
      <w:lvlJc w:val="left"/>
      <w:lvlText w:val="(%1)"/>
      <w:numFmt w:val="lowerLetter"/>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lowerLetter"/>
      <w:start w:val="1"/>
    </w:lvl>
  </w:abstractNum>
  <w:abstractNum w:abstractNumId="38">
    <w:nsid w:val="741226BB"/>
    <w:multiLevelType w:val="hybridMultilevel"/>
    <w:lvl w:ilvl="0">
      <w:lvlJc w:val="left"/>
      <w:lvlText w:val="(%1)"/>
      <w:numFmt w:val="lowerLetter"/>
      <w:start w:val="5"/>
    </w:lvl>
  </w:abstractNum>
  <w:abstractNum w:abstractNumId="39">
    <w:nsid w:val="D34B6A8"/>
    <w:multiLevelType w:val="hybridMultilevel"/>
    <w:lvl w:ilvl="0">
      <w:lvlJc w:val="left"/>
      <w:lvlText w:val="(%1)"/>
      <w:numFmt w:val="lowerRoman"/>
      <w:start w:val="1"/>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lowerLetter"/>
      <w:start w:val="2"/>
    </w:lvl>
  </w:abstractNum>
  <w:abstractNum w:abstractNumId="43">
    <w:nsid w:val="7E0C57B1"/>
    <w:multiLevelType w:val="hybridMultilevel"/>
    <w:lvl w:ilvl="0">
      <w:lvlJc w:val="left"/>
      <w:lvlText w:val="1"/>
      <w:numFmt w:val="bullet"/>
      <w:start w:val="1"/>
    </w:lvl>
  </w:abstractNum>
  <w:abstractNum w:abstractNumId="44">
    <w:nsid w:val="77AE35EB"/>
    <w:multiLevelType w:val="hybridMultilevel"/>
    <w:lvl w:ilvl="0">
      <w:lvlJc w:val="left"/>
      <w:lvlText w:val="2"/>
      <w:numFmt w:val="bullet"/>
      <w:start w:val="1"/>
    </w:lvl>
  </w:abstractNum>
  <w:abstractNum w:abstractNumId="45">
    <w:nsid w:val="579BE4F1"/>
    <w:multiLevelType w:val="hybridMultilevel"/>
    <w:lvl w:ilvl="0">
      <w:lvlJc w:val="left"/>
      <w:lvlText w:val="3"/>
      <w:numFmt w:val="bullet"/>
      <w:start w:val="1"/>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8">
    <w:nsid w:val="2F305DEF"/>
    <w:multiLevelType w:val="hybridMultilevel"/>
    <w:lvl w:ilvl="0">
      <w:lvlJc w:val="left"/>
      <w:lvlText w:val="(%1)"/>
      <w:numFmt w:val="lowerRoman"/>
      <w:start w:val="3"/>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Letter"/>
      <w:start w:val="1"/>
    </w:lvl>
    <w:lvl w:ilvl="1">
      <w:lvlJc w:val="left"/>
      <w:lvlText w:val="(%2)"/>
      <w:numFmt w:val="lowerRoman"/>
      <w:start w:val="1"/>
    </w:lvl>
  </w:abstractNum>
  <w:abstractNum w:abstractNumId="51">
    <w:nsid w:val="4AD084E9"/>
    <w:multiLevelType w:val="hybridMultilevel"/>
    <w:lvl w:ilvl="0">
      <w:lvlJc w:val="left"/>
      <w:lvlText w:val="(%1)"/>
      <w:numFmt w:val="lowerLetter"/>
      <w:start w:val="2"/>
    </w:lvl>
    <w:lvl w:ilvl="1">
      <w:lvlJc w:val="left"/>
      <w:lvlText w:val="(%2)"/>
      <w:numFmt w:val="lowerRoman"/>
      <w:start w:val="1"/>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lowerLetter"/>
      <w:start w:val="4"/>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Roman"/>
      <w:start w:val="1"/>
    </w:lvl>
  </w:abstractNum>
  <w:abstractNum w:abstractNumId="59">
    <w:nsid w:val="98A3148"/>
    <w:multiLevelType w:val="hybridMultilevel"/>
    <w:lvl w:ilvl="0">
      <w:lvlJc w:val="left"/>
      <w:lvlText w:val="(%1)"/>
      <w:numFmt w:val="lowerRoman"/>
      <w:start w:val="2"/>
    </w:lvl>
  </w:abstractNum>
  <w:abstractNum w:abstractNumId="60">
    <w:nsid w:val="799D0247"/>
    <w:multiLevelType w:val="hybridMultilevel"/>
    <w:lvl w:ilvl="0">
      <w:lvlJc w:val="left"/>
      <w:lvlText w:val="(%1)"/>
      <w:numFmt w:val="lowerLetter"/>
      <w:start w:val="3"/>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a"/>
      <w:numFmt w:val="bullet"/>
      <w:start w:val="1"/>
    </w:lvl>
  </w:abstractNum>
  <w:abstractNum w:abstractNumId="63">
    <w:nsid w:val="168E121F"/>
    <w:multiLevelType w:val="hybridMultilevel"/>
    <w:lvl w:ilvl="0">
      <w:lvlJc w:val="left"/>
      <w:lvlText w:val="b"/>
      <w:numFmt w:val="bullet"/>
      <w:start w:val="1"/>
    </w:lvl>
  </w:abstractNum>
  <w:abstractNum w:abstractNumId="64">
    <w:nsid w:val="1EBA5D23"/>
    <w:multiLevelType w:val="hybridMultilevel"/>
    <w:lvl w:ilvl="0">
      <w:lvlJc w:val="left"/>
      <w:lvlText w:val="c"/>
      <w:numFmt w:val="bullet"/>
      <w:start w:val="1"/>
    </w:lvl>
  </w:abstractNum>
  <w:abstractNum w:abstractNumId="65">
    <w:nsid w:val="661E3F1E"/>
    <w:multiLevelType w:val="hybridMultilevel"/>
    <w:lvl w:ilvl="0">
      <w:lvlJc w:val="left"/>
      <w:lvlText w:val="d"/>
      <w:numFmt w:val="bullet"/>
      <w:start w:val="1"/>
    </w:lvl>
  </w:abstractNum>
  <w:abstractNum w:abstractNumId="66">
    <w:nsid w:val="5DC79EA8"/>
    <w:multiLevelType w:val="hybridMultilevel"/>
    <w:lvl w:ilvl="0">
      <w:lvlJc w:val="left"/>
      <w:lvlText w:val="e"/>
      <w:numFmt w:val="bullet"/>
      <w:start w:val="1"/>
    </w:lvl>
  </w:abstractNum>
  <w:abstractNum w:abstractNumId="67">
    <w:nsid w:val="540A471C"/>
    <w:multiLevelType w:val="hybridMultilevel"/>
    <w:lvl w:ilvl="0">
      <w:lvlJc w:val="left"/>
      <w:lvlText w:val="f"/>
      <w:numFmt w:val="bullet"/>
      <w:start w:val="1"/>
    </w:lvl>
  </w:abstractNum>
  <w:abstractNum w:abstractNumId="68">
    <w:nsid w:val="7BD3EE7B"/>
    <w:multiLevelType w:val="hybridMultilevel"/>
    <w:lvl w:ilvl="0">
      <w:lvlJc w:val="left"/>
      <w:lvlText w:val="g"/>
      <w:numFmt w:val="bullet"/>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lowerLetter"/>
      <w:start w:val="2"/>
    </w:lvl>
    <w:lvl w:ilvl="1">
      <w:lvlJc w:val="left"/>
      <w:lvlText w:val="(%2)"/>
      <w:numFmt w:val="lowerLetter"/>
      <w:start w:val="61"/>
    </w:lvl>
  </w:abstractNum>
  <w:abstractNum w:abstractNumId="71">
    <w:nsid w:val="BF72B14"/>
    <w:multiLevelType w:val="hybridMultilevel"/>
    <w:lvl w:ilvl="0">
      <w:lvlJc w:val="left"/>
      <w:lvlText w:val="a"/>
      <w:numFmt w:val="bullet"/>
      <w:start w:val="1"/>
    </w:lvl>
  </w:abstractNum>
  <w:abstractNum w:abstractNumId="72">
    <w:nsid w:val="11447B73"/>
    <w:multiLevelType w:val="hybridMultilevel"/>
    <w:lvl w:ilvl="0">
      <w:lvlJc w:val="left"/>
      <w:lvlText w:val="b"/>
      <w:numFmt w:val="bullet"/>
      <w:start w:val="1"/>
    </w:lvl>
  </w:abstractNum>
  <w:abstractNum w:abstractNumId="73">
    <w:nsid w:val="42963E5A"/>
    <w:multiLevelType w:val="hybridMultilevel"/>
    <w:lvl w:ilvl="0">
      <w:lvlJc w:val="left"/>
      <w:lvlText w:val="c"/>
      <w:numFmt w:val="bullet"/>
      <w:start w:val="1"/>
    </w:lvl>
  </w:abstractNum>
  <w:abstractNum w:abstractNumId="74">
    <w:nsid w:val="A0382C5"/>
    <w:multiLevelType w:val="hybridMultilevel"/>
    <w:lvl w:ilvl="0">
      <w:lvlJc w:val="left"/>
      <w:lvlText w:val="d"/>
      <w:numFmt w:val="bullet"/>
      <w:start w:val="1"/>
    </w:lvl>
  </w:abstractNum>
  <w:abstractNum w:abstractNumId="75">
    <w:nsid w:val="8F2B15E"/>
    <w:multiLevelType w:val="hybridMultilevel"/>
    <w:lvl w:ilvl="0">
      <w:lvlJc w:val="left"/>
      <w:lvlText w:val="e"/>
      <w:numFmt w:val="bullet"/>
      <w:start w:val="1"/>
    </w:lvl>
  </w:abstractNum>
  <w:abstractNum w:abstractNumId="76">
    <w:nsid w:val="1A32234B"/>
    <w:multiLevelType w:val="hybridMultilevel"/>
    <w:lvl w:ilvl="0">
      <w:lvlJc w:val="left"/>
      <w:lvlText w:val="f"/>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2024-08-09T15:57:13Z</dcterms:created>
  <dcterms:modified xsi:type="dcterms:W3CDTF">2024-08-09T15:57:13Z</dcterms:modified>
</cp:coreProperties>
</file>