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50" w:lineRule="exact"/>
        <w:rPr>
          <w:sz w:val="24"/>
          <w:szCs w:val="24"/>
          <w:color w:val="auto"/>
        </w:rPr>
      </w:pPr>
    </w:p>
    <w:p>
      <w:pPr>
        <w:ind w:left="580" w:hanging="379"/>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9" w:lineRule="exact"/>
        <w:rPr>
          <w:rFonts w:ascii="MS PGothic" w:cs="MS PGothic" w:eastAsia="MS PGothic" w:hAnsi="MS PGothic"/>
          <w:sz w:val="17"/>
          <w:szCs w:val="17"/>
          <w:color w:val="auto"/>
        </w:rPr>
      </w:pPr>
    </w:p>
    <w:p>
      <w:pPr>
        <w:ind w:left="37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quarterly period ended September 30, 2021.</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75" w:lineRule="exact"/>
        <w:rPr>
          <w:sz w:val="24"/>
          <w:szCs w:val="24"/>
          <w:color w:val="auto"/>
        </w:rPr>
      </w:pPr>
    </w:p>
    <w:p>
      <w:pPr>
        <w:ind w:left="580" w:hanging="379"/>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2"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7"/>
          <w:szCs w:val="17"/>
          <w:color w:val="auto"/>
        </w:rPr>
        <w:t>For the transition period from ______ to ______.</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001-39420</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RACKSPACE TECHNOLOGY,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3397250</wp:posOffset>
            </wp:positionH>
            <wp:positionV relativeFrom="paragraph">
              <wp:posOffset>156845</wp:posOffset>
            </wp:positionV>
            <wp:extent cx="348615" cy="440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615" cy="44005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840"/>
        <w:spacing w:after="0"/>
        <w:rPr>
          <w:sz w:val="20"/>
          <w:szCs w:val="20"/>
          <w:color w:val="auto"/>
        </w:rPr>
      </w:pPr>
      <w:r>
        <w:rPr>
          <w:rFonts w:ascii="Arial" w:cs="Arial" w:eastAsia="Arial" w:hAnsi="Arial"/>
          <w:sz w:val="17"/>
          <w:szCs w:val="17"/>
          <w:b w:val="1"/>
          <w:bCs w:val="1"/>
          <w:color w:val="auto"/>
        </w:rPr>
        <w:t>Delaware</w:t>
      </w: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81-3369925</w:t>
      </w:r>
    </w:p>
    <w:p>
      <w:pPr>
        <w:spacing w:after="0" w:line="40"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(I.R.S. Employer Identification No.)</w:t>
      </w:r>
    </w:p>
    <w:p>
      <w:pPr>
        <w:spacing w:after="0" w:line="117" w:lineRule="exact"/>
        <w:rPr>
          <w:sz w:val="24"/>
          <w:szCs w:val="24"/>
          <w:color w:val="auto"/>
        </w:rPr>
      </w:pPr>
    </w:p>
    <w:p>
      <w:pPr>
        <w:sectPr>
          <w:pgSz w:w="11900" w:h="16838" w:orient="portrait"/>
          <w:cols w:equalWidth="0" w:num="2">
            <w:col w:w="6720" w:space="720"/>
            <w:col w:w="3800"/>
          </w:cols>
          <w:pgMar w:left="320" w:top="1235" w:right="3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 Fanatical Place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City of Windcrest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 Antonio, Texas 78218</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(210) 312-4000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(Former name, former address and former fiscal year, if changed since last report)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240" w:type="dxa"/>
            <w:vAlign w:val="bottom"/>
            <w:gridSpan w:val="3"/>
          </w:tcPr>
          <w:p>
            <w:pPr>
              <w:spacing w:after="0"/>
              <w:rPr>
                <w:sz w:val="20"/>
                <w:szCs w:val="20"/>
                <w:color w:val="auto"/>
              </w:rPr>
            </w:pPr>
            <w:r>
              <w:rPr>
                <w:rFonts w:ascii="Arial" w:cs="Arial" w:eastAsia="Arial" w:hAnsi="Arial"/>
                <w:sz w:val="17"/>
                <w:szCs w:val="17"/>
                <w:color w:val="auto"/>
                <w:w w:val="97"/>
              </w:rPr>
              <w:t>Securities registered pursuant to Section 12(b) of the Act:</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r>
      <w:tr>
        <w:trPr>
          <w:trHeight w:val="2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jc w:val="center"/>
              <w:ind w:right="553"/>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23"/>
                <w:szCs w:val="23"/>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15"/>
        </w:trPr>
        <w:tc>
          <w:tcPr>
            <w:tcW w:w="4240" w:type="dxa"/>
            <w:vAlign w:val="bottom"/>
            <w:gridSpan w:val="3"/>
          </w:tcPr>
          <w:p>
            <w:pPr>
              <w:jc w:val="center"/>
              <w:ind w:right="740"/>
              <w:spacing w:after="0"/>
              <w:rPr>
                <w:sz w:val="20"/>
                <w:szCs w:val="20"/>
                <w:color w:val="auto"/>
              </w:rPr>
            </w:pPr>
            <w:r>
              <w:rPr>
                <w:rFonts w:ascii="Arial" w:cs="Arial" w:eastAsia="Arial" w:hAnsi="Arial"/>
                <w:sz w:val="17"/>
                <w:szCs w:val="17"/>
                <w:color w:val="auto"/>
                <w:w w:val="91"/>
              </w:rPr>
              <w:t>Common stock, par value $0.01 per share</w:t>
            </w:r>
          </w:p>
        </w:tc>
        <w:tc>
          <w:tcPr>
            <w:tcW w:w="2600" w:type="dxa"/>
            <w:vAlign w:val="bottom"/>
            <w:gridSpan w:val="2"/>
          </w:tcPr>
          <w:p>
            <w:pPr>
              <w:jc w:val="center"/>
              <w:ind w:right="740"/>
              <w:spacing w:after="0"/>
              <w:rPr>
                <w:sz w:val="20"/>
                <w:szCs w:val="20"/>
                <w:color w:val="auto"/>
              </w:rPr>
            </w:pPr>
            <w:r>
              <w:rPr>
                <w:rFonts w:ascii="Arial" w:cs="Arial" w:eastAsia="Arial" w:hAnsi="Arial"/>
                <w:sz w:val="17"/>
                <w:szCs w:val="17"/>
                <w:color w:val="auto"/>
                <w:w w:val="99"/>
              </w:rPr>
              <w:t>RXT</w:t>
            </w:r>
          </w:p>
        </w:tc>
        <w:tc>
          <w:tcPr>
            <w:tcW w:w="4400" w:type="dxa"/>
            <w:vAlign w:val="bottom"/>
          </w:tcPr>
          <w:p>
            <w:pPr>
              <w:jc w:val="center"/>
              <w:spacing w:after="0"/>
              <w:rPr>
                <w:sz w:val="20"/>
                <w:szCs w:val="20"/>
                <w:color w:val="auto"/>
              </w:rPr>
            </w:pPr>
            <w:r>
              <w:rPr>
                <w:rFonts w:ascii="Arial" w:cs="Arial" w:eastAsia="Arial" w:hAnsi="Arial"/>
                <w:sz w:val="17"/>
                <w:szCs w:val="17"/>
                <w:color w:val="auto"/>
                <w:w w:val="94"/>
              </w:rPr>
              <w:t>The Nasdaq Stock Market LLC</w:t>
            </w:r>
          </w:p>
        </w:tc>
      </w:tr>
    </w:tbl>
    <w:p>
      <w:pPr>
        <w:spacing w:after="0" w:line="302" w:lineRule="exact"/>
        <w:rPr>
          <w:sz w:val="24"/>
          <w:szCs w:val="24"/>
          <w:color w:val="auto"/>
        </w:rPr>
      </w:pPr>
    </w:p>
    <w:p>
      <w:pPr>
        <w:ind w:right="18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jc w:val="both"/>
        <w:ind w:right="240" w:firstLine="47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689610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1" w:name="page2"/>
    <w:bookmarkEnd w:id="1"/>
    <w:p>
      <w:pPr>
        <w:ind w:right="40" w:firstLine="470"/>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911" w:right="399" w:bottom="1440" w:gutter="0" w:footer="0" w:header="0"/>
        </w:sectPr>
      </w:pPr>
    </w:p>
    <w:p>
      <w:pPr>
        <w:spacing w:after="0" w:line="237" w:lineRule="exact"/>
        <w:rPr>
          <w:sz w:val="20"/>
          <w:szCs w:val="20"/>
          <w:color w:val="auto"/>
        </w:rPr>
      </w:pPr>
    </w:p>
    <w:p>
      <w:pPr>
        <w:ind w:left="960"/>
        <w:spacing w:after="0" w:line="376"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Accelerated filer</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Smaller reporting company</w:t>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Emerging growth company</w:t>
      </w:r>
    </w:p>
    <w:p>
      <w:pPr>
        <w:spacing w:after="0" w:line="200" w:lineRule="exact"/>
        <w:rPr>
          <w:sz w:val="20"/>
          <w:szCs w:val="20"/>
          <w:color w:val="auto"/>
        </w:rPr>
      </w:pPr>
    </w:p>
    <w:p>
      <w:pPr>
        <w:sectPr>
          <w:pgSz w:w="11900" w:h="16838" w:orient="portrait"/>
          <w:cols w:equalWidth="0" w:num="3">
            <w:col w:w="2520" w:space="540"/>
            <w:col w:w="5280" w:space="720"/>
            <w:col w:w="2120"/>
          </w:cols>
          <w:pgMar w:left="320" w:top="911" w:right="399" w:bottom="1440" w:gutter="0" w:footer="0" w:header="0"/>
          <w:type w:val="continuous"/>
        </w:sectPr>
      </w:pPr>
    </w:p>
    <w:p>
      <w:pPr>
        <w:spacing w:after="0" w:line="163" w:lineRule="exact"/>
        <w:rPr>
          <w:sz w:val="20"/>
          <w:szCs w:val="20"/>
          <w:color w:val="auto"/>
        </w:rPr>
      </w:pPr>
    </w:p>
    <w:p>
      <w:pPr>
        <w:ind w:firstLine="47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1" w:lineRule="exact"/>
        <w:rPr>
          <w:sz w:val="20"/>
          <w:szCs w:val="20"/>
          <w:color w:val="auto"/>
        </w:rPr>
      </w:pPr>
    </w:p>
    <w:p>
      <w:pPr>
        <w:ind w:left="4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November 10, 2021, 210,032,072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568325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911"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820" w:type="dxa"/>
            <w:vAlign w:val="bottom"/>
            <w:gridSpan w:val="17"/>
          </w:tcPr>
          <w:p>
            <w:pPr>
              <w:spacing w:after="0"/>
              <w:rPr>
                <w:sz w:val="20"/>
                <w:szCs w:val="20"/>
                <w:color w:val="auto"/>
              </w:rPr>
            </w:pPr>
            <w:r>
              <w:rPr>
                <w:rFonts w:ascii="Arial" w:cs="Arial" w:eastAsia="Arial" w:hAnsi="Arial"/>
                <w:sz w:val="17"/>
                <w:szCs w:val="17"/>
                <w:b w:val="1"/>
                <w:bCs w:val="1"/>
                <w:color w:val="auto"/>
              </w:rPr>
              <w:t>Part I - Financial Information</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700" w:type="dxa"/>
            <w:vAlign w:val="bottom"/>
            <w:gridSpan w:val="15"/>
          </w:tcPr>
          <w:p>
            <w:pPr>
              <w:spacing w:after="0"/>
              <w:rPr>
                <w:sz w:val="20"/>
                <w:szCs w:val="20"/>
                <w:color w:val="auto"/>
              </w:rPr>
            </w:pPr>
            <w:r>
              <w:rPr>
                <w:rFonts w:ascii="Arial" w:cs="Arial" w:eastAsia="Arial" w:hAnsi="Arial"/>
                <w:sz w:val="17"/>
                <w:szCs w:val="17"/>
                <w:color w:val="auto"/>
              </w:rPr>
              <w:t>Financial Statements:</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700" w:type="dxa"/>
            <w:vAlign w:val="bottom"/>
            <w:gridSpan w:val="15"/>
          </w:tcPr>
          <w:p>
            <w:pPr>
              <w:spacing w:after="0" w:line="183" w:lineRule="exact"/>
              <w:rPr>
                <w:rFonts w:ascii="Arial" w:cs="Arial" w:eastAsia="Arial" w:hAnsi="Arial"/>
                <w:sz w:val="17"/>
                <w:szCs w:val="17"/>
                <w:color w:val="0000FF"/>
              </w:rPr>
            </w:pPr>
            <w:hyperlink w:anchor="page5">
              <w:r>
                <w:rPr>
                  <w:rFonts w:ascii="Arial" w:cs="Arial" w:eastAsia="Arial" w:hAnsi="Arial"/>
                  <w:sz w:val="17"/>
                  <w:szCs w:val="17"/>
                  <w:color w:val="0000FF"/>
                </w:rPr>
                <w:t>Unaudited Consolidated Balance Sheets as of December 31, 2020 and September 30, 2021</w:t>
              </w:r>
            </w:hyperlink>
          </w:p>
        </w:tc>
        <w:tc>
          <w:tcPr>
            <w:tcW w:w="80" w:type="dxa"/>
            <w:vAlign w:val="bottom"/>
          </w:tcPr>
          <w:p>
            <w:pPr>
              <w:jc w:val="center"/>
              <w:spacing w:after="0" w:line="183" w:lineRule="exact"/>
              <w:rPr>
                <w:rFonts w:ascii="Arial" w:cs="Arial" w:eastAsia="Arial" w:hAnsi="Arial"/>
                <w:sz w:val="17"/>
                <w:szCs w:val="17"/>
                <w:color w:val="0000FF"/>
                <w:w w:val="84"/>
              </w:rPr>
            </w:pPr>
            <w:hyperlink w:anchor="page5">
              <w:r>
                <w:rPr>
                  <w:rFonts w:ascii="Arial" w:cs="Arial" w:eastAsia="Arial" w:hAnsi="Arial"/>
                  <w:sz w:val="17"/>
                  <w:szCs w:val="17"/>
                  <w:color w:val="0000FF"/>
                  <w:w w:val="84"/>
                </w:rPr>
                <w:t>3</w:t>
              </w:r>
            </w:hyperlink>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00" w:type="dxa"/>
            <w:vAlign w:val="bottom"/>
            <w:gridSpan w:val="15"/>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Unaudited Consolidated Statements of Comprehensive Loss for the Three and Nine Months Ended September 30, 2020 and</w:t>
              </w:r>
            </w:hyperlink>
          </w:p>
        </w:tc>
        <w:tc>
          <w:tcPr>
            <w:tcW w:w="80" w:type="dxa"/>
            <w:vAlign w:val="bottom"/>
          </w:tcPr>
          <w:p>
            <w:pPr>
              <w:jc w:val="center"/>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4</w:t>
              </w:r>
            </w:hyperlink>
          </w:p>
        </w:tc>
        <w:tc>
          <w:tcPr>
            <w:tcW w:w="320" w:type="dxa"/>
            <w:vAlign w:val="bottom"/>
          </w:tcPr>
          <w:p>
            <w:pPr>
              <w:spacing w:after="0"/>
              <w:rPr>
                <w:sz w:val="17"/>
                <w:szCs w:val="17"/>
                <w:color w:val="auto"/>
              </w:rPr>
            </w:pPr>
          </w:p>
        </w:tc>
      </w:tr>
      <w:tr>
        <w:trPr>
          <w:trHeight w:val="15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4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w:anchor="page5">
              <w:r>
                <w:rPr>
                  <w:rFonts w:ascii="Arial" w:cs="Arial" w:eastAsia="Arial" w:hAnsi="Arial"/>
                  <w:sz w:val="17"/>
                  <w:szCs w:val="17"/>
                  <w:color w:val="0000FF"/>
                </w:rPr>
                <w:t>September 30, 2021</w:t>
              </w:r>
            </w:hyperlink>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80" w:type="dxa"/>
            <w:vAlign w:val="bottom"/>
            <w:gridSpan w:val="14"/>
          </w:tcPr>
          <w:p>
            <w:pPr>
              <w:spacing w:after="0"/>
              <w:rPr>
                <w:rFonts w:ascii="Arial" w:cs="Arial" w:eastAsia="Arial" w:hAnsi="Arial"/>
                <w:sz w:val="17"/>
                <w:szCs w:val="17"/>
                <w:color w:val="0000FF"/>
                <w:w w:val="91"/>
              </w:rPr>
            </w:pPr>
            <w:hyperlink w:anchor="page6">
              <w:r>
                <w:rPr>
                  <w:rFonts w:ascii="Arial" w:cs="Arial" w:eastAsia="Arial" w:hAnsi="Arial"/>
                  <w:sz w:val="17"/>
                  <w:szCs w:val="17"/>
                  <w:color w:val="0000FF"/>
                  <w:w w:val="91"/>
                </w:rPr>
                <w:t>Unaudited Consolidated Statements of Cash Flows for the Nine Months Ended September 30, 2020 and September 30, 2021</w:t>
              </w:r>
            </w:hyperlink>
          </w:p>
        </w:tc>
        <w:tc>
          <w:tcPr>
            <w:tcW w:w="102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5</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80" w:type="dxa"/>
            <w:vAlign w:val="bottom"/>
            <w:gridSpan w:val="14"/>
          </w:tcPr>
          <w:p>
            <w:pPr>
              <w:spacing w:after="0"/>
              <w:rPr>
                <w:rFonts w:ascii="Arial" w:cs="Arial" w:eastAsia="Arial" w:hAnsi="Arial"/>
                <w:sz w:val="17"/>
                <w:szCs w:val="17"/>
                <w:color w:val="0000FF"/>
                <w:w w:val="93"/>
              </w:rPr>
            </w:pPr>
            <w:hyperlink w:anchor="page8">
              <w:r>
                <w:rPr>
                  <w:rFonts w:ascii="Arial" w:cs="Arial" w:eastAsia="Arial" w:hAnsi="Arial"/>
                  <w:sz w:val="17"/>
                  <w:szCs w:val="17"/>
                  <w:color w:val="0000FF"/>
                  <w:w w:val="93"/>
                </w:rPr>
                <w:t>Unaudited Consolidated Statements of Stockholders' Equity for the Three and Nine Months Ended September 30, 2020 and</w:t>
              </w:r>
            </w:hyperlink>
          </w:p>
        </w:tc>
        <w:tc>
          <w:tcPr>
            <w:tcW w:w="1020" w:type="dxa"/>
            <w:vAlign w:val="bottom"/>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7</w:t>
              </w:r>
            </w:hyperlink>
          </w:p>
        </w:tc>
        <w:tc>
          <w:tcPr>
            <w:tcW w:w="320" w:type="dxa"/>
            <w:vAlign w:val="bottom"/>
          </w:tcPr>
          <w:p>
            <w:pPr>
              <w:spacing w:after="0"/>
              <w:rPr>
                <w:sz w:val="17"/>
                <w:szCs w:val="17"/>
                <w:color w:val="auto"/>
              </w:rPr>
            </w:pPr>
          </w:p>
        </w:tc>
      </w:tr>
      <w:tr>
        <w:trPr>
          <w:trHeight w:val="15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20" w:type="dxa"/>
            <w:vAlign w:val="bottom"/>
            <w:tcBorders>
              <w:top w:val="single" w:sz="8" w:color="0000FF"/>
            </w:tcBorders>
            <w:gridSpan w:val="12"/>
          </w:tcPr>
          <w:p>
            <w:pPr>
              <w:spacing w:after="0" w:line="150" w:lineRule="exact"/>
              <w:rPr>
                <w:rFonts w:ascii="Arial" w:cs="Arial" w:eastAsia="Arial" w:hAnsi="Arial"/>
                <w:sz w:val="17"/>
                <w:szCs w:val="17"/>
                <w:color w:val="0000FF"/>
              </w:rPr>
            </w:pPr>
            <w:hyperlink w:anchor="page8">
              <w:r>
                <w:rPr>
                  <w:rFonts w:ascii="Arial" w:cs="Arial" w:eastAsia="Arial" w:hAnsi="Arial"/>
                  <w:sz w:val="17"/>
                  <w:szCs w:val="17"/>
                  <w:color w:val="0000FF"/>
                </w:rPr>
                <w:t>September 30, 2021</w:t>
              </w:r>
            </w:hyperlink>
          </w:p>
        </w:tc>
        <w:tc>
          <w:tcPr>
            <w:tcW w:w="1080" w:type="dxa"/>
            <w:vAlign w:val="bottom"/>
            <w:gridSpan w:val="3"/>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80" w:type="dxa"/>
            <w:vAlign w:val="bottom"/>
            <w:gridSpan w:val="8"/>
          </w:tcPr>
          <w:p>
            <w:pPr>
              <w:spacing w:after="0"/>
              <w:rPr>
                <w:rFonts w:ascii="Arial" w:cs="Arial" w:eastAsia="Arial" w:hAnsi="Arial"/>
                <w:sz w:val="17"/>
                <w:szCs w:val="17"/>
                <w:color w:val="0000FF"/>
                <w:w w:val="91"/>
              </w:rPr>
            </w:pPr>
            <w:hyperlink w:anchor="page9">
              <w:r>
                <w:rPr>
                  <w:rFonts w:ascii="Arial" w:cs="Arial" w:eastAsia="Arial" w:hAnsi="Arial"/>
                  <w:sz w:val="17"/>
                  <w:szCs w:val="17"/>
                  <w:color w:val="0000FF"/>
                  <w:w w:val="91"/>
                </w:rPr>
                <w:t>Notes to the Unaudited Consolidated Financial Statements</w:t>
              </w:r>
            </w:hyperlink>
          </w:p>
        </w:tc>
        <w:tc>
          <w:tcPr>
            <w:tcW w:w="5620" w:type="dxa"/>
            <w:vAlign w:val="bottom"/>
            <w:gridSpan w:val="7"/>
          </w:tcPr>
          <w:p>
            <w:pPr>
              <w:spacing w:after="0"/>
              <w:rPr>
                <w:sz w:val="17"/>
                <w:szCs w:val="17"/>
                <w:color w:val="auto"/>
              </w:rPr>
            </w:pPr>
          </w:p>
        </w:tc>
        <w:tc>
          <w:tcPr>
            <w:tcW w:w="80" w:type="dxa"/>
            <w:vAlign w:val="bottom"/>
          </w:tcPr>
          <w:p>
            <w:pPr>
              <w:jc w:val="center"/>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8</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240" w:type="dxa"/>
            <w:vAlign w:val="bottom"/>
            <w:gridSpan w:val="10"/>
          </w:tcPr>
          <w:p>
            <w:pPr>
              <w:spacing w:after="0"/>
              <w:rPr>
                <w:rFonts w:ascii="Arial" w:cs="Arial" w:eastAsia="Arial" w:hAnsi="Arial"/>
                <w:sz w:val="17"/>
                <w:szCs w:val="17"/>
                <w:color w:val="0000FF"/>
                <w:w w:val="93"/>
              </w:rPr>
            </w:pPr>
            <w:hyperlink w:anchor="page27">
              <w:r>
                <w:rPr>
                  <w:rFonts w:ascii="Arial" w:cs="Arial" w:eastAsia="Arial" w:hAnsi="Arial"/>
                  <w:sz w:val="17"/>
                  <w:szCs w:val="17"/>
                  <w:color w:val="0000FF"/>
                  <w:w w:val="93"/>
                </w:rPr>
                <w:t>Management's Discussion and Analysis of Financial Condition and Results of Operations</w:t>
              </w:r>
            </w:hyperlink>
          </w:p>
        </w:tc>
        <w:tc>
          <w:tcPr>
            <w:tcW w:w="3460" w:type="dxa"/>
            <w:vAlign w:val="bottom"/>
            <w:gridSpan w:val="5"/>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26</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460" w:type="dxa"/>
            <w:vAlign w:val="bottom"/>
            <w:tcBorders>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6240" w:type="dxa"/>
            <w:vAlign w:val="bottom"/>
            <w:gridSpan w:val="1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Quantitative and Qualitative Disclosures About Market Risk</w:t>
              </w:r>
            </w:hyperlink>
          </w:p>
        </w:tc>
        <w:tc>
          <w:tcPr>
            <w:tcW w:w="3460" w:type="dxa"/>
            <w:vAlign w:val="bottom"/>
            <w:gridSpan w:val="5"/>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0">
              <w:r>
                <w:rPr>
                  <w:rFonts w:ascii="Arial" w:cs="Arial" w:eastAsia="Arial" w:hAnsi="Arial"/>
                  <w:sz w:val="15"/>
                  <w:szCs w:val="15"/>
                  <w:color w:val="0000FF"/>
                  <w:w w:val="71"/>
                </w:rPr>
                <w:t>49</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480" w:type="dxa"/>
            <w:vAlign w:val="bottom"/>
            <w:tcBorders>
              <w:right w:val="single" w:sz="8" w:color="0000FF"/>
            </w:tcBorders>
            <w:gridSpan w:val="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20" w:type="dxa"/>
            <w:vAlign w:val="bottom"/>
            <w:gridSpan w:val="6"/>
          </w:tcPr>
          <w:p>
            <w:pPr>
              <w:spacing w:after="0"/>
              <w:rPr>
                <w:rFonts w:ascii="Arial" w:cs="Arial" w:eastAsia="Arial" w:hAnsi="Arial"/>
                <w:sz w:val="17"/>
                <w:szCs w:val="17"/>
                <w:color w:val="0000FF"/>
                <w:w w:val="90"/>
              </w:rPr>
            </w:pPr>
            <w:hyperlink w:anchor="page52">
              <w:r>
                <w:rPr>
                  <w:rFonts w:ascii="Arial" w:cs="Arial" w:eastAsia="Arial" w:hAnsi="Arial"/>
                  <w:sz w:val="17"/>
                  <w:szCs w:val="17"/>
                  <w:color w:val="0000FF"/>
                  <w:w w:val="90"/>
                </w:rPr>
                <w:t>Controls and Procedures</w:t>
              </w:r>
            </w:hyperlink>
          </w:p>
        </w:tc>
        <w:tc>
          <w:tcPr>
            <w:tcW w:w="2500" w:type="dxa"/>
            <w:vAlign w:val="bottom"/>
            <w:gridSpan w:val="3"/>
          </w:tcPr>
          <w:p>
            <w:pPr>
              <w:spacing w:after="0"/>
              <w:rPr>
                <w:sz w:val="17"/>
                <w:szCs w:val="17"/>
                <w:color w:val="auto"/>
              </w:rPr>
            </w:pPr>
          </w:p>
        </w:tc>
        <w:tc>
          <w:tcPr>
            <w:tcW w:w="5480" w:type="dxa"/>
            <w:vAlign w:val="bottom"/>
            <w:gridSpan w:val="6"/>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2">
              <w:r>
                <w:rPr>
                  <w:rFonts w:ascii="Arial" w:cs="Arial" w:eastAsia="Arial" w:hAnsi="Arial"/>
                  <w:sz w:val="15"/>
                  <w:szCs w:val="15"/>
                  <w:color w:val="0000FF"/>
                  <w:w w:val="71"/>
                </w:rPr>
                <w:t>50</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80" w:type="dxa"/>
            <w:vAlign w:val="bottom"/>
            <w:tcBorders>
              <w:right w:val="single" w:sz="8" w:color="0000FF"/>
            </w:tcBorders>
            <w:gridSpan w:val="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10820" w:type="dxa"/>
            <w:vAlign w:val="bottom"/>
            <w:gridSpan w:val="17"/>
          </w:tcPr>
          <w:p>
            <w:pPr>
              <w:spacing w:after="0"/>
              <w:rPr>
                <w:sz w:val="20"/>
                <w:szCs w:val="20"/>
                <w:color w:val="auto"/>
              </w:rPr>
            </w:pPr>
            <w:r>
              <w:rPr>
                <w:rFonts w:ascii="Arial" w:cs="Arial" w:eastAsia="Arial" w:hAnsi="Arial"/>
                <w:sz w:val="17"/>
                <w:szCs w:val="17"/>
                <w:b w:val="1"/>
                <w:bCs w:val="1"/>
                <w:color w:val="auto"/>
              </w:rPr>
              <w:t>Part II - Other Information</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120" w:type="dxa"/>
            <w:vAlign w:val="bottom"/>
            <w:gridSpan w:val="2"/>
          </w:tcPr>
          <w:p>
            <w:pPr>
              <w:spacing w:after="0" w:line="183" w:lineRule="exact"/>
              <w:rPr>
                <w:sz w:val="20"/>
                <w:szCs w:val="20"/>
                <w:color w:val="auto"/>
              </w:rPr>
            </w:pPr>
            <w:r>
              <w:rPr>
                <w:rFonts w:ascii="Arial" w:cs="Arial" w:eastAsia="Arial" w:hAnsi="Arial"/>
                <w:sz w:val="17"/>
                <w:szCs w:val="17"/>
                <w:color w:val="auto"/>
              </w:rPr>
              <w:t>Item 1.</w:t>
            </w:r>
          </w:p>
        </w:tc>
        <w:tc>
          <w:tcPr>
            <w:tcW w:w="2260" w:type="dxa"/>
            <w:vAlign w:val="bottom"/>
            <w:gridSpan w:val="7"/>
          </w:tcPr>
          <w:p>
            <w:pPr>
              <w:spacing w:after="0" w:line="183" w:lineRule="exact"/>
              <w:rPr>
                <w:rFonts w:ascii="Arial" w:cs="Arial" w:eastAsia="Arial" w:hAnsi="Arial"/>
                <w:sz w:val="17"/>
                <w:szCs w:val="17"/>
                <w:color w:val="0000FF"/>
              </w:rPr>
            </w:pPr>
            <w:hyperlink w:anchor="page53">
              <w:r>
                <w:rPr>
                  <w:rFonts w:ascii="Arial" w:cs="Arial" w:eastAsia="Arial" w:hAnsi="Arial"/>
                  <w:sz w:val="17"/>
                  <w:szCs w:val="17"/>
                  <w:color w:val="0000FF"/>
                </w:rPr>
                <w:t>Legal Proceedings</w:t>
              </w:r>
            </w:hyperlink>
          </w:p>
        </w:tc>
        <w:tc>
          <w:tcPr>
            <w:tcW w:w="7440" w:type="dxa"/>
            <w:vAlign w:val="bottom"/>
            <w:gridSpan w:val="8"/>
          </w:tcPr>
          <w:p>
            <w:pPr>
              <w:spacing w:after="0"/>
              <w:rPr>
                <w:sz w:val="15"/>
                <w:szCs w:val="15"/>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80" w:type="dxa"/>
            <w:vAlign w:val="bottom"/>
            <w:tcBorders>
              <w:right w:val="single" w:sz="8" w:color="0000FF"/>
            </w:tcBorders>
            <w:gridSpan w:val="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2260" w:type="dxa"/>
            <w:vAlign w:val="bottom"/>
            <w:gridSpan w:val="7"/>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Risk Factors</w:t>
              </w:r>
            </w:hyperlink>
          </w:p>
        </w:tc>
        <w:tc>
          <w:tcPr>
            <w:tcW w:w="7440" w:type="dxa"/>
            <w:vAlign w:val="bottom"/>
            <w:gridSpan w:val="8"/>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480" w:type="dxa"/>
            <w:vAlign w:val="bottom"/>
            <w:tcBorders>
              <w:right w:val="single" w:sz="8" w:color="0000FF"/>
            </w:tcBorders>
            <w:gridSpan w:val="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700" w:type="dxa"/>
            <w:vAlign w:val="bottom"/>
            <w:gridSpan w:val="15"/>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Unregistered Sales of Equity Securities and Use of Proceeds</w:t>
              </w:r>
            </w:hyperlink>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744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260" w:type="dxa"/>
            <w:vAlign w:val="bottom"/>
            <w:gridSpan w:val="7"/>
          </w:tcPr>
          <w:p>
            <w:pPr>
              <w:spacing w:after="0"/>
              <w:rPr>
                <w:rFonts w:ascii="Arial" w:cs="Arial" w:eastAsia="Arial" w:hAnsi="Arial"/>
                <w:sz w:val="17"/>
                <w:szCs w:val="17"/>
                <w:color w:val="0000FF"/>
                <w:w w:val="92"/>
              </w:rPr>
            </w:pPr>
            <w:hyperlink w:anchor="page53">
              <w:r>
                <w:rPr>
                  <w:rFonts w:ascii="Arial" w:cs="Arial" w:eastAsia="Arial" w:hAnsi="Arial"/>
                  <w:sz w:val="17"/>
                  <w:szCs w:val="17"/>
                  <w:color w:val="0000FF"/>
                  <w:w w:val="92"/>
                </w:rPr>
                <w:t>Defaults Upon Senior Securities</w:t>
              </w:r>
            </w:hyperlink>
          </w:p>
        </w:tc>
        <w:tc>
          <w:tcPr>
            <w:tcW w:w="7440" w:type="dxa"/>
            <w:vAlign w:val="bottom"/>
            <w:gridSpan w:val="8"/>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7440" w:type="dxa"/>
            <w:vAlign w:val="bottom"/>
            <w:tcBorders>
              <w:right w:val="single" w:sz="8" w:color="0000FF"/>
            </w:tcBorders>
            <w:gridSpan w:val="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20" w:type="dxa"/>
            <w:vAlign w:val="bottom"/>
            <w:gridSpan w:val="6"/>
          </w:tcPr>
          <w:p>
            <w:pPr>
              <w:spacing w:after="0"/>
              <w:rPr>
                <w:rFonts w:ascii="Arial" w:cs="Arial" w:eastAsia="Arial" w:hAnsi="Arial"/>
                <w:sz w:val="17"/>
                <w:szCs w:val="17"/>
                <w:color w:val="0000FF"/>
                <w:w w:val="93"/>
              </w:rPr>
            </w:pPr>
            <w:hyperlink w:anchor="page53">
              <w:r>
                <w:rPr>
                  <w:rFonts w:ascii="Arial" w:cs="Arial" w:eastAsia="Arial" w:hAnsi="Arial"/>
                  <w:sz w:val="17"/>
                  <w:szCs w:val="17"/>
                  <w:color w:val="0000FF"/>
                  <w:w w:val="93"/>
                </w:rPr>
                <w:t>Mine Safety Disclosures</w:t>
              </w:r>
            </w:hyperlink>
          </w:p>
        </w:tc>
        <w:tc>
          <w:tcPr>
            <w:tcW w:w="540" w:type="dxa"/>
            <w:vAlign w:val="bottom"/>
          </w:tcPr>
          <w:p>
            <w:pPr>
              <w:spacing w:after="0"/>
              <w:rPr>
                <w:sz w:val="17"/>
                <w:szCs w:val="17"/>
                <w:color w:val="auto"/>
              </w:rPr>
            </w:pPr>
          </w:p>
        </w:tc>
        <w:tc>
          <w:tcPr>
            <w:tcW w:w="7440" w:type="dxa"/>
            <w:vAlign w:val="bottom"/>
            <w:gridSpan w:val="8"/>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980" w:type="dxa"/>
            <w:vAlign w:val="bottom"/>
            <w:tcBorders>
              <w:right w:val="single" w:sz="8" w:color="0000FF"/>
            </w:tcBorders>
            <w:gridSpan w:val="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80" w:type="dxa"/>
            <w:vAlign w:val="bottom"/>
            <w:gridSpan w:val="3"/>
          </w:tcPr>
          <w:p>
            <w:pPr>
              <w:spacing w:after="0"/>
              <w:rPr>
                <w:rFonts w:ascii="Arial" w:cs="Arial" w:eastAsia="Arial" w:hAnsi="Arial"/>
                <w:sz w:val="17"/>
                <w:szCs w:val="17"/>
                <w:color w:val="0000FF"/>
                <w:w w:val="95"/>
              </w:rPr>
            </w:pPr>
            <w:hyperlink w:anchor="page53">
              <w:r>
                <w:rPr>
                  <w:rFonts w:ascii="Arial" w:cs="Arial" w:eastAsia="Arial" w:hAnsi="Arial"/>
                  <w:sz w:val="17"/>
                  <w:szCs w:val="17"/>
                  <w:color w:val="0000FF"/>
                  <w:w w:val="95"/>
                </w:rPr>
                <w:t>Other Information</w:t>
              </w:r>
            </w:hyperlink>
          </w:p>
        </w:tc>
        <w:tc>
          <w:tcPr>
            <w:tcW w:w="440" w:type="dxa"/>
            <w:vAlign w:val="bottom"/>
            <w:gridSpan w:val="3"/>
          </w:tcPr>
          <w:p>
            <w:pPr>
              <w:spacing w:after="0"/>
              <w:rPr>
                <w:sz w:val="17"/>
                <w:szCs w:val="17"/>
                <w:color w:val="auto"/>
              </w:rPr>
            </w:pPr>
          </w:p>
        </w:tc>
        <w:tc>
          <w:tcPr>
            <w:tcW w:w="7980" w:type="dxa"/>
            <w:vAlign w:val="bottom"/>
            <w:gridSpan w:val="9"/>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20" w:type="dxa"/>
            <w:vAlign w:val="bottom"/>
            <w:tcBorders>
              <w:right w:val="single" w:sz="8" w:color="0000FF"/>
            </w:tcBorders>
            <w:gridSpan w:val="1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80" w:type="dxa"/>
            <w:vAlign w:val="bottom"/>
            <w:gridSpan w:val="3"/>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Exhibits</w:t>
              </w:r>
            </w:hyperlink>
          </w:p>
        </w:tc>
        <w:tc>
          <w:tcPr>
            <w:tcW w:w="8420" w:type="dxa"/>
            <w:vAlign w:val="bottom"/>
            <w:gridSpan w:val="12"/>
          </w:tcPr>
          <w:p>
            <w:pPr>
              <w:spacing w:after="0"/>
              <w:rPr>
                <w:sz w:val="17"/>
                <w:szCs w:val="17"/>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52</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1120" w:type="dxa"/>
            <w:vAlign w:val="bottom"/>
            <w:gridSpan w:val="2"/>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2"/>
          </w:tcPr>
          <w:p>
            <w:pPr>
              <w:jc w:val="center"/>
              <w:ind w:right="280"/>
              <w:spacing w:after="0"/>
              <w:rPr>
                <w:rFonts w:ascii="Arial" w:cs="Arial" w:eastAsia="Arial" w:hAnsi="Arial"/>
                <w:sz w:val="15"/>
                <w:szCs w:val="15"/>
                <w:color w:val="0000FF"/>
                <w:w w:val="71"/>
              </w:rPr>
            </w:pPr>
            <w:hyperlink w:anchor="page54">
              <w:r>
                <w:rPr>
                  <w:rFonts w:ascii="Arial" w:cs="Arial" w:eastAsia="Arial" w:hAnsi="Arial"/>
                  <w:sz w:val="15"/>
                  <w:szCs w:val="15"/>
                  <w:color w:val="0000FF"/>
                  <w:w w:val="71"/>
                </w:rPr>
                <w:t>53</w:t>
              </w:r>
            </w:hyperlink>
          </w:p>
        </w:tc>
      </w:tr>
      <w:tr>
        <w:trPr>
          <w:trHeight w:val="992"/>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5"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i w:val="1"/>
          <w:iCs w:val="1"/>
          <w:color w:val="auto"/>
        </w:rPr>
        <w:t>This Quarterly Report on Form 10-Q for the quarterly period ended September 30, 2021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09" w:lineRule="exact"/>
        <w:rPr>
          <w:sz w:val="20"/>
          <w:szCs w:val="20"/>
          <w:color w:val="auto"/>
        </w:rPr>
      </w:pPr>
    </w:p>
    <w:p>
      <w:pPr>
        <w:ind w:firstLine="470"/>
        <w:spacing w:after="0" w:line="279" w:lineRule="auto"/>
        <w:rPr>
          <w:sz w:val="20"/>
          <w:szCs w:val="20"/>
          <w:color w:val="auto"/>
        </w:rPr>
      </w:pPr>
      <w:r>
        <w:rPr>
          <w:rFonts w:ascii="Arial" w:cs="Arial" w:eastAsia="Arial" w:hAnsi="Arial"/>
          <w:sz w:val="16"/>
          <w:szCs w:val="16"/>
          <w:i w:val="1"/>
          <w:iCs w:val="1"/>
          <w:color w:val="auto"/>
        </w:rPr>
        <w:t>Forward-looking information involves risks, uncertainties, and other factors that could cause actual results to differ materially from those expressed or implied in, or reasonably inferred from, such statements, including without limitation, the effects of the COVID-19 pandemic on our results of operations and business, and the risks and uncertainties disclosed or referenced in Part II Item 1A. of this report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55" w:lineRule="exact"/>
        <w:rPr>
          <w:sz w:val="20"/>
          <w:szCs w:val="20"/>
          <w:color w:val="auto"/>
        </w:rPr>
      </w:pPr>
    </w:p>
    <w:p>
      <w:pPr>
        <w:ind w:right="120" w:firstLine="470"/>
        <w:spacing w:after="0" w:line="269" w:lineRule="auto"/>
        <w:rPr>
          <w:sz w:val="20"/>
          <w:szCs w:val="20"/>
          <w:color w:val="auto"/>
        </w:rPr>
      </w:pPr>
      <w:r>
        <w:rPr>
          <w:rFonts w:ascii="Arial" w:cs="Arial" w:eastAsia="Arial" w:hAnsi="Arial"/>
          <w:sz w:val="16"/>
          <w:szCs w:val="16"/>
          <w:i w:val="1"/>
          <w:iCs w:val="1"/>
          <w:color w:val="auto"/>
        </w:rPr>
        <w:t>“Rackspace,” “Rackspace Technology,” “Fanatical Experience,” and “Rackspace Fabric” are registered or unregistered trademarks of Rackspace US, Inc. in the United States and/or other countries. OpenStack</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688975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PART I – FINANCIAL INFORMATION</w:t>
      </w:r>
    </w:p>
    <w:p>
      <w:pPr>
        <w:spacing w:after="0" w:line="105"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ITEM 1 - 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280" w:type="dxa"/>
            <w:vAlign w:val="bottom"/>
          </w:tcPr>
          <w:p>
            <w:pPr>
              <w:jc w:val="right"/>
              <w:ind w:right="162"/>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Arial" w:cs="Arial" w:eastAsia="Arial" w:hAnsi="Arial"/>
                <w:sz w:val="14"/>
                <w:szCs w:val="14"/>
                <w:color w:val="auto"/>
              </w:rPr>
              <w:t>(In millions, except per share data)</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Accounts receivable, net of allowance for doubtful accounts and accrued customer credits of $28.3 and $15.5, respectively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533.6</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99"/>
        </w:trPr>
        <w:tc>
          <w:tcPr>
            <w:tcW w:w="82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950.2</w:t>
            </w:r>
          </w:p>
        </w:tc>
        <w:tc>
          <w:tcPr>
            <w:tcW w:w="0" w:type="dxa"/>
            <w:vAlign w:val="bottom"/>
          </w:tcPr>
          <w:p>
            <w:pPr>
              <w:spacing w:after="0"/>
              <w:rPr>
                <w:sz w:val="1"/>
                <w:szCs w:val="1"/>
                <w:color w:val="auto"/>
              </w:rPr>
            </w:pPr>
          </w:p>
        </w:tc>
      </w:tr>
      <w:tr>
        <w:trPr>
          <w:trHeight w:val="147"/>
        </w:trPr>
        <w:tc>
          <w:tcPr>
            <w:tcW w:w="8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861.2</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2,759.5</w:t>
            </w: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1,508.8</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right-of-use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8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199"/>
        </w:trPr>
        <w:tc>
          <w:tcPr>
            <w:tcW w:w="82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846.4</w:t>
            </w:r>
          </w:p>
        </w:tc>
        <w:tc>
          <w:tcPr>
            <w:tcW w:w="0" w:type="dxa"/>
            <w:vAlign w:val="bottom"/>
          </w:tcPr>
          <w:p>
            <w:pPr>
              <w:spacing w:after="0"/>
              <w:rPr>
                <w:sz w:val="1"/>
                <w:szCs w:val="1"/>
                <w:color w:val="auto"/>
              </w:rPr>
            </w:pPr>
          </w:p>
        </w:tc>
      </w:tr>
      <w:tr>
        <w:trPr>
          <w:trHeight w:val="147"/>
        </w:trPr>
        <w:tc>
          <w:tcPr>
            <w:tcW w:w="8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3,314.8</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Financing obligations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205"/>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5,020.5</w:t>
            </w: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Preferred stock, $0.01 par value per share: 5.0 shares authorized; no shares issued or outstanding</w:t>
            </w:r>
          </w:p>
        </w:tc>
        <w:tc>
          <w:tcPr>
            <w:tcW w:w="1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2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4"/>
              </w:rPr>
              <w:t>Common stock, $0.01 par value per share: 1,495.0 shares authorized; 201.8 and 209.9 shares issued and outstanding,</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2,472.3</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1,371.0</w:t>
            </w:r>
          </w:p>
        </w:tc>
        <w:tc>
          <w:tcPr>
            <w:tcW w:w="0" w:type="dxa"/>
            <w:vAlign w:val="bottom"/>
          </w:tcPr>
          <w:p>
            <w:pPr>
              <w:spacing w:after="0"/>
              <w:rPr>
                <w:sz w:val="1"/>
                <w:szCs w:val="1"/>
                <w:color w:val="auto"/>
              </w:rPr>
            </w:pPr>
          </w:p>
        </w:tc>
      </w:tr>
      <w:tr>
        <w:trPr>
          <w:trHeight w:val="205"/>
        </w:trPr>
        <w:tc>
          <w:tcPr>
            <w:tcW w:w="8240" w:type="dxa"/>
            <w:vAlign w:val="bottom"/>
          </w:tcPr>
          <w:p>
            <w:pPr>
              <w:ind w:left="54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6,377.8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6,391.5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300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2,232.2</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(1,529.7)</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w:t>
            </w:r>
          </w:p>
        </w:tc>
        <w:tc>
          <w:tcPr>
            <w:tcW w:w="0" w:type="dxa"/>
            <w:vAlign w:val="bottom"/>
          </w:tcPr>
          <w:p>
            <w:pPr>
              <w:spacing w:after="0"/>
              <w:rPr>
                <w:sz w:val="1"/>
                <w:szCs w:val="1"/>
                <w:color w:val="auto"/>
              </w:rPr>
            </w:pPr>
          </w:p>
        </w:tc>
      </w:tr>
      <w:tr>
        <w:trPr>
          <w:trHeight w:val="206"/>
        </w:trPr>
        <w:tc>
          <w:tcPr>
            <w:tcW w:w="46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99"/>
        </w:trPr>
        <w:tc>
          <w:tcPr>
            <w:tcW w:w="4600" w:type="dxa"/>
            <w:vAlign w:val="bottom"/>
          </w:tcPr>
          <w:p>
            <w:pPr>
              <w:ind w:left="340"/>
              <w:spacing w:after="0"/>
              <w:rPr>
                <w:sz w:val="20"/>
                <w:szCs w:val="20"/>
                <w:color w:val="auto"/>
              </w:rPr>
            </w:pPr>
            <w:r>
              <w:rPr>
                <w:rFonts w:ascii="Arial" w:cs="Arial" w:eastAsia="Arial" w:hAnsi="Arial"/>
                <w:sz w:val="16"/>
                <w:szCs w:val="16"/>
                <w:color w:val="auto"/>
              </w:rPr>
              <w:t>Income (loss) from operations</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6"/>
        </w:trPr>
        <w:tc>
          <w:tcPr>
            <w:tcW w:w="460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20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(loss) on derivative contracts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0"/>
        </w:trPr>
        <w:tc>
          <w:tcPr>
            <w:tcW w:w="4600" w:type="dxa"/>
            <w:vAlign w:val="bottom"/>
          </w:tcPr>
          <w:p>
            <w:pPr>
              <w:ind w:left="140"/>
              <w:spacing w:after="0" w:line="160" w:lineRule="exact"/>
              <w:rPr>
                <w:sz w:val="20"/>
                <w:szCs w:val="20"/>
                <w:color w:val="auto"/>
              </w:rPr>
            </w:pPr>
            <w:r>
              <w:rPr>
                <w:rFonts w:ascii="Arial" w:cs="Arial" w:eastAsia="Arial" w:hAnsi="Arial"/>
                <w:sz w:val="16"/>
                <w:szCs w:val="16"/>
                <w:color w:val="auto"/>
                <w:w w:val="92"/>
              </w:rPr>
              <w:t>Amount reclassified from accumulated other comprehensive income</w:t>
            </w:r>
          </w:p>
        </w:tc>
        <w:tc>
          <w:tcPr>
            <w:tcW w:w="260" w:type="dxa"/>
            <w:vAlign w:val="bottom"/>
          </w:tcPr>
          <w:p>
            <w:pPr>
              <w:spacing w:after="0"/>
              <w:rPr>
                <w:sz w:val="13"/>
                <w:szCs w:val="13"/>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(loss) to earnings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5"/>
        </w:trPr>
        <w:tc>
          <w:tcPr>
            <w:tcW w:w="4600" w:type="dxa"/>
            <w:vAlign w:val="bottom"/>
          </w:tcPr>
          <w:p>
            <w:pPr>
              <w:ind w:left="46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191"/>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(135.4)</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321.2</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operating right-of-use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Gain on sale of land</w:t>
            </w:r>
          </w:p>
        </w:tc>
        <w:tc>
          <w:tcPr>
            <w:tcW w:w="3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modification and extinguishment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Unrealized (gain) loss on derivative contracts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investments,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Provision for bad debts and accrued customer credits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debt discount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6"/>
        </w:trPr>
        <w:tc>
          <w:tcPr>
            <w:tcW w:w="7960" w:type="dxa"/>
            <w:vAlign w:val="bottom"/>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79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2"/>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6"/>
        </w:trPr>
        <w:tc>
          <w:tcPr>
            <w:tcW w:w="7960" w:type="dxa"/>
            <w:vAlign w:val="bottom"/>
          </w:tcPr>
          <w:p>
            <w:pPr>
              <w:ind w:left="340"/>
              <w:spacing w:after="0"/>
              <w:rPr>
                <w:sz w:val="20"/>
                <w:szCs w:val="20"/>
                <w:color w:val="auto"/>
              </w:rPr>
            </w:pPr>
            <w:r>
              <w:rPr>
                <w:rFonts w:ascii="Arial" w:cs="Arial" w:eastAsia="Arial" w:hAnsi="Arial"/>
                <w:sz w:val="16"/>
                <w:szCs w:val="16"/>
                <w:color w:val="auto"/>
              </w:rPr>
              <w:t>Accounts payable, accrued expenses, and other current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87.1</w:t>
            </w:r>
          </w:p>
        </w:tc>
      </w:tr>
      <w:tr>
        <w:trPr>
          <w:trHeight w:val="212"/>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6"/>
        </w:trPr>
        <w:tc>
          <w:tcPr>
            <w:tcW w:w="796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2"/>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199"/>
        </w:trPr>
        <w:tc>
          <w:tcPr>
            <w:tcW w:w="79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311.2</w:t>
            </w:r>
          </w:p>
        </w:tc>
      </w:tr>
      <w:tr>
        <w:trPr>
          <w:trHeight w:val="21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land</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5"/>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r>
      <w:tr>
        <w:trPr>
          <w:trHeight w:val="20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Proceeds from employee stock plans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of common stock withheld for employee taxes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Proceeds from borrowings under long-term debt arrangements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2,838.5</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long-term debt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(2,872.1)</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Payments for debt issuance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financing component of interest rate swap</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Principal payments of finance lease liabilities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financing obligations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Principal payments of financing obligations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05"/>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r>
      <w:tr>
        <w:trPr>
          <w:trHeight w:val="206"/>
        </w:trPr>
        <w:tc>
          <w:tcPr>
            <w:tcW w:w="79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05"/>
        </w:trPr>
        <w:tc>
          <w:tcPr>
            <w:tcW w:w="7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Increase in cash, cash equivalents, and restricted cash</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06"/>
        </w:trPr>
        <w:tc>
          <w:tcPr>
            <w:tcW w:w="79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r>
      <w:tr>
        <w:trPr>
          <w:trHeight w:val="230"/>
        </w:trPr>
        <w:tc>
          <w:tcPr>
            <w:tcW w:w="7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Cash payments for interest, net of amount capitalized</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7"/>
                <w:szCs w:val="17"/>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income taxes, net of refunds</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52"/>
        </w:trPr>
        <w:tc>
          <w:tcPr>
            <w:tcW w:w="7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7960" w:type="dxa"/>
            <w:vAlign w:val="bottom"/>
          </w:tcPr>
          <w:p>
            <w:pPr>
              <w:ind w:left="140"/>
              <w:spacing w:after="0"/>
              <w:rPr>
                <w:sz w:val="20"/>
                <w:szCs w:val="20"/>
                <w:color w:val="auto"/>
              </w:rPr>
            </w:pPr>
            <w:r>
              <w:rPr>
                <w:rFonts w:ascii="Arial" w:cs="Arial" w:eastAsia="Arial" w:hAnsi="Arial"/>
                <w:sz w:val="16"/>
                <w:szCs w:val="16"/>
                <w:color w:val="auto"/>
              </w:rPr>
              <w:t>Acquisition of property, equipment and software by finance leases</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7"/>
                <w:szCs w:val="17"/>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12"/>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equipment and software by financing obligations</w:t>
            </w: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 property, equipment and software accrued in liabilities</w:t>
            </w: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05"/>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purchases of property, equipment and software</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r>
      <w:tr>
        <w:trPr>
          <w:trHeight w:val="258"/>
        </w:trPr>
        <w:tc>
          <w:tcPr>
            <w:tcW w:w="7960" w:type="dxa"/>
            <w:vAlign w:val="bottom"/>
          </w:tcPr>
          <w:p>
            <w:pPr>
              <w:ind w:left="120"/>
              <w:spacing w:after="0"/>
              <w:rPr>
                <w:sz w:val="20"/>
                <w:szCs w:val="20"/>
                <w:color w:val="auto"/>
              </w:rPr>
            </w:pPr>
            <w:r>
              <w:rPr>
                <w:rFonts w:ascii="Arial" w:cs="Arial" w:eastAsia="Arial" w:hAnsi="Arial"/>
                <w:sz w:val="16"/>
                <w:szCs w:val="16"/>
                <w:color w:val="auto"/>
              </w:rPr>
              <w:t>Non-cash increase in buildings within property, equipment and software, net due to lease modification</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22"/>
                <w:szCs w:val="22"/>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Offering costs included in accrued liabilities</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960" w:type="dxa"/>
            <w:vAlign w:val="bottom"/>
          </w:tcPr>
          <w:p>
            <w:pPr>
              <w:ind w:left="120"/>
              <w:spacing w:after="0"/>
              <w:rPr>
                <w:sz w:val="20"/>
                <w:szCs w:val="20"/>
                <w:color w:val="auto"/>
              </w:rPr>
            </w:pPr>
            <w:r>
              <w:rPr>
                <w:rFonts w:ascii="Arial" w:cs="Arial" w:eastAsia="Arial" w:hAnsi="Arial"/>
                <w:sz w:val="16"/>
                <w:szCs w:val="16"/>
                <w:color w:val="auto"/>
              </w:rPr>
              <w:t>Other non-cash investing and financing activities</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640" w:type="dxa"/>
            <w:vAlign w:val="bottom"/>
          </w:tcPr>
          <w:p>
            <w:pPr>
              <w:jc w:val="right"/>
              <w:ind w:right="4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321" w:lineRule="exact"/>
        <w:rPr>
          <w:sz w:val="20"/>
          <w:szCs w:val="20"/>
          <w:color w:val="auto"/>
        </w:rPr>
      </w:pPr>
    </w:p>
    <w:p>
      <w:pPr>
        <w:ind w:right="560" w:firstLine="470"/>
        <w:spacing w:after="0" w:line="288" w:lineRule="auto"/>
        <w:rPr>
          <w:sz w:val="20"/>
          <w:szCs w:val="20"/>
          <w:color w:val="auto"/>
        </w:rPr>
      </w:pPr>
      <w:r>
        <w:rPr>
          <w:rFonts w:ascii="Arial" w:cs="Arial" w:eastAsia="Arial" w:hAnsi="Arial"/>
          <w:sz w:val="17"/>
          <w:szCs w:val="17"/>
          <w:color w:val="auto"/>
        </w:rPr>
        <w:t>The following table provides a reconciliation of cash, cash equivalents, and restricted cash to the total of such amounts shown on the Consolidated Statements of Cash Flows.</w:t>
      </w:r>
    </w:p>
    <w:p>
      <w:pPr>
        <w:spacing w:after="0" w:line="222"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7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06"/>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included in other non-current assets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0"/>
        </w:trPr>
        <w:tc>
          <w:tcPr>
            <w:tcW w:w="7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87"/>
              </w:rPr>
              <w:t>Total Stockholders'</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1,619.2</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0"/>
              </w:rPr>
              <w:t>(798.3)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768.8</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163"/>
        </w:trPr>
        <w:tc>
          <w:tcPr>
            <w:tcW w:w="39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88"/>
              </w:rPr>
              <w:t>Exercise of stock options and release of stock awards, net of</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0"/>
              </w:rPr>
              <w:t>(101.2)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0"/>
              </w:rPr>
              <w:t>(899.5)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gridSpan w:val="4"/>
            <w:vMerge w:val="restart"/>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80" w:type="dxa"/>
            <w:vAlign w:val="bottom"/>
            <w:vMerge w:val="continue"/>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37" w:lineRule="exact"/>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37" w:lineRule="exact"/>
              <w:rPr>
                <w:sz w:val="20"/>
                <w:szCs w:val="20"/>
                <w:color w:val="auto"/>
              </w:rPr>
            </w:pPr>
            <w:r>
              <w:rPr>
                <w:rFonts w:ascii="Arial" w:cs="Arial" w:eastAsia="Arial" w:hAnsi="Arial"/>
                <w:sz w:val="15"/>
                <w:szCs w:val="15"/>
                <w:b w:val="1"/>
                <w:bCs w:val="1"/>
                <w:color w:val="auto"/>
                <w:w w:val="92"/>
              </w:rPr>
              <w:t>Comprehensive</w:t>
            </w:r>
          </w:p>
        </w:tc>
        <w:tc>
          <w:tcPr>
            <w:tcW w:w="140" w:type="dxa"/>
            <w:vAlign w:val="bottom"/>
          </w:tcPr>
          <w:p>
            <w:pPr>
              <w:spacing w:after="0"/>
              <w:rPr>
                <w:sz w:val="12"/>
                <w:szCs w:val="12"/>
                <w:color w:val="auto"/>
              </w:rPr>
            </w:pPr>
          </w:p>
        </w:tc>
        <w:tc>
          <w:tcPr>
            <w:tcW w:w="1240" w:type="dxa"/>
            <w:vAlign w:val="bottom"/>
            <w:gridSpan w:val="2"/>
          </w:tcPr>
          <w:p>
            <w:pPr>
              <w:ind w:left="40"/>
              <w:spacing w:after="0" w:line="137" w:lineRule="exact"/>
              <w:rPr>
                <w:sz w:val="20"/>
                <w:szCs w:val="20"/>
                <w:color w:val="auto"/>
              </w:rPr>
            </w:pPr>
            <w:r>
              <w:rPr>
                <w:rFonts w:ascii="Arial" w:cs="Arial" w:eastAsia="Arial" w:hAnsi="Arial"/>
                <w:sz w:val="15"/>
                <w:szCs w:val="15"/>
                <w:b w:val="1"/>
                <w:bCs w:val="1"/>
                <w:color w:val="auto"/>
              </w:rPr>
              <w:t>Accumulated</w:t>
            </w:r>
          </w:p>
        </w:tc>
        <w:tc>
          <w:tcPr>
            <w:tcW w:w="1320" w:type="dxa"/>
            <w:vAlign w:val="bottom"/>
            <w:gridSpan w:val="2"/>
          </w:tcPr>
          <w:p>
            <w:pPr>
              <w:spacing w:after="0" w:line="137" w:lineRule="exact"/>
              <w:rPr>
                <w:sz w:val="20"/>
                <w:szCs w:val="20"/>
                <w:color w:val="auto"/>
              </w:rPr>
            </w:pPr>
            <w:r>
              <w:rPr>
                <w:rFonts w:ascii="Arial" w:cs="Arial" w:eastAsia="Arial" w:hAnsi="Arial"/>
                <w:sz w:val="15"/>
                <w:szCs w:val="15"/>
                <w:b w:val="1"/>
                <w:bCs w:val="1"/>
                <w:color w:val="auto"/>
                <w:w w:val="93"/>
              </w:rPr>
              <w:t>Total Stockholders'</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Income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1,602.7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0"/>
              </w:rPr>
              <w:t>(717.5)</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163"/>
        </w:trPr>
        <w:tc>
          <w:tcPr>
            <w:tcW w:w="39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88"/>
              </w:rPr>
              <w:t>Exercise of stock options and release of stock awards, net of</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6"/>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0"/>
              </w:rPr>
              <w:t>(182.0)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w w:val="90"/>
              </w:rPr>
              <w:t>(899.5)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87"/>
              </w:rPr>
              <w:t>Total Stockholders'</w:t>
            </w: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2,445.3</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(1,063.9)</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1,382.5</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Exercise of stock options and release of stock awards</w:t>
            </w:r>
          </w:p>
        </w:tc>
        <w:tc>
          <w:tcPr>
            <w:tcW w:w="7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0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2,472.3</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(1,098.7)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1,371.0</w:t>
            </w: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Additional</w:t>
            </w: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w w:val="87"/>
              </w:rPr>
              <w:t>Total Stockholders'</w:t>
            </w:r>
          </w:p>
        </w:tc>
      </w:tr>
      <w:tr>
        <w:trPr>
          <w:trHeight w:val="199"/>
        </w:trPr>
        <w:tc>
          <w:tcPr>
            <w:tcW w:w="398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Comprehensive Loss</w:t>
            </w:r>
          </w:p>
        </w:tc>
        <w:tc>
          <w:tcPr>
            <w:tcW w:w="14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Equity</w:t>
            </w:r>
          </w:p>
        </w:tc>
      </w:tr>
      <w:tr>
        <w:trPr>
          <w:trHeight w:val="205"/>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2,363.6</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1,383.7</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and release of stock awards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w w:val="95"/>
              </w:rPr>
              <w:t>Issuance of shares from Employee Stock Purchase Plan</w:t>
            </w: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06"/>
        </w:trPr>
        <w:tc>
          <w:tcPr>
            <w:tcW w:w="39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(135.4)</w:t>
            </w:r>
          </w:p>
        </w:tc>
      </w:tr>
      <w:tr>
        <w:trPr>
          <w:trHeight w:val="209"/>
        </w:trPr>
        <w:tc>
          <w:tcPr>
            <w:tcW w:w="3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2,472.3</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(1,098.7)</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1,371.0</w:t>
            </w:r>
          </w:p>
        </w:tc>
      </w:tr>
      <w:tr>
        <w:trPr>
          <w:trHeight w:val="20"/>
        </w:trPr>
        <w:tc>
          <w:tcPr>
            <w:tcW w:w="3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RACKSPACE TECHNOLOGY, INC.</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THE UNAUDITED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Company Overview, Basis of Presentation, and 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Operations and Basis of Presentation</w:t>
      </w:r>
    </w:p>
    <w:p>
      <w:pPr>
        <w:spacing w:after="0" w:line="249" w:lineRule="exact"/>
        <w:rPr>
          <w:sz w:val="20"/>
          <w:szCs w:val="20"/>
          <w:color w:val="auto"/>
        </w:rPr>
      </w:pPr>
    </w:p>
    <w:p>
      <w:pPr>
        <w:ind w:right="260" w:firstLine="470"/>
        <w:spacing w:after="0" w:line="264" w:lineRule="auto"/>
        <w:rPr>
          <w:sz w:val="20"/>
          <w:szCs w:val="20"/>
          <w:color w:val="auto"/>
        </w:rPr>
      </w:pPr>
      <w:r>
        <w:rPr>
          <w:rFonts w:ascii="Arial" w:cs="Arial" w:eastAsia="Arial" w:hAnsi="Arial"/>
          <w:sz w:val="17"/>
          <w:szCs w:val="17"/>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06"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2" w:lineRule="exact"/>
        <w:rPr>
          <w:sz w:val="20"/>
          <w:szCs w:val="20"/>
          <w:color w:val="auto"/>
        </w:rPr>
      </w:pPr>
    </w:p>
    <w:p>
      <w:pPr>
        <w:ind w:right="640" w:firstLine="470"/>
        <w:spacing w:after="0" w:line="288" w:lineRule="auto"/>
        <w:rPr>
          <w:sz w:val="20"/>
          <w:szCs w:val="20"/>
          <w:color w:val="auto"/>
        </w:rPr>
      </w:pPr>
      <w:r>
        <w:rPr>
          <w:rFonts w:ascii="Arial" w:cs="Arial" w:eastAsia="Arial" w:hAnsi="Arial"/>
          <w:sz w:val="17"/>
          <w:szCs w:val="17"/>
          <w:color w:val="auto"/>
        </w:rPr>
        <w:t>For ease of reference, the terms “we,” “our company,” “the company,” “us,” or “our” as used in this report refer to Rackspace Technology and its consolidated subsidiaries.</w:t>
      </w:r>
    </w:p>
    <w:p>
      <w:pPr>
        <w:spacing w:after="0" w:line="184"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 unaudited consolidated financial statements include the accounts of Rackspace Technology, Inc. and our wholly-owned subsidiaries. Intercompany transactions and balances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49" w:lineRule="exact"/>
        <w:rPr>
          <w:sz w:val="20"/>
          <w:szCs w:val="20"/>
          <w:color w:val="auto"/>
        </w:rPr>
      </w:pPr>
    </w:p>
    <w:p>
      <w:pPr>
        <w:ind w:right="160" w:firstLine="470"/>
        <w:spacing w:after="0" w:line="280" w:lineRule="auto"/>
        <w:rPr>
          <w:sz w:val="20"/>
          <w:szCs w:val="20"/>
          <w:color w:val="auto"/>
        </w:rPr>
      </w:pPr>
      <w:r>
        <w:rPr>
          <w:rFonts w:ascii="Arial" w:cs="Arial" w:eastAsia="Arial" w:hAnsi="Arial"/>
          <w:sz w:val="16"/>
          <w:szCs w:val="16"/>
          <w:color w:val="auto"/>
        </w:rPr>
        <w:t>The unaudited consolidated financial statements as of September 30, 2021, and for the three and nine months ended September 30, 2020 and 2021, have been prepared in accordance with accounting principles generally accepted in the United States of America (“GAAP”) for interim financial</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information. Accordingly, certain financial information and disclosures required for financial statements prepared under GAAP have been omitted in accordance with the SEC disclosure rules and regulations that permit reduced disclosure for interim periods. These unaudited interim consolidated financial statements should be read in conjunction with the audited consolidated financial statements and the related notes thereto included in our Annual Report on Form 10-K for the year ended December 31, 2020 ("Annual Report on Form 10-K"). The unaudited interim consolidated financial statements have been prepared on the same basis as the audited consolidated financial statements included in our Annual Report on Form 10-K and, in the opinion of management, reflect all adjustments, which include normal recurring adjustments, necessary for a fair statement of our financial position as of September 30, 2021, our results of operations and stockholders' equity for the three and nine months ended September 30, 2020 and 2021, and our cash flows for the nine months ended September 30, 2020 and 2021.</w:t>
      </w:r>
    </w:p>
    <w:p>
      <w:pPr>
        <w:spacing w:after="0" w:line="208"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The results of operations for the three and nine months ended September 30, 2021 are not necessarily indicative of the results of operations to be expected for the year ending December 31, 2021, or for any other interim period, or for any other future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doubtful accounts,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49"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In March 2020, the World Health Organization declared COVID-19 a global pandemic. The effects of COVID-19 (and any variations thereof) continue to evolve, and the full impact and duration of the virus are unknown. Currently, COVID-19 has not had a significant impact on our operations or financial performance; however, the ultimate extent of the impact of COVID-19 on our operational and financial performance will depend on certain developments, including the duration and severity of the outbreak, the pace of economic recovery, the possible resurgence in the spread of the virus or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We continue to face a greater degree of uncertainty in making estimates and assumptions needed to prepare our consolidated financial statements and footnotes as a result of COVID-19.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Accounting Policies and Estimates</w:t>
      </w:r>
    </w:p>
    <w:p>
      <w:pPr>
        <w:spacing w:after="0" w:line="249" w:lineRule="exact"/>
        <w:rPr>
          <w:sz w:val="20"/>
          <w:szCs w:val="20"/>
          <w:color w:val="auto"/>
        </w:rPr>
      </w:pPr>
    </w:p>
    <w:p>
      <w:pPr>
        <w:ind w:right="320" w:firstLine="470"/>
        <w:spacing w:after="0" w:line="272" w:lineRule="auto"/>
        <w:rPr>
          <w:sz w:val="20"/>
          <w:szCs w:val="20"/>
          <w:color w:val="auto"/>
        </w:rPr>
      </w:pPr>
      <w:r>
        <w:rPr>
          <w:rFonts w:ascii="Arial" w:cs="Arial" w:eastAsia="Arial" w:hAnsi="Arial"/>
          <w:sz w:val="17"/>
          <w:szCs w:val="17"/>
          <w:color w:val="auto"/>
        </w:rPr>
        <w:t>Our Annual Report on Form 10-K includes an additional discussion of the significant accounting policies and estimates used in the preparation of our consolidated financial statements. There were no material changes to our significant accounting policies and estimates during the nine months ended September 30, 2021, other than the addition of our policy regarding restructuring activities, discussed below.</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Restructuring Activities</w:t>
      </w:r>
    </w:p>
    <w:p>
      <w:pPr>
        <w:spacing w:after="0" w:line="249"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 xml:space="preserve">We record restructuring activities including costs for one-time termination benefits in accordance with Accounting Standards Codification ("ASC") No.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(“ASC 420”)</w:t>
      </w:r>
      <w:r>
        <w:rPr>
          <w:rFonts w:ascii="Arial" w:cs="Arial" w:eastAsia="Arial" w:hAnsi="Arial"/>
          <w:sz w:val="17"/>
          <w:szCs w:val="17"/>
          <w:i w:val="1"/>
          <w:iCs w:val="1"/>
          <w:color w:val="auto"/>
        </w:rPr>
        <w:t>.</w:t>
      </w:r>
      <w:r>
        <w:rPr>
          <w:rFonts w:ascii="Arial" w:cs="Arial" w:eastAsia="Arial" w:hAnsi="Arial"/>
          <w:sz w:val="17"/>
          <w:szCs w:val="17"/>
          <w:color w:val="auto"/>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w:t>
      </w:r>
    </w:p>
    <w:p>
      <w:pPr>
        <w:spacing w:after="0" w:line="206" w:lineRule="exact"/>
        <w:rPr>
          <w:sz w:val="20"/>
          <w:szCs w:val="20"/>
          <w:color w:val="auto"/>
        </w:rPr>
      </w:pPr>
    </w:p>
    <w:p>
      <w:pPr>
        <w:ind w:right="140" w:firstLine="470"/>
        <w:spacing w:after="0" w:line="297" w:lineRule="auto"/>
        <w:rPr>
          <w:sz w:val="20"/>
          <w:szCs w:val="20"/>
          <w:color w:val="auto"/>
        </w:rPr>
      </w:pPr>
      <w:r>
        <w:rPr>
          <w:rFonts w:ascii="Arial" w:cs="Arial" w:eastAsia="Arial" w:hAnsi="Arial"/>
          <w:sz w:val="16"/>
          <w:szCs w:val="16"/>
          <w:color w:val="auto"/>
        </w:rPr>
        <w:t>Under ASC 420-10, we establish a liability for a cost associated with an exit or disposal activity, including severance and non-lease contract termination obligations, and other related costs, when the liability is incurred, rather than at the date that we commit to an exit plan. We reassess the expected cost to complete the exit or disposal activities at the end of each reporting period and adjust our remaining estimated liabilities, if necessary.</w:t>
      </w:r>
    </w:p>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Note 8, "July 2021 Restructuring Plan," for additional information.</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Change in Accounting Estimate</w:t>
      </w:r>
    </w:p>
    <w:p>
      <w:pPr>
        <w:spacing w:after="0" w:line="249" w:lineRule="exact"/>
        <w:rPr>
          <w:sz w:val="20"/>
          <w:szCs w:val="20"/>
          <w:color w:val="auto"/>
        </w:rPr>
      </w:pPr>
    </w:p>
    <w:p>
      <w:pPr>
        <w:ind w:right="260" w:firstLine="470"/>
        <w:spacing w:after="0" w:line="282" w:lineRule="auto"/>
        <w:rPr>
          <w:sz w:val="20"/>
          <w:szCs w:val="20"/>
          <w:color w:val="auto"/>
        </w:rPr>
      </w:pPr>
      <w:r>
        <w:rPr>
          <w:rFonts w:ascii="Arial" w:cs="Arial" w:eastAsia="Arial" w:hAnsi="Arial"/>
          <w:sz w:val="16"/>
          <w:szCs w:val="16"/>
          <w:color w:val="auto"/>
        </w:rPr>
        <w:t>In March 2021, we completed an assessment of the useful lives of certain assets within the Computers and equipment asset class. The timing of this review was based on a combination of factors accumulating over time that provided the company with updated information to make a better estimate on the economic lives of certain property and equipment. These factors included changes in customer purchasing patterns, technological advancements and the availability of extended equipment warranties. The assessment resulted in a revision within our policy ranges for certain useful lives in this asset class. This change in accounting estimate was effective in the first quarter of 2021. The effect of this change was a reduction in depreciation expense of $5.3 million and $19.4 million for the three and nine months ended September 30,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49"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Certain reclassifications have been made to the prior period consolidated financial statements to conform to the current period presentation. The current portion of "Finance lease liabilities" is now presented separately from "Other current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u w:val="single" w:color="auto"/>
          <w:color w:val="auto"/>
        </w:rPr>
        <w:t>Simplifying the Accounting for Income Taxes</w:t>
      </w:r>
    </w:p>
    <w:p>
      <w:pPr>
        <w:spacing w:after="0" w:line="249" w:lineRule="exact"/>
        <w:rPr>
          <w:sz w:val="20"/>
          <w:szCs w:val="20"/>
          <w:color w:val="auto"/>
        </w:rPr>
      </w:pPr>
    </w:p>
    <w:p>
      <w:pPr>
        <w:jc w:val="both"/>
        <w:ind w:right="60" w:firstLine="470"/>
        <w:spacing w:after="0" w:line="267" w:lineRule="auto"/>
        <w:rPr>
          <w:sz w:val="20"/>
          <w:szCs w:val="20"/>
          <w:color w:val="auto"/>
        </w:rPr>
      </w:pPr>
      <w:r>
        <w:rPr>
          <w:rFonts w:ascii="Arial" w:cs="Arial" w:eastAsia="Arial" w:hAnsi="Arial"/>
          <w:sz w:val="17"/>
          <w:szCs w:val="17"/>
          <w:color w:val="auto"/>
        </w:rPr>
        <w:t xml:space="preserve">In December 2019, the Financial Accounting Standards Board issued Accounting Standards Update No. 2019-12, </w:t>
      </w:r>
      <w:r>
        <w:rPr>
          <w:rFonts w:ascii="Arial" w:cs="Arial" w:eastAsia="Arial" w:hAnsi="Arial"/>
          <w:sz w:val="17"/>
          <w:szCs w:val="17"/>
          <w:i w:val="1"/>
          <w:iCs w:val="1"/>
          <w:color w:val="auto"/>
        </w:rPr>
        <w:t>Income Taxes (Topic 740) -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Accounting for Income Taxes</w:t>
      </w:r>
      <w:r>
        <w:rPr>
          <w:rFonts w:ascii="Arial" w:cs="Arial" w:eastAsia="Arial" w:hAnsi="Arial"/>
          <w:sz w:val="17"/>
          <w:szCs w:val="17"/>
          <w:color w:val="auto"/>
        </w:rPr>
        <w:t>, which removes certain exceptions to the general principles in Topic 740 and improves consistent application of and simplifies</w:t>
      </w:r>
      <w:r>
        <w:rPr>
          <w:rFonts w:ascii="Arial" w:cs="Arial" w:eastAsia="Arial" w:hAnsi="Arial"/>
          <w:sz w:val="17"/>
          <w:szCs w:val="17"/>
          <w:i w:val="1"/>
          <w:iCs w:val="1"/>
          <w:color w:val="auto"/>
        </w:rPr>
        <w:t xml:space="preserve"> </w:t>
      </w:r>
      <w:r>
        <w:rPr>
          <w:rFonts w:ascii="Arial" w:cs="Arial" w:eastAsia="Arial" w:hAnsi="Arial"/>
          <w:sz w:val="17"/>
          <w:szCs w:val="17"/>
          <w:color w:val="auto"/>
        </w:rPr>
        <w:t>GAAP for other areas of Topic 740 by clarifying and amending existing guidance. We adopted this guidance on January 1, 2021. The adoption of this guidance did not have a material impact on our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Customer Contracts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balances related to customer contracts: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160" w:type="dxa"/>
            <w:vAlign w:val="bottom"/>
            <w:gridSpan w:val="2"/>
          </w:tcPr>
          <w:p>
            <w:pPr>
              <w:ind w:left="780"/>
              <w:spacing w:after="0"/>
              <w:rPr>
                <w:sz w:val="20"/>
                <w:szCs w:val="20"/>
                <w:color w:val="auto"/>
              </w:rPr>
            </w:pPr>
            <w:r>
              <w:rPr>
                <w:rFonts w:ascii="Arial" w:cs="Arial" w:eastAsia="Arial" w:hAnsi="Arial"/>
                <w:sz w:val="16"/>
                <w:szCs w:val="16"/>
                <w:b w:val="1"/>
                <w:bCs w:val="1"/>
                <w:color w:val="auto"/>
              </w:rPr>
              <w:t>Consolidated Balance Sheets Account</w:t>
            </w:r>
          </w:p>
        </w:tc>
        <w:tc>
          <w:tcPr>
            <w:tcW w:w="10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December 31, 2020</w:t>
            </w:r>
          </w:p>
        </w:tc>
        <w:tc>
          <w:tcPr>
            <w:tcW w:w="14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2"/>
              </w:rPr>
              <w:t>September 30, 2021</w:t>
            </w:r>
          </w:p>
        </w:tc>
      </w:tr>
      <w:tr>
        <w:trPr>
          <w:trHeight w:val="205"/>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4060" w:type="dxa"/>
            <w:vAlign w:val="bottom"/>
            <w:tcBorders>
              <w:top w:val="single" w:sz="8" w:color="auto"/>
            </w:tcBorders>
            <w:shd w:val="clear" w:color="auto" w:fill="CCEEFF"/>
          </w:tcPr>
          <w:p>
            <w:pPr>
              <w:ind w:left="20"/>
              <w:spacing w:after="0" w:line="206"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0"/>
                <w:szCs w:val="20"/>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w:t>
            </w:r>
          </w:p>
        </w:tc>
      </w:tr>
      <w:tr>
        <w:trPr>
          <w:trHeight w:val="206"/>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contract assets</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contract assets</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06"/>
        </w:trPr>
        <w:tc>
          <w:tcPr>
            <w:tcW w:w="4020" w:type="dxa"/>
            <w:vAlign w:val="bottom"/>
          </w:tcPr>
          <w:p>
            <w:pPr>
              <w:ind w:left="20"/>
              <w:spacing w:after="0"/>
              <w:rPr>
                <w:sz w:val="20"/>
                <w:szCs w:val="20"/>
                <w:color w:val="auto"/>
              </w:rPr>
            </w:pPr>
            <w:r>
              <w:rPr>
                <w:rFonts w:ascii="Arial" w:cs="Arial" w:eastAsia="Arial" w:hAnsi="Arial"/>
                <w:sz w:val="16"/>
                <w:szCs w:val="16"/>
                <w:color w:val="auto"/>
              </w:rPr>
              <w:t>Current portion of deferred revenue</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revenue</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bl>
    <w:p>
      <w:pPr>
        <w:spacing w:after="0" w:line="30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Allowance for doubtful accounts and accrued customer credits was $28.3 million and $15.5 million as of December 31, 2020 and September 30, 2021, respectively.</w:t>
      </w:r>
    </w:p>
    <w:p>
      <w:pPr>
        <w:spacing w:after="0" w:line="232"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Amounts recognized in revenue for the three months ended September 30, 2020 and 2021, which were included in deferred revenue as of the beginning of each period, totaled $28.0 million and $26.4 million, respectively. Amounts recognized in revenue for the nine months ended September 30, 2020 and 2021, which were included in deferred revenue as of the beginning of each period, totaled $55.6 million and $54.7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Incurred to Obtain and Fulfill a Contract</w:t>
      </w:r>
    </w:p>
    <w:p>
      <w:pPr>
        <w:spacing w:after="0" w:line="236"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As of December 31, 2020 and September 30, 2021, the balances of capitalized costs to obtain a contract were $59.3 million and $55.8 million, respectively, and the balances of capitalized costs to fulfill a contract were $25.0 million and $24.9 million, respectively. These capitalized costs are included in “Other non-current assets” on the Consolidated Balance Sheets.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of capitalized sales commissions and implementation costs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capitalized sales commissions</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3"/>
        </w:trPr>
        <w:tc>
          <w:tcPr>
            <w:tcW w:w="4600" w:type="dxa"/>
            <w:vAlign w:val="bottom"/>
          </w:tcPr>
          <w:p>
            <w:pPr>
              <w:ind w:left="20"/>
              <w:spacing w:after="0"/>
              <w:rPr>
                <w:sz w:val="20"/>
                <w:szCs w:val="20"/>
                <w:color w:val="auto"/>
              </w:rPr>
            </w:pPr>
            <w:r>
              <w:rPr>
                <w:rFonts w:ascii="Arial" w:cs="Arial" w:eastAsia="Arial" w:hAnsi="Arial"/>
                <w:sz w:val="16"/>
                <w:szCs w:val="16"/>
                <w:color w:val="auto"/>
              </w:rPr>
              <w:t>Amortization of capitalized implementation costs</w:t>
            </w:r>
          </w:p>
        </w:tc>
        <w:tc>
          <w:tcPr>
            <w:tcW w:w="108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249" w:lineRule="exact"/>
        <w:rPr>
          <w:sz w:val="20"/>
          <w:szCs w:val="20"/>
          <w:color w:val="auto"/>
        </w:rPr>
      </w:pPr>
    </w:p>
    <w:p>
      <w:pPr>
        <w:ind w:right="20" w:firstLine="470"/>
        <w:spacing w:after="0" w:line="324" w:lineRule="auto"/>
        <w:rPr>
          <w:sz w:val="20"/>
          <w:szCs w:val="20"/>
          <w:color w:val="auto"/>
        </w:rPr>
      </w:pPr>
      <w:r>
        <w:rPr>
          <w:rFonts w:ascii="Arial" w:cs="Arial" w:eastAsia="Arial" w:hAnsi="Arial"/>
          <w:sz w:val="15"/>
          <w:szCs w:val="15"/>
          <w:color w:val="auto"/>
        </w:rPr>
        <w:t>As of September 30, 2021, the aggregate amount of transaction price allocated to remaining performance obligations was $754.0 million, of which 22% is expected to be recognized as revenue during 2021 and the remainder thereafter. These remaining performance obligations primarily relate to our fixed-term arrangements. Our other revenue arrangements are usage-based, and as such, we recognize revenue based on the right to invoice for the services performed.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Share</w:t>
      </w:r>
    </w:p>
    <w:p>
      <w:pPr>
        <w:spacing w:after="0" w:line="255" w:lineRule="exact"/>
        <w:rPr>
          <w:sz w:val="20"/>
          <w:szCs w:val="20"/>
          <w:color w:val="auto"/>
        </w:rPr>
      </w:pPr>
    </w:p>
    <w:p>
      <w:pPr>
        <w:ind w:right="380" w:firstLine="470"/>
        <w:spacing w:after="0" w:line="288" w:lineRule="auto"/>
        <w:rPr>
          <w:sz w:val="20"/>
          <w:szCs w:val="20"/>
          <w:color w:val="auto"/>
        </w:rPr>
      </w:pPr>
      <w:r>
        <w:rPr>
          <w:rFonts w:ascii="Arial" w:cs="Arial" w:eastAsia="Arial" w:hAnsi="Arial"/>
          <w:sz w:val="17"/>
          <w:szCs w:val="17"/>
          <w:color w:val="auto"/>
        </w:rPr>
        <w:t>Basic net loss per share is calculated by dividing net loss attributable to common stockholders by the weighted average shares outstanding during the period.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computation of basic and diluted net loss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2960" w:type="dxa"/>
            <w:vAlign w:val="bottom"/>
            <w:gridSpan w:val="4"/>
          </w:tcPr>
          <w:p>
            <w:pPr>
              <w:jc w:val="right"/>
              <w:ind w:right="36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loss per share:</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6"/>
        </w:trPr>
        <w:tc>
          <w:tcPr>
            <w:tcW w:w="4660" w:type="dxa"/>
            <w:vAlign w:val="bottom"/>
          </w:tcPr>
          <w:p>
            <w:pPr>
              <w:ind w:left="460"/>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(135.4)</w:t>
            </w:r>
          </w:p>
        </w:tc>
      </w:tr>
      <w:tr>
        <w:trPr>
          <w:trHeight w:val="212"/>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r>
      <w:tr>
        <w:trPr>
          <w:trHeight w:val="202"/>
        </w:trPr>
        <w:tc>
          <w:tcPr>
            <w:tcW w:w="4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Number of shares used in per share computations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r>
      <w:tr>
        <w:trPr>
          <w:trHeight w:val="205"/>
        </w:trPr>
        <w:tc>
          <w:tcPr>
            <w:tcW w:w="4660" w:type="dxa"/>
            <w:vAlign w:val="bottom"/>
          </w:tcPr>
          <w:p>
            <w:pPr>
              <w:ind w:left="640"/>
              <w:spacing w:after="0"/>
              <w:rPr>
                <w:sz w:val="20"/>
                <w:szCs w:val="20"/>
                <w:color w:val="auto"/>
              </w:rPr>
            </w:pPr>
            <w:r>
              <w:rPr>
                <w:rFonts w:ascii="Arial" w:cs="Arial" w:eastAsia="Arial" w:hAnsi="Arial"/>
                <w:sz w:val="16"/>
                <w:szCs w:val="16"/>
                <w:color w:val="auto"/>
              </w:rPr>
              <w:t>Net loss per share</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r>
      <w:tr>
        <w:trPr>
          <w:trHeight w:val="20"/>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120" w:firstLine="470"/>
        <w:spacing w:after="0" w:line="282" w:lineRule="auto"/>
        <w:rPr>
          <w:sz w:val="20"/>
          <w:szCs w:val="20"/>
          <w:color w:val="auto"/>
        </w:rPr>
      </w:pPr>
      <w:r>
        <w:rPr>
          <w:rFonts w:ascii="Arial" w:cs="Arial" w:eastAsia="Arial" w:hAnsi="Arial"/>
          <w:sz w:val="16"/>
          <w:szCs w:val="16"/>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26.5 million and 20.7 million potential common shares from the computation of dilutive loss per share for the three months ended September 30, 2020 and 2021, respectively, and 26.5 million and 20.7 million potential shares for the nine months ended September 30, 2020 and 2021, respectively, because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Equipment and Software, net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equipment and software, net,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280" w:type="dxa"/>
            <w:vAlign w:val="bottom"/>
          </w:tcPr>
          <w:p>
            <w:pPr>
              <w:jc w:val="right"/>
              <w:ind w:right="162"/>
              <w:spacing w:after="0"/>
              <w:rPr>
                <w:sz w:val="20"/>
                <w:szCs w:val="20"/>
                <w:color w:val="auto"/>
              </w:rPr>
            </w:pPr>
            <w:r>
              <w:rPr>
                <w:rFonts w:ascii="Arial" w:cs="Arial" w:eastAsia="Arial" w:hAnsi="Arial"/>
                <w:sz w:val="16"/>
                <w:szCs w:val="16"/>
                <w:b w:val="1"/>
                <w:bCs w:val="1"/>
                <w:color w:val="auto"/>
                <w:w w:val="93"/>
              </w:rPr>
              <w:t>September 30,</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2021</w:t>
            </w:r>
          </w:p>
        </w:tc>
      </w:tr>
      <w:tr>
        <w:trPr>
          <w:trHeight w:val="205"/>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Computers and equipment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1,213.3</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Software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463.6</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513.2</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199"/>
        </w:trPr>
        <w:tc>
          <w:tcPr>
            <w:tcW w:w="8240" w:type="dxa"/>
            <w:vAlign w:val="bottom"/>
          </w:tcPr>
          <w:p>
            <w:pPr>
              <w:ind w:left="140"/>
              <w:spacing w:after="0"/>
              <w:rPr>
                <w:sz w:val="20"/>
                <w:szCs w:val="20"/>
                <w:color w:val="auto"/>
              </w:rPr>
            </w:pPr>
            <w:r>
              <w:rPr>
                <w:rFonts w:ascii="Arial" w:cs="Arial" w:eastAsia="Arial" w:hAnsi="Arial"/>
                <w:sz w:val="16"/>
                <w:szCs w:val="16"/>
                <w:color w:val="auto"/>
              </w:rPr>
              <w:t>Property, equipment and software, at cost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2,233.2</w:t>
            </w:r>
          </w:p>
        </w:tc>
      </w:tr>
      <w:tr>
        <w:trPr>
          <w:trHeight w:val="212"/>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(1,384.8)</w:t>
            </w:r>
          </w:p>
        </w:tc>
      </w:tr>
      <w:tr>
        <w:trPr>
          <w:trHeight w:val="206"/>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Work in process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3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Property, equipment and software, net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140" w:firstLine="470"/>
        <w:spacing w:after="0" w:line="267" w:lineRule="auto"/>
        <w:rPr>
          <w:sz w:val="20"/>
          <w:szCs w:val="20"/>
          <w:color w:val="auto"/>
        </w:rPr>
      </w:pPr>
      <w:r>
        <w:rPr>
          <w:rFonts w:ascii="Arial" w:cs="Arial" w:eastAsia="Arial" w:hAnsi="Arial"/>
          <w:sz w:val="17"/>
          <w:szCs w:val="17"/>
          <w:color w:val="auto"/>
        </w:rPr>
        <w:t>On January 15, 2021, we completed the sale of a parcel of undeveloped land in the United Kingdom adjacent to one of our existing data centers. The net book value of the land prior to the sale was $11.4 million and we received cash proceeds of $32.2 million, less brokerage and professional fees of $0.9 million, resulting in net cash proceeds of $31.3 million. Therefore, we recorded a gain on sale of land of $19.9 million to "Gain on sale of land" in the Consolidated Statements of Comprehensive Loss 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Intangible Assets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changes in the carrying amounts of goodwill by reportable segment: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560" w:type="dxa"/>
            <w:vAlign w:val="bottom"/>
            <w:gridSpan w:val="3"/>
            <w:vMerge w:val="restart"/>
          </w:tcPr>
          <w:p>
            <w:pPr>
              <w:jc w:val="right"/>
              <w:ind w:right="160"/>
              <w:spacing w:after="0"/>
              <w:rPr>
                <w:sz w:val="20"/>
                <w:szCs w:val="20"/>
                <w:color w:val="auto"/>
              </w:rPr>
            </w:pPr>
            <w:r>
              <w:rPr>
                <w:rFonts w:ascii="Arial" w:cs="Arial" w:eastAsia="Arial" w:hAnsi="Arial"/>
                <w:sz w:val="16"/>
                <w:szCs w:val="16"/>
                <w:b w:val="1"/>
                <w:bCs w:val="1"/>
                <w:color w:val="auto"/>
                <w:w w:val="91"/>
              </w:rPr>
              <w:t>Multicloud Services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Apps &amp; Cross</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OpenStack Public</w:t>
            </w:r>
          </w:p>
        </w:tc>
        <w:tc>
          <w:tcPr>
            <w:tcW w:w="80" w:type="dxa"/>
            <w:vAlign w:val="bottom"/>
          </w:tcPr>
          <w:p>
            <w:pPr>
              <w:spacing w:after="0"/>
              <w:rPr>
                <w:sz w:val="16"/>
                <w:szCs w:val="16"/>
                <w:color w:val="auto"/>
              </w:rPr>
            </w:pPr>
          </w:p>
        </w:tc>
        <w:tc>
          <w:tcPr>
            <w:tcW w:w="136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86"/>
              </w:rPr>
              <w:t>Total Consolidated</w:t>
            </w:r>
          </w:p>
        </w:tc>
        <w:tc>
          <w:tcPr>
            <w:tcW w:w="0" w:type="dxa"/>
            <w:vAlign w:val="bottom"/>
          </w:tcPr>
          <w:p>
            <w:pPr>
              <w:spacing w:after="0"/>
              <w:rPr>
                <w:sz w:val="1"/>
                <w:szCs w:val="1"/>
                <w:color w:val="auto"/>
              </w:rPr>
            </w:pPr>
          </w:p>
        </w:tc>
      </w:tr>
      <w:tr>
        <w:trPr>
          <w:trHeight w:val="206"/>
        </w:trPr>
        <w:tc>
          <w:tcPr>
            <w:tcW w:w="5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Platform</w:t>
            </w:r>
          </w:p>
        </w:tc>
        <w:tc>
          <w:tcPr>
            <w:tcW w:w="1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Cloud</w:t>
            </w:r>
          </w:p>
        </w:tc>
        <w:tc>
          <w:tcPr>
            <w:tcW w:w="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6"/>
                <w:szCs w:val="16"/>
                <w:color w:val="auto"/>
              </w:rPr>
              <w:t xml:space="preserve">Balance as of December 31, 2020 </w:t>
            </w:r>
            <w:r>
              <w:rPr>
                <w:rFonts w:ascii="Arial" w:cs="Arial" w:eastAsia="Arial" w:hAnsi="Arial"/>
                <w:sz w:val="20"/>
                <w:szCs w:val="20"/>
                <w:color w:val="auto"/>
                <w:vertAlign w:val="superscript"/>
              </w:rPr>
              <w:t>(1)</w:t>
            </w:r>
          </w:p>
        </w:tc>
        <w:tc>
          <w:tcPr>
            <w:tcW w:w="5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52.5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2,761.1</w:t>
            </w: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w w:val="91"/>
              </w:rPr>
              <w:t>(0.1)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Multicloud Services had accumulated impairment charges of $295.0 million as of December 31, 2020.</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our intangible assets other than goodwill: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7"/>
              </w:rPr>
              <w:t>December 31, 2020</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5"/>
              </w:rPr>
              <w:t>September 30, 2021</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9"/>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102"/>
              <w:spacing w:after="0" w:line="153" w:lineRule="exact"/>
              <w:rPr>
                <w:sz w:val="20"/>
                <w:szCs w:val="20"/>
                <w:color w:val="auto"/>
              </w:rPr>
            </w:pPr>
            <w:r>
              <w:rPr>
                <w:rFonts w:ascii="Arial" w:cs="Arial" w:eastAsia="Arial" w:hAnsi="Arial"/>
                <w:sz w:val="16"/>
                <w:szCs w:val="16"/>
                <w:b w:val="1"/>
                <w:bCs w:val="1"/>
                <w:color w:val="auto"/>
                <w:w w:val="92"/>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7"/>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62"/>
              <w:spacing w:after="0" w:line="153" w:lineRule="exact"/>
              <w:rPr>
                <w:sz w:val="20"/>
                <w:szCs w:val="20"/>
                <w:color w:val="auto"/>
              </w:rPr>
            </w:pPr>
            <w:r>
              <w:rPr>
                <w:rFonts w:ascii="Arial" w:cs="Arial" w:eastAsia="Arial" w:hAnsi="Arial"/>
                <w:sz w:val="16"/>
                <w:szCs w:val="16"/>
                <w:b w:val="1"/>
                <w:bCs w:val="1"/>
                <w:color w:val="auto"/>
                <w:w w:val="96"/>
              </w:rPr>
              <w:t>Net carrying</w:t>
            </w:r>
          </w:p>
        </w:tc>
        <w:tc>
          <w:tcPr>
            <w:tcW w:w="0" w:type="dxa"/>
            <w:vAlign w:val="bottom"/>
          </w:tcPr>
          <w:p>
            <w:pPr>
              <w:spacing w:after="0"/>
              <w:rPr>
                <w:sz w:val="1"/>
                <w:szCs w:val="1"/>
                <w:color w:val="auto"/>
              </w:rPr>
            </w:pPr>
          </w:p>
        </w:tc>
      </w:tr>
      <w:tr>
        <w:trPr>
          <w:trHeight w:val="206"/>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amount</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amount</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amount</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7"/>
                <w:szCs w:val="17"/>
                <w:color w:val="auto"/>
              </w:rPr>
            </w:pPr>
          </w:p>
        </w:tc>
        <w:tc>
          <w:tcPr>
            <w:tcW w:w="1160" w:type="dxa"/>
            <w:vAlign w:val="bottom"/>
          </w:tcPr>
          <w:p>
            <w:pPr>
              <w:jc w:val="right"/>
              <w:ind w:right="32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5"/>
        </w:trPr>
        <w:tc>
          <w:tcPr>
            <w:tcW w:w="27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1,239.4</w:t>
            </w:r>
          </w:p>
        </w:tc>
        <w:tc>
          <w:tcPr>
            <w:tcW w:w="0" w:type="dxa"/>
            <w:vAlign w:val="bottom"/>
          </w:tcPr>
          <w:p>
            <w:pPr>
              <w:spacing w:after="0"/>
              <w:rPr>
                <w:sz w:val="1"/>
                <w:szCs w:val="1"/>
                <w:color w:val="auto"/>
              </w:rPr>
            </w:pPr>
          </w:p>
        </w:tc>
      </w:tr>
      <w:tr>
        <w:trPr>
          <w:trHeight w:val="206"/>
        </w:trPr>
        <w:tc>
          <w:tcPr>
            <w:tcW w:w="2740" w:type="dxa"/>
            <w:vAlign w:val="bottom"/>
          </w:tcPr>
          <w:p>
            <w:pPr>
              <w:ind w:left="140"/>
              <w:spacing w:after="0"/>
              <w:rPr>
                <w:sz w:val="20"/>
                <w:szCs w:val="20"/>
                <w:color w:val="auto"/>
              </w:rPr>
            </w:pPr>
            <w:r>
              <w:rPr>
                <w:rFonts w:ascii="Arial" w:cs="Arial" w:eastAsia="Arial" w:hAnsi="Arial"/>
                <w:sz w:val="16"/>
                <w:szCs w:val="16"/>
                <w:color w:val="auto"/>
              </w:rPr>
              <w:t>Property tax abatement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9"/>
        </w:trPr>
        <w:tc>
          <w:tcPr>
            <w:tcW w:w="2740" w:type="dxa"/>
            <w:vAlign w:val="bottom"/>
          </w:tcPr>
          <w:p>
            <w:pPr>
              <w:ind w:left="240"/>
              <w:spacing w:after="0"/>
              <w:rPr>
                <w:sz w:val="20"/>
                <w:szCs w:val="20"/>
                <w:color w:val="auto"/>
              </w:rPr>
            </w:pPr>
            <w:r>
              <w:rPr>
                <w:rFonts w:ascii="Arial" w:cs="Arial" w:eastAsia="Arial" w:hAnsi="Arial"/>
                <w:sz w:val="16"/>
                <w:szCs w:val="16"/>
                <w:color w:val="auto"/>
                <w:w w:val="97"/>
              </w:rPr>
              <w:t>Total definite-lived intangible assets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1,396.3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1,258.8</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Trade name (indefinite-lived)</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140"/>
        </w:trPr>
        <w:tc>
          <w:tcPr>
            <w:tcW w:w="2740" w:type="dxa"/>
            <w:vAlign w:val="bottom"/>
          </w:tcPr>
          <w:p>
            <w:pPr>
              <w:ind w:left="320"/>
              <w:spacing w:after="0" w:line="140" w:lineRule="exact"/>
              <w:rPr>
                <w:sz w:val="20"/>
                <w:szCs w:val="20"/>
                <w:color w:val="auto"/>
              </w:rPr>
            </w:pPr>
            <w:r>
              <w:rPr>
                <w:rFonts w:ascii="Arial" w:cs="Arial" w:eastAsia="Arial" w:hAnsi="Arial"/>
                <w:sz w:val="16"/>
                <w:szCs w:val="16"/>
                <w:color w:val="auto"/>
              </w:rPr>
              <w:t>Total intangible assets other than</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2,299.9</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1,646.3</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2,277.2</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(768.4)</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1,508.8</w:t>
            </w:r>
          </w:p>
        </w:tc>
        <w:tc>
          <w:tcPr>
            <w:tcW w:w="0" w:type="dxa"/>
            <w:vAlign w:val="bottom"/>
          </w:tcPr>
          <w:p>
            <w:pPr>
              <w:spacing w:after="0"/>
              <w:rPr>
                <w:sz w:val="1"/>
                <w:szCs w:val="1"/>
                <w:color w:val="auto"/>
              </w:rPr>
            </w:pPr>
          </w:p>
        </w:tc>
      </w:tr>
      <w:tr>
        <w:trPr>
          <w:trHeight w:val="185"/>
        </w:trPr>
        <w:tc>
          <w:tcPr>
            <w:tcW w:w="2740" w:type="dxa"/>
            <w:vAlign w:val="bottom"/>
          </w:tcPr>
          <w:p>
            <w:pPr>
              <w:ind w:left="320"/>
              <w:spacing w:after="0" w:line="180" w:lineRule="exact"/>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Debt</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Debt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(In millions, except %)</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6"/>
                <w:szCs w:val="16"/>
                <w:b w:val="1"/>
                <w:bCs w:val="1"/>
                <w:color w:val="auto"/>
              </w:rPr>
              <w:t>September 30, 2021</w:t>
            </w:r>
          </w:p>
        </w:tc>
      </w:tr>
      <w:tr>
        <w:trPr>
          <w:trHeight w:val="208"/>
        </w:trPr>
        <w:tc>
          <w:tcPr>
            <w:tcW w:w="340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Debt Instrument</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20"/>
              <w:spacing w:after="0" w:line="208"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220"/>
              <w:spacing w:after="0" w:line="208" w:lineRule="exact"/>
              <w:rPr>
                <w:sz w:val="20"/>
                <w:szCs w:val="20"/>
                <w:color w:val="auto"/>
              </w:rPr>
            </w:pPr>
            <w:r>
              <w:rPr>
                <w:rFonts w:ascii="Arial" w:cs="Arial" w:eastAsia="Arial" w:hAnsi="Arial"/>
                <w:sz w:val="16"/>
                <w:szCs w:val="16"/>
                <w:b w:val="1"/>
                <w:bCs w:val="1"/>
                <w:color w:val="auto"/>
              </w:rPr>
              <w:t>Interest Rate</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Amount</w:t>
            </w:r>
          </w:p>
        </w:tc>
      </w:tr>
      <w:tr>
        <w:trPr>
          <w:trHeight w:val="20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Prior Term Loan Facility</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November 3, 2023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2,795.6</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Term Loan Facility</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February 15, 2028</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center"/>
              <w:ind w:left="22"/>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2,288.5</w:t>
            </w: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August 7, 2025</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3.50% Senior Secured Notes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February 15, 2028</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center"/>
              <w:ind w:left="22"/>
              <w:spacing w:after="0"/>
              <w:rPr>
                <w:sz w:val="20"/>
                <w:szCs w:val="20"/>
                <w:color w:val="auto"/>
              </w:rPr>
            </w:pPr>
            <w:r>
              <w:rPr>
                <w:rFonts w:ascii="Arial" w:cs="Arial" w:eastAsia="Arial" w:hAnsi="Arial"/>
                <w:sz w:val="16"/>
                <w:szCs w:val="16"/>
                <w:color w:val="auto"/>
                <w:w w:val="92"/>
              </w:rPr>
              <w:t>3.50%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December 1, 2028</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550.0</w:t>
            </w:r>
          </w:p>
        </w:tc>
        <w:tc>
          <w:tcPr>
            <w:tcW w:w="152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2"/>
              </w:rPr>
              <w:t>5.375%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06"/>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Receivables Financing Facility</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19, 2022</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2.37%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06"/>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debt discount</w:t>
            </w: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05"/>
        </w:trPr>
        <w:tc>
          <w:tcPr>
            <w:tcW w:w="35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3,362.7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3,337.8</w:t>
            </w:r>
          </w:p>
        </w:tc>
      </w:tr>
      <w:tr>
        <w:trPr>
          <w:trHeight w:val="206"/>
        </w:trPr>
        <w:tc>
          <w:tcPr>
            <w:tcW w:w="3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Less: current portion of debt</w:t>
            </w: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30"/>
        </w:trPr>
        <w:tc>
          <w:tcPr>
            <w:tcW w:w="3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Debt, excluding current portion</w:t>
            </w: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3,319.3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3,314.8</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Interest rates are as of each respective balance sheet date.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Facilities</w:t>
      </w:r>
    </w:p>
    <w:p>
      <w:pPr>
        <w:spacing w:after="0" w:line="249"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Our senior secured credit facilities include a first lien term loan facility (the "Term Loan Facility") and a revolving credit facility (the "Revolving Credit Facility" and, together with the Term Loan Facility, the "Senior Facilities").</w:t>
      </w:r>
    </w:p>
    <w:p>
      <w:pPr>
        <w:spacing w:after="0" w:line="184"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On February 9, 2021, we amended and restated the credit agreement governing our Senior Facilities (the "First Lien Credit Agreement"), which included a new seven-year $2,300.0 million senior secured first lien term loan facility due on February 15, 2028 and our existing $375.0 million Revolving Credit Facility. We used the borrowings under the Term Loan Facility, together with the proceeds from the issuance of the 3.50% Senior Secured Notes described below (together, the "February 2021 Refinancing Transaction"), to repay all borrowings under our prior term loan facility (the "Prior Term Loan Facility"), to pay related fees and expenses and for general corporate purposes.</w:t>
      </w:r>
    </w:p>
    <w:p>
      <w:pPr>
        <w:spacing w:after="0" w:line="206" w:lineRule="exact"/>
        <w:rPr>
          <w:sz w:val="20"/>
          <w:szCs w:val="20"/>
          <w:color w:val="auto"/>
        </w:rPr>
      </w:pPr>
    </w:p>
    <w:p>
      <w:pPr>
        <w:ind w:right="20" w:firstLine="470"/>
        <w:spacing w:after="0" w:line="299" w:lineRule="auto"/>
        <w:rPr>
          <w:sz w:val="20"/>
          <w:szCs w:val="20"/>
          <w:color w:val="auto"/>
        </w:rPr>
      </w:pPr>
      <w:r>
        <w:rPr>
          <w:rFonts w:ascii="Arial" w:cs="Arial" w:eastAsia="Arial" w:hAnsi="Arial"/>
          <w:sz w:val="15"/>
          <w:szCs w:val="15"/>
          <w:color w:val="auto"/>
        </w:rPr>
        <w:t>Borrowings under the Senior Facilities bear interest at an annual rate equal to an applicable margin plus, at our option, either (a) a LIBOR rate determined by reference to the costs of funds for Eurodollar deposits for the interest period relevant to such borrowing, adjusted for certain additional costs, subject to a</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0.75% floor, in the case of the Term Loan Facility, and a 1.00% floor, in the case of the Revolving Credit Facility, or (b) a base rate determined by reference to the highest of (i) the federal funds rate plus 0.50%, (ii) the prime rate of Citibank, N.A. and (iii) the one-month adjusted LIBOR plus 1.00%. The applicable margin for the Term Loan Facility is 2.75% for LIBOR loans and 1.75% for base rate loans and the applicable margin for the Revolving Credit Facility is 3.00% for LIBOR loans and 2.00% for base rate loans. Interest is due at the end of each interest period elected, not exceeding 90 days, for LIBOR loans and at the end of every calendar quarter for base rate loans.</w:t>
      </w:r>
    </w:p>
    <w:p>
      <w:pPr>
        <w:spacing w:after="0" w:line="210"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In addition to paying interest on the outstanding principal under the Senior Facilities, the Revolving Credit Facility also includes a commitment fee equal to 0.50% per annum in respect of the unused commitments that is due quarterly. This commitment fee is subject to one step-down based on the net first lien leverage ratio.</w:t>
      </w:r>
    </w:p>
    <w:p>
      <w:pPr>
        <w:spacing w:after="0" w:line="198" w:lineRule="exact"/>
        <w:rPr>
          <w:sz w:val="20"/>
          <w:szCs w:val="20"/>
          <w:color w:val="auto"/>
        </w:rPr>
      </w:pPr>
    </w:p>
    <w:p>
      <w:pPr>
        <w:ind w:right="140" w:firstLine="470"/>
        <w:spacing w:after="0" w:line="272" w:lineRule="auto"/>
        <w:rPr>
          <w:sz w:val="20"/>
          <w:szCs w:val="20"/>
          <w:color w:val="auto"/>
        </w:rPr>
      </w:pPr>
      <w:r>
        <w:rPr>
          <w:rFonts w:ascii="Arial" w:cs="Arial" w:eastAsia="Arial" w:hAnsi="Arial"/>
          <w:sz w:val="17"/>
          <w:szCs w:val="17"/>
          <w:color w:val="auto"/>
        </w:rPr>
        <w:t>As of September 30, 2021, the interest rate on the Term Loan Facility was 3.50%. We are required to make quarterly principal payments of $5.8 million, which began on June 30, 2021. See Note 11, "Derivatives," for information on interest rate swap agreements we utilize to manage the interest rate risk on the Term Loan Facility.</w:t>
      </w:r>
    </w:p>
    <w:p>
      <w:pPr>
        <w:spacing w:after="0" w:line="198" w:lineRule="exact"/>
        <w:rPr>
          <w:sz w:val="20"/>
          <w:szCs w:val="20"/>
          <w:color w:val="auto"/>
        </w:rPr>
      </w:pPr>
    </w:p>
    <w:p>
      <w:pPr>
        <w:ind w:right="180" w:firstLine="470"/>
        <w:spacing w:after="0" w:line="264" w:lineRule="auto"/>
        <w:rPr>
          <w:sz w:val="20"/>
          <w:szCs w:val="20"/>
          <w:color w:val="auto"/>
        </w:rPr>
      </w:pPr>
      <w:r>
        <w:rPr>
          <w:rFonts w:ascii="Arial" w:cs="Arial" w:eastAsia="Arial" w:hAnsi="Arial"/>
          <w:sz w:val="17"/>
          <w:szCs w:val="17"/>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 except in connection with a repricing event, as defined in the First Lien Credit Agreement.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The fair value of the Term Loan Facility as of September 30, 2021 was $2,265.6 million, based on quoted market prices for identical assets that are traded in over-the-counter secondary markets that are not considered active. The fair value of the Term Loan Facility is classified as Level 2 within the fair value hierarchy.</w:t>
      </w:r>
    </w:p>
    <w:p>
      <w:pPr>
        <w:spacing w:after="0" w:line="198"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Rackspace Technology Global is the borrower under the Senior Facilities, and all obligations under the Senior Facilities are (i) guaranteed by Inception Parent, Inc., Rackspace Technology Global’s immediate parent company, on a limited recourse basis and secured by the equity interests of Rackspace Technology Global held by Inception Parent, Inc.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 The only financial covenant is with respect to the Revolving Credit Facility which limits the net first lien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is equal to or greater than 35% of the Revolving Credit Facility commitments at the end of a fiscal quarter. Other covenants include limitations on restricted payments, indebtedness, investments, liens, asset sales and transactions with affiliates. As of September 30, 2021, we were in compliance with all covenants under the Senior Facilities.</w:t>
      </w:r>
    </w:p>
    <w:p>
      <w:pPr>
        <w:spacing w:after="0" w:line="209" w:lineRule="exact"/>
        <w:rPr>
          <w:sz w:val="20"/>
          <w:szCs w:val="20"/>
          <w:color w:val="auto"/>
        </w:rPr>
      </w:pPr>
    </w:p>
    <w:p>
      <w:pPr>
        <w:ind w:right="280" w:firstLine="470"/>
        <w:spacing w:after="0" w:line="288" w:lineRule="auto"/>
        <w:rPr>
          <w:sz w:val="20"/>
          <w:szCs w:val="20"/>
          <w:color w:val="auto"/>
        </w:rPr>
      </w:pPr>
      <w:r>
        <w:rPr>
          <w:rFonts w:ascii="Arial" w:cs="Arial" w:eastAsia="Arial" w:hAnsi="Arial"/>
          <w:sz w:val="17"/>
          <w:szCs w:val="17"/>
          <w:color w:val="auto"/>
        </w:rPr>
        <w:t>The Revolving Credit Facility matures on August 7, 2025. As of September 30, 2021, we had total commitments of $375.0 million and no outstanding borrowings under the Revolving Credit Facility or letters or credit issued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3.50% Senior Secured Notes due 2028</w:t>
      </w:r>
    </w:p>
    <w:p>
      <w:pPr>
        <w:spacing w:after="0" w:line="249" w:lineRule="exact"/>
        <w:rPr>
          <w:sz w:val="20"/>
          <w:szCs w:val="20"/>
          <w:color w:val="auto"/>
        </w:rPr>
      </w:pPr>
    </w:p>
    <w:p>
      <w:pPr>
        <w:ind w:right="140" w:firstLine="470"/>
        <w:spacing w:after="0" w:line="307" w:lineRule="auto"/>
        <w:rPr>
          <w:sz w:val="20"/>
          <w:szCs w:val="20"/>
          <w:color w:val="auto"/>
        </w:rPr>
      </w:pPr>
      <w:r>
        <w:rPr>
          <w:rFonts w:ascii="Arial" w:cs="Arial" w:eastAsia="Arial" w:hAnsi="Arial"/>
          <w:sz w:val="15"/>
          <w:szCs w:val="15"/>
          <w:color w:val="auto"/>
        </w:rPr>
        <w:t>On February 9, 2021, Rackspace Technology Global issued $550.0 million aggregate principal amount of 3.50% Senior Secured Notes due 2028 (the “3.50% Senior Secured Notes”). The 3.50% Senior Secured Notes will mature on February 15, 2028 and bear interest at an annual fixed rate of 3.50%. Interest is payable semiannually on each February 15 and August 15, commencing on August 15, 2021. The 3.50% Senior Secured Notes are not subject to registration rights. As noted above, we used the net proceeds from the issuance of the 3.50% Senior Secured Notes, together with borrowings under the Term Loan Facility described above, to repay all borrowings outstanding under the Prior Term Loan Facility, to pay related fees and expenses and for general corporate purposes.</w:t>
      </w:r>
    </w:p>
    <w:p>
      <w:pPr>
        <w:spacing w:after="0" w:line="178" w:lineRule="exact"/>
        <w:rPr>
          <w:sz w:val="20"/>
          <w:szCs w:val="20"/>
          <w:color w:val="auto"/>
        </w:rPr>
      </w:pPr>
    </w:p>
    <w:p>
      <w:pPr>
        <w:ind w:right="360" w:firstLine="470"/>
        <w:spacing w:after="0" w:line="264" w:lineRule="auto"/>
        <w:rPr>
          <w:sz w:val="20"/>
          <w:szCs w:val="20"/>
          <w:color w:val="auto"/>
        </w:rPr>
      </w:pPr>
      <w:r>
        <w:rPr>
          <w:rFonts w:ascii="Arial" w:cs="Arial" w:eastAsia="Arial" w:hAnsi="Arial"/>
          <w:sz w:val="17"/>
          <w:szCs w:val="17"/>
          <w:color w:val="auto"/>
        </w:rPr>
        <w:t>Rackspace Technology Global is the issuer of the 3.50% Senior Secured Notes, and obligations under the 3.50% Senior Secured Notes are fully and unconditionally guaranteed, jointly and severally, by all of Rackspace Technology Global’s wholly-owned domestic restricted subsidiaries (as subsidiary guarantors) that guarantee the Senior Facilities. The 3.50% Senior Secured Notes and the related guarantees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206"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Rackspace Technology Global may redeem the 3.50% Senior Secured Notes at its option, in whole at any time or in part from time to time, at the following redemption prices: prior to February 15, 2024, at a redemption price equal to 100.000% of the principal amount, plus the applicable premium described in the indenture governing the 3.50% Senior Secured Notes (the "3.50% Notes Indenture") and accrued and unpaid interest, if any, to but excluding the redemption date; from February 15, 2024 to February 14, 2025, at a redemption price equal to 101.750% of the principal amount, plus accrued and unpaid interest, if any, to but excluding the redemption date;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Rackspace Technology Global may also redeem prior to February 15, 2024 up to 40.0% of the aggregate principal amount of the 3.50% Senior Secured Notes with funds in an aggregate amount not to exceed the net cash proceeds from certain equity offerings at a redemption price equal to 103.500% of the principal amount of the 3.50% Senior Secured Notes to be redeemed,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 plus accrued and unpaid interest, if any, to, but excluding,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 of the aggregate principal amount, plus accrued and unpaid interest, if any, to, but not including the purchase date.</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Rackspace Technology Global was in compliance with all covenants under the 3.50% Notes Indenture.</w:t>
      </w:r>
    </w:p>
    <w:p>
      <w:pPr>
        <w:spacing w:after="0" w:line="249" w:lineRule="exact"/>
        <w:rPr>
          <w:sz w:val="20"/>
          <w:szCs w:val="20"/>
          <w:color w:val="auto"/>
        </w:rPr>
      </w:pPr>
    </w:p>
    <w:p>
      <w:pPr>
        <w:ind w:right="240" w:firstLine="470"/>
        <w:spacing w:after="0" w:line="272" w:lineRule="auto"/>
        <w:rPr>
          <w:sz w:val="20"/>
          <w:szCs w:val="20"/>
          <w:color w:val="auto"/>
        </w:rPr>
      </w:pPr>
      <w:r>
        <w:rPr>
          <w:rFonts w:ascii="Arial" w:cs="Arial" w:eastAsia="Arial" w:hAnsi="Arial"/>
          <w:sz w:val="17"/>
          <w:szCs w:val="17"/>
          <w:color w:val="auto"/>
        </w:rPr>
        <w:t>The fair value of the 3.50% Senior Secured Notes as of September 30, 2021 was $529.4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5.375% Senior Notes due 2028</w:t>
      </w:r>
    </w:p>
    <w:p>
      <w:pPr>
        <w:spacing w:after="0" w:line="249" w:lineRule="exact"/>
        <w:rPr>
          <w:sz w:val="20"/>
          <w:szCs w:val="20"/>
          <w:color w:val="auto"/>
        </w:rPr>
      </w:pPr>
    </w:p>
    <w:p>
      <w:pPr>
        <w:ind w:right="40" w:firstLine="470"/>
        <w:spacing w:after="0" w:line="297" w:lineRule="auto"/>
        <w:rPr>
          <w:sz w:val="20"/>
          <w:szCs w:val="20"/>
          <w:color w:val="auto"/>
        </w:rPr>
      </w:pPr>
      <w:r>
        <w:rPr>
          <w:rFonts w:ascii="Arial" w:cs="Arial" w:eastAsia="Arial" w:hAnsi="Arial"/>
          <w:sz w:val="16"/>
          <w:szCs w:val="16"/>
          <w:color w:val="auto"/>
        </w:rPr>
        <w:t>On December 1, 2020, Rackspace Technology Global issued $550.0 million aggregate principal amount of 5.375% Senior Notes due 2028 (the "5.375% Senior Notes"). The 5.375% Senior Notes will mature on December 1, 2028 and bear interest at an annual fixed rate of 5.375%. Interest is payable semiannually on each June 1 and December 1, commencing on June 1, 2021. The 5.375% Senior Notes are not subject to registration rights.</w:t>
      </w:r>
    </w:p>
    <w:p>
      <w:pPr>
        <w:spacing w:after="0" w:line="179" w:lineRule="exact"/>
        <w:rPr>
          <w:sz w:val="20"/>
          <w:szCs w:val="20"/>
          <w:color w:val="auto"/>
        </w:rPr>
      </w:pPr>
    </w:p>
    <w:p>
      <w:pPr>
        <w:ind w:right="220" w:firstLine="470"/>
        <w:spacing w:after="0" w:line="267" w:lineRule="auto"/>
        <w:rPr>
          <w:sz w:val="20"/>
          <w:szCs w:val="20"/>
          <w:color w:val="auto"/>
        </w:rPr>
      </w:pPr>
      <w:r>
        <w:rPr>
          <w:rFonts w:ascii="Arial" w:cs="Arial" w:eastAsia="Arial" w:hAnsi="Arial"/>
          <w:sz w:val="17"/>
          <w:szCs w:val="17"/>
          <w:color w:val="auto"/>
        </w:rPr>
        <w:t>Rackspace Technology Global is the issuer of the 5.375% Senior Notes, and obligations under the 5.375% Senior Notes are guaranteed on a senior unsecured basis by all of Rackspace Technology Global’s wholly-owned domestic restricted subsidiaries (as subsidiary guarantors) that guarantee the Senior Facilities. The 5.375% Senior Notes are effectively junior to the indebtedness under the Senior Facilities and the 3.50% Senior Secured Notes, to the extent of the collateral securing the Senior Facilities and the 3.50% Senior Secured Notes.</w:t>
      </w:r>
    </w:p>
    <w:p>
      <w:pPr>
        <w:spacing w:after="0" w:line="202"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Rackspace Technology Global may redeem the 5.375% Senior Notes at its option, in whole at any time or in part from time to time, at the following redemption prices: prior to December 1, 2023, at a redemption price equal to 100.000% of the principal amount, plus the applicable premium described in the indenture governing the 5.375% Senior Notes (the "5.375% Notes Indenture") and accrued and unpaid interest, if any, to but excluding the redemption date; from December 1, 2023 to December 1, 2024, at a redemption price equal to 102.688% of the principal amount, plus accrued and unpaid interest, if any, to but excluding the redemption date; from December 1, 2024 to December 1,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 Rackspace Technology Global may also redeem prior to December 1, 2023 up to 40.0% of the aggregate principal amount of the 5.375% Senior Notes with funds in an aggregate amount not to exceed the net cash proceeds from certain equity offerings at a redemption price equal to 105.375% of the principal amount of the 5.375% Senior Notes to be redeemed, plus accrued and unpaid interest, if any, to, but excluding, the redemption date.</w:t>
      </w:r>
    </w:p>
    <w:p>
      <w:pPr>
        <w:spacing w:after="0" w:line="195" w:lineRule="exact"/>
        <w:rPr>
          <w:sz w:val="20"/>
          <w:szCs w:val="20"/>
          <w:color w:val="auto"/>
        </w:rPr>
      </w:pPr>
    </w:p>
    <w:p>
      <w:pPr>
        <w:ind w:right="200" w:firstLine="470"/>
        <w:spacing w:after="0" w:line="295" w:lineRule="auto"/>
        <w:rPr>
          <w:sz w:val="20"/>
          <w:szCs w:val="20"/>
          <w:color w:val="auto"/>
        </w:rPr>
      </w:pPr>
      <w:r>
        <w:rPr>
          <w:rFonts w:ascii="Arial" w:cs="Arial" w:eastAsia="Arial" w:hAnsi="Arial"/>
          <w:sz w:val="15"/>
          <w:szCs w:val="15"/>
          <w:color w:val="auto"/>
        </w:rPr>
        <w:t>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w:t>
      </w:r>
    </w:p>
    <w:p>
      <w:pPr>
        <w:ind w:right="400"/>
        <w:spacing w:after="0" w:line="273" w:lineRule="auto"/>
        <w:rPr>
          <w:sz w:val="20"/>
          <w:szCs w:val="20"/>
          <w:color w:val="auto"/>
        </w:rPr>
      </w:pPr>
      <w:r>
        <w:rPr>
          <w:rFonts w:ascii="Arial" w:cs="Arial" w:eastAsia="Arial" w:hAnsi="Arial"/>
          <w:sz w:val="17"/>
          <w:szCs w:val="17"/>
          <w:color w:val="auto"/>
        </w:rPr>
        <w:t>5.375% Senior Notes at a price in cash equal to 101.0% of the aggregate principal amount, plus accrued and unpaid interest, if any, to, but not including the purchase date.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Rackspace Technology Global was in compliance with all covenants under the 5.375% Notes Indenture.</w:t>
      </w:r>
    </w:p>
    <w:p>
      <w:pPr>
        <w:spacing w:after="0" w:line="249"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The fair value of the 5.375% Senior Notes as of September 30, 2021 was $539.0 million, based on quoted market prices for identical assets that are traded in over-the-counter secondary markets that are not considered active. The fair value of the 5.375% Senior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Financing Agreement</w:t>
      </w:r>
    </w:p>
    <w:p>
      <w:pPr>
        <w:spacing w:after="0" w:line="249" w:lineRule="exact"/>
        <w:rPr>
          <w:sz w:val="20"/>
          <w:szCs w:val="20"/>
          <w:color w:val="auto"/>
        </w:rPr>
      </w:pPr>
    </w:p>
    <w:p>
      <w:pPr>
        <w:ind w:right="20" w:firstLine="470"/>
        <w:spacing w:after="0" w:line="267" w:lineRule="auto"/>
        <w:rPr>
          <w:sz w:val="20"/>
          <w:szCs w:val="20"/>
          <w:color w:val="auto"/>
        </w:rPr>
      </w:pPr>
      <w:r>
        <w:rPr>
          <w:rFonts w:ascii="Arial" w:cs="Arial" w:eastAsia="Arial" w:hAnsi="Arial"/>
          <w:sz w:val="17"/>
          <w:szCs w:val="17"/>
          <w:color w:val="auto"/>
        </w:rPr>
        <w:t>Under the accounts receivable financing agreement (the "Receivables Financing Facility") entered into in 2020, a bankruptcy-remote special purpose vehicle ("SPV") indirectly wholly owned by Rackspace Technology Global granted a security interest in all of its current and future receivables and related assets in exchange for a credit facility permitting borrowings of up to a maximum aggregate amount of $100.0 million from time to time. Rackspace Technology Global was the primary beneficiary of the SPV.</w:t>
      </w:r>
    </w:p>
    <w:p>
      <w:pPr>
        <w:spacing w:after="0" w:line="202"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During the nine months ended September 30, 2021, the SPV repaid the outstanding balance of $50.0 million and terminated the Receivables Financing Facility. The termination resulted in expense of $0.5 million recorded within "Debt modification and extinguishment costs" in our Consolidated Statements of Comprehensive Loss for the nine months ended September 30, 2021. The expense was comprised of the write-off of the unamortized debt issuance costs, as well as third party fees associated with the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February 2021 Refinancing Transaction</w:t>
      </w:r>
    </w:p>
    <w:p>
      <w:pPr>
        <w:spacing w:after="0" w:line="24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The February 2021 Refinancing Transaction represented an extinguishment and modification of debt. We derecognized $2,795.6 million of the Prior Term Loan Facility and wrote off $9.4 million in unamortized debt issuance costs and debt discount associated with the portion of the Prior Term Loan Facility that was deemed extinguished. We recognized $2,300.0 million borrowed under the Term Loan Facility and $41.0 million of associated debt issuance costs and debt discount, including amounts allocated from the Prior Term Loan Facility, both classified as a direct deduction from the carrying value of non-current debt on our Consolidated Balance Sheets. We recognized $550.0 million aggregate principal amount of the 3.50% Senior Secured Notes due 2028 and $6.8 million of associated debt issuance costs, including amounts allocated from the Prior Term Loan Facility. The February 2021 Refinancing Transaction resulted in expense of $37.0 million recorded within "Debt modification and extinguishment costs" in our Consolidated Statements of Comprehensive Loss for the nine months ended September 30, 2021. The expense was comprised of the write-off of unamortized debt issuance costs and debt discount associated with the portion of the Prior Term Loan Facility that was deemed extinguished, as well as $27.6 million in third party fees associated with the modification.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contingencies that arise from various litigation, claims and commitments, none of which we consider to be material.</w:t>
      </w:r>
    </w:p>
    <w:p>
      <w:pPr>
        <w:spacing w:after="0" w:line="24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From time to time, we are a party to various claims asserting that certain of our services and technologies infringe the intellectual property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02"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198"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July 2021 Restructuring Plan</w:t>
      </w:r>
    </w:p>
    <w:p>
      <w:pPr>
        <w:spacing w:after="0" w:line="255" w:lineRule="exact"/>
        <w:rPr>
          <w:sz w:val="20"/>
          <w:szCs w:val="20"/>
          <w:color w:val="auto"/>
        </w:rPr>
      </w:pPr>
    </w:p>
    <w:p>
      <w:pPr>
        <w:ind w:right="140" w:firstLine="470"/>
        <w:spacing w:after="0" w:line="297" w:lineRule="auto"/>
        <w:rPr>
          <w:sz w:val="20"/>
          <w:szCs w:val="20"/>
          <w:color w:val="auto"/>
        </w:rPr>
      </w:pPr>
      <w:r>
        <w:rPr>
          <w:rFonts w:ascii="Arial" w:cs="Arial" w:eastAsia="Arial" w:hAnsi="Arial"/>
          <w:sz w:val="16"/>
          <w:szCs w:val="16"/>
          <w:color w:val="auto"/>
        </w:rPr>
        <w:t>On July 21, 2021, we committed to an internal restructuring plan (the "July 2021 Restructuring Plan") which will drive a change in the type and location of certain positions and is expected to result in the termination of approximately 10% of our workforce. Substantially all of the employees impacted by the reduction in workforce were notified of the reduction on July 22, 2021 and will exit the company over the next 12 months.</w:t>
      </w:r>
    </w:p>
    <w:p>
      <w:pPr>
        <w:spacing w:after="0" w:line="179" w:lineRule="exact"/>
        <w:rPr>
          <w:sz w:val="20"/>
          <w:szCs w:val="20"/>
          <w:color w:val="auto"/>
        </w:rPr>
      </w:pPr>
    </w:p>
    <w:p>
      <w:pPr>
        <w:ind w:right="100" w:firstLine="470"/>
        <w:spacing w:after="0" w:line="288" w:lineRule="auto"/>
        <w:rPr>
          <w:sz w:val="20"/>
          <w:szCs w:val="20"/>
          <w:color w:val="auto"/>
        </w:rPr>
      </w:pPr>
      <w:r>
        <w:rPr>
          <w:rFonts w:ascii="Arial" w:cs="Arial" w:eastAsia="Arial" w:hAnsi="Arial"/>
          <w:sz w:val="16"/>
          <w:szCs w:val="16"/>
          <w:color w:val="auto"/>
        </w:rPr>
        <w:t>During the three and nine months ended September 30, 2021, we incurred employee related costs, primarily consisting of one-time termination benefits and certain contractual termination benefits with executives, and other costs, which are accounted for as exit and disposal costs under ASC 420. Other costs consisted of professional fees, asset write-offs, and the impact of a contract termination with a third-party. These costs are recorded within "Selling, general and administrative expenses" in the Consolidated Statements of Comprehensive Loss, the components of which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right"/>
              <w:ind w:right="322"/>
              <w:spacing w:after="0"/>
              <w:rPr>
                <w:sz w:val="20"/>
                <w:szCs w:val="20"/>
                <w:color w:val="auto"/>
              </w:rPr>
            </w:pPr>
            <w:r>
              <w:rPr>
                <w:rFonts w:ascii="Arial" w:cs="Arial" w:eastAsia="Arial" w:hAnsi="Arial"/>
                <w:sz w:val="16"/>
                <w:szCs w:val="16"/>
                <w:b w:val="1"/>
                <w:bCs w:val="1"/>
                <w:color w:val="auto"/>
                <w:w w:val="97"/>
              </w:rPr>
              <w:t>Nine Months Ended</w:t>
            </w:r>
          </w:p>
        </w:tc>
      </w:tr>
      <w:tr>
        <w:trPr>
          <w:trHeight w:val="20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w w:val="97"/>
              </w:rPr>
              <w:t>September 30, 2021</w:t>
            </w:r>
          </w:p>
        </w:tc>
      </w:tr>
      <w:tr>
        <w:trPr>
          <w:trHeight w:val="205"/>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related costs</w:t>
            </w:r>
          </w:p>
        </w:tc>
        <w:tc>
          <w:tcPr>
            <w:tcW w:w="1780" w:type="dxa"/>
            <w:vAlign w:val="bottom"/>
            <w:shd w:val="clear" w:color="auto" w:fill="CCEEFF"/>
          </w:tcPr>
          <w:p>
            <w:pPr>
              <w:jc w:val="right"/>
              <w:ind w:right="160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6"/>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30"/>
        </w:trPr>
        <w:tc>
          <w:tcPr>
            <w:tcW w:w="6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restructuring charges</w:t>
            </w:r>
          </w:p>
        </w:tc>
        <w:tc>
          <w:tcPr>
            <w:tcW w:w="1780" w:type="dxa"/>
            <w:vAlign w:val="bottom"/>
            <w:tcBorders>
              <w:bottom w:val="single" w:sz="8" w:color="auto"/>
            </w:tcBorders>
            <w:shd w:val="clear" w:color="auto" w:fill="CCEEFF"/>
          </w:tcPr>
          <w:p>
            <w:pPr>
              <w:jc w:val="right"/>
              <w:ind w:right="16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16.1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color w:val="auto"/>
        </w:rPr>
        <w:t>A portion of the other costs are non-cash charges, representing $4.4 million and $5.4 million in the three and nine months ended September 30, 2021, respectively. These amounts are related to asset write-offs and the contract termination.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Liability activity for restructuring costs that are expected to be settled in cash are presented in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Employee Related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Other</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Total</w:t>
            </w:r>
          </w:p>
        </w:tc>
      </w:tr>
      <w:tr>
        <w:trPr>
          <w:trHeight w:val="20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as of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260" w:type="dxa"/>
            <w:vAlign w:val="bottom"/>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2"/>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6260" w:type="dxa"/>
            <w:vAlign w:val="bottom"/>
          </w:tcPr>
          <w:p>
            <w:pPr>
              <w:ind w:left="20"/>
              <w:spacing w:after="0"/>
              <w:rPr>
                <w:sz w:val="20"/>
                <w:szCs w:val="20"/>
                <w:color w:val="auto"/>
              </w:rPr>
            </w:pPr>
            <w:r>
              <w:rPr>
                <w:rFonts w:ascii="Arial" w:cs="Arial" w:eastAsia="Arial" w:hAnsi="Arial"/>
                <w:sz w:val="16"/>
                <w:szCs w:val="16"/>
                <w:color w:val="auto"/>
              </w:rPr>
              <w:t>Liability as of June 30,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12"/>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Charges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6"/>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payments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as of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19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cumulative costs incurred as of September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expected costs to be incurred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liability for employee related costs was recorded in "Accrued compensation and benefits" in the Consolidated Balance Sheets as of September 30,</w:t>
      </w:r>
    </w:p>
    <w:p>
      <w:pPr>
        <w:spacing w:after="0" w:line="37"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2021. The liabilities for other costs were recorded in "Accounts payable and accrued expenses" and "Other current liabilities" in the Consolidated Balance Sheets as of September 30,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Share-Based Compensation</w:t>
      </w:r>
    </w:p>
    <w:p>
      <w:pPr>
        <w:spacing w:after="0" w:line="255"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During the nine months ended September 30, 2021, we granted 7.3 million restricted stock units ("RSUs") under the Rackspace Technology, Inc. 2020 Equity Incentive Plan with a weighted-average grant date fair value of $18.40. The majority of the RSUs were granted as part of our annual compensation award process and vest ratably over a three-year period, subject to continued service.</w:t>
      </w:r>
    </w:p>
    <w:p>
      <w:pPr>
        <w:spacing w:after="0" w:line="198" w:lineRule="exact"/>
        <w:rPr>
          <w:sz w:val="20"/>
          <w:szCs w:val="20"/>
          <w:color w:val="auto"/>
        </w:rPr>
      </w:pPr>
    </w:p>
    <w:p>
      <w:pPr>
        <w:ind w:right="160" w:firstLine="470"/>
        <w:spacing w:after="0" w:line="267" w:lineRule="auto"/>
        <w:rPr>
          <w:sz w:val="20"/>
          <w:szCs w:val="20"/>
          <w:color w:val="auto"/>
        </w:rPr>
      </w:pPr>
      <w:r>
        <w:rPr>
          <w:rFonts w:ascii="Arial" w:cs="Arial" w:eastAsia="Arial" w:hAnsi="Arial"/>
          <w:sz w:val="17"/>
          <w:szCs w:val="17"/>
          <w:color w:val="auto"/>
        </w:rPr>
        <w:t>Additionally, we have granted certain awards with vesting dependent upon the attainment of predetermined financial performance results over the next three years. The performance metric that will determine vesting of these awards is Non-GAAP Operating Profit (as defined in the applicable award agreement) measured over a trailing four-quarter period. Share-based compensation expense is recognized when it is probable that the performance condition will be achieved.</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Share-based compensation expense recognized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20" w:type="dxa"/>
            <w:vAlign w:val="bottom"/>
            <w:tcBorders>
              <w:bottom w:val="single" w:sz="8" w:color="auto"/>
            </w:tcBorders>
          </w:tcPr>
          <w:p>
            <w:pPr>
              <w:spacing w:after="0"/>
              <w:rPr>
                <w:sz w:val="17"/>
                <w:szCs w:val="17"/>
                <w:color w:val="auto"/>
              </w:rPr>
            </w:pP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13.2</w:t>
            </w:r>
          </w:p>
        </w:tc>
      </w:tr>
      <w:tr>
        <w:trPr>
          <w:trHeight w:val="20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15.1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43.5</w:t>
            </w:r>
          </w:p>
        </w:tc>
      </w:tr>
      <w:tr>
        <w:trPr>
          <w:trHeight w:val="205"/>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Pre-tax share-based compensation expense</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19.1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56.7</w:t>
            </w:r>
          </w:p>
        </w:tc>
      </w:tr>
      <w:tr>
        <w:trPr>
          <w:trHeight w:val="206"/>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Income tax benefit</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(11.9)</w:t>
            </w:r>
          </w:p>
        </w:tc>
      </w:tr>
      <w:tr>
        <w:trPr>
          <w:trHeight w:val="230"/>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share-based compensation expense, net of tax</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45"/>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15.1</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44.8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September 30, 2021, there was $137.0 million of total unrecognized compensation cost related to stock options, RSUs, and the ESPP, which will be recognized using the straight-line method over a weighted average period of 2.2 years.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Taxes</w:t>
      </w:r>
    </w:p>
    <w:p>
      <w:pPr>
        <w:spacing w:after="0" w:line="229"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ending September 30, 2021, we had a release of historic tax reserves that resulted in a tax benefit of $13.4 million, due to the lapse of statute of limitations. For the three months ended September 30, 2021, our effective tax rate is higher than the U.S. federal statutory rate of 21% due to the net impact of the geographic distribution of our earnings, which included the release of the aforementioned historic tax reserves, and application of the global intangible low-taxed income (“GILTI”) provisions that were implemented with the Tax Cuts and Jobs Act (the “Act”) that was passed on December 22, 2017. For the nine months ended September 30, 2021, our effective tax rate is higher than the U.S. federal statutory rate due to the net impact of the geographical distribution of our earnings, which included the release of the aforementioned historic tax reserves, and tax effects from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Derivatives</w:t>
      </w:r>
    </w:p>
    <w:p>
      <w:pPr>
        <w:spacing w:after="0" w:line="255" w:lineRule="exact"/>
        <w:rPr>
          <w:sz w:val="20"/>
          <w:szCs w:val="20"/>
          <w:color w:val="auto"/>
        </w:rPr>
      </w:pPr>
    </w:p>
    <w:p>
      <w:pPr>
        <w:ind w:right="60" w:firstLine="470"/>
        <w:spacing w:after="0" w:line="297" w:lineRule="auto"/>
        <w:rPr>
          <w:sz w:val="20"/>
          <w:szCs w:val="20"/>
          <w:color w:val="auto"/>
        </w:rPr>
      </w:pPr>
      <w:r>
        <w:rPr>
          <w:rFonts w:ascii="Arial" w:cs="Arial" w:eastAsia="Arial" w:hAnsi="Arial"/>
          <w:sz w:val="16"/>
          <w:szCs w:val="16"/>
          <w:color w:val="auto"/>
        </w:rPr>
        <w:t>We utilize derivative instruments, including interest rate swap agreements and foreign currency hedging contracts, to manage our exposure to interest rate risk and foreign currency fluctuations.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Swaps</w:t>
      </w:r>
    </w:p>
    <w:p>
      <w:pPr>
        <w:spacing w:after="0" w:line="249"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We are exposed to interest rate risk associated with fluctuations in interest rates on the floating-rate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02" w:lineRule="exact"/>
        <w:rPr>
          <w:sz w:val="20"/>
          <w:szCs w:val="20"/>
          <w:color w:val="auto"/>
        </w:rPr>
      </w:pPr>
    </w:p>
    <w:p>
      <w:pPr>
        <w:ind w:right="200" w:firstLine="470"/>
        <w:spacing w:after="0" w:line="288" w:lineRule="auto"/>
        <w:rPr>
          <w:sz w:val="20"/>
          <w:szCs w:val="20"/>
          <w:color w:val="auto"/>
        </w:rPr>
      </w:pPr>
      <w:r>
        <w:rPr>
          <w:rFonts w:ascii="Arial" w:cs="Arial" w:eastAsia="Arial" w:hAnsi="Arial"/>
          <w:sz w:val="17"/>
          <w:szCs w:val="17"/>
          <w:color w:val="auto"/>
        </w:rPr>
        <w:t>On a quarterly basis, we net settle with the counterparty for the difference between the fixed rate specified in each swap agreement and the variable rate based upon the three-month LIBOR as applied to the notional amount of the swap.</w:t>
      </w:r>
    </w:p>
    <w:p>
      <w:pPr>
        <w:spacing w:after="0" w:line="184" w:lineRule="exact"/>
        <w:rPr>
          <w:sz w:val="20"/>
          <w:szCs w:val="20"/>
          <w:color w:val="auto"/>
        </w:rPr>
      </w:pPr>
    </w:p>
    <w:p>
      <w:pPr>
        <w:ind w:right="220" w:firstLine="470"/>
        <w:spacing w:after="0" w:line="261" w:lineRule="auto"/>
        <w:rPr>
          <w:sz w:val="20"/>
          <w:szCs w:val="20"/>
          <w:color w:val="auto"/>
        </w:rPr>
      </w:pPr>
      <w:r>
        <w:rPr>
          <w:rFonts w:ascii="Arial" w:cs="Arial" w:eastAsia="Arial" w:hAnsi="Arial"/>
          <w:sz w:val="17"/>
          <w:szCs w:val="17"/>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(loss)" in the Consolidated Balance Sheets and reclassified to "Interest expense" in the period when the underlying transaction affects earnings. The income tax effects of cash flow hedges are released from "Accumulated other comprehensive income (loss)" in the period when the underlying transaction affects earnings. Any stranded income tax effects are released from “Accumulated other comprehensive income (loss)” into “Benefit (provision) for income taxes” under the portfolio approach. As of December 31, 2020, all of our cash flow hedges were highly effective.</w:t>
      </w:r>
    </w:p>
    <w:p>
      <w:pPr>
        <w:spacing w:after="0" w:line="207"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During the nine months ended September 30, 2021, we completed a series of transactions to modify our interest rate swap positions as follows: (i) All the interest rate swaps outstanding as of December 31, 2020, as shown in the table below, with the exception of the agreement that matured on February 3, 2021, were de-designated as cash flow hedges on January 31, 2021, (ii) on February 12, 2021, we entered into a $900.0 million receive-fixed interest rate swap which was designed to offset the terms of the remaining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05"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The amount remaining in “Accumulated other comprehensive income (loss)" for the de-designated December 2016 and December 2018 swaps at the de-designation date was approximately $51.6 million, and will be amortized as an increase to "Interest expense" over the effective period of the original swap agreements.</w:t>
      </w:r>
    </w:p>
    <w:p>
      <w:pPr>
        <w:spacing w:after="0" w:line="198" w:lineRule="exact"/>
        <w:rPr>
          <w:sz w:val="20"/>
          <w:szCs w:val="20"/>
          <w:color w:val="auto"/>
        </w:rPr>
      </w:pPr>
    </w:p>
    <w:p>
      <w:pPr>
        <w:ind w:right="60" w:firstLine="470"/>
        <w:spacing w:after="0" w:line="288" w:lineRule="auto"/>
        <w:rPr>
          <w:sz w:val="20"/>
          <w:szCs w:val="20"/>
          <w:color w:val="auto"/>
        </w:rPr>
      </w:pPr>
      <w:r>
        <w:rPr>
          <w:rFonts w:ascii="Arial" w:cs="Arial" w:eastAsia="Arial" w:hAnsi="Arial"/>
          <w:sz w:val="16"/>
          <w:szCs w:val="16"/>
          <w:color w:val="auto"/>
        </w:rPr>
        <w:t xml:space="preserve">The new receive-fixed interest rate swap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derivative for which the fair value option has been elected. This $900.0 million swap will remain undesignated to economically offset the now undesignated December 2016 swaps. This new swap and the December 2016 swaps mature on February 3, 2022. Cash settlements related to this receive-fixed interest rate swap will offset and are classified as operating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40" w:firstLine="470"/>
        <w:spacing w:after="0" w:line="279" w:lineRule="auto"/>
        <w:rPr>
          <w:sz w:val="20"/>
          <w:szCs w:val="20"/>
          <w:color w:val="auto"/>
        </w:rPr>
      </w:pPr>
      <w:r>
        <w:rPr>
          <w:rFonts w:ascii="Arial" w:cs="Arial" w:eastAsia="Arial" w:hAnsi="Arial"/>
          <w:sz w:val="16"/>
          <w:szCs w:val="16"/>
          <w:color w:val="auto"/>
        </w:rPr>
        <w:t xml:space="preserve">The new pay-fixed interest rate swap also qualifies as a hybrid instrument in accordance with ASC No.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consisting of a loan and an embedded at-market derivative that was designated as a cash flow hedge. The loan is accounted for at amortized cost over the life of the swap while the embedded at-market derivative is accounted for at fair value. This new $1.35 billion swap is indexed to three-month LIBOR and will be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Consolidated Statements of Cash Flows while the portion treated as an at-market derivative will be classified as operating activities.</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the cash flow hedge was highly effective.</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key terms of interest rate swaps outstanding are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87"/>
              </w:rPr>
              <w:t>December 31, 2020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8"/>
              </w:rPr>
              <w:t>Effective Date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b w:val="1"/>
                <w:bCs w:val="1"/>
                <w:color w:val="auto"/>
                <w:w w:val="88"/>
              </w:rPr>
              <w:t>Fixed Rate Paid</w:t>
            </w:r>
          </w:p>
        </w:tc>
        <w:tc>
          <w:tcPr>
            <w:tcW w:w="100" w:type="dxa"/>
            <w:vAlign w:val="bottom"/>
          </w:tcPr>
          <w:p>
            <w:pPr>
              <w:spacing w:after="0"/>
              <w:rPr>
                <w:sz w:val="13"/>
                <w:szCs w:val="13"/>
                <w:color w:val="auto"/>
              </w:rPr>
            </w:pPr>
          </w:p>
        </w:tc>
        <w:tc>
          <w:tcPr>
            <w:tcW w:w="1980" w:type="dxa"/>
            <w:vAlign w:val="bottom"/>
            <w:gridSpan w:val="3"/>
          </w:tcPr>
          <w:p>
            <w:pPr>
              <w:jc w:val="center"/>
              <w:ind w:right="580"/>
              <w:spacing w:after="0" w:line="156" w:lineRule="exact"/>
              <w:rPr>
                <w:sz w:val="20"/>
                <w:szCs w:val="20"/>
                <w:color w:val="auto"/>
              </w:rPr>
            </w:pPr>
            <w:r>
              <w:rPr>
                <w:rFonts w:ascii="Arial" w:cs="Arial" w:eastAsia="Arial" w:hAnsi="Arial"/>
                <w:sz w:val="16"/>
                <w:szCs w:val="16"/>
                <w:b w:val="1"/>
                <w:bCs w:val="1"/>
                <w:color w:val="auto"/>
                <w:w w:val="91"/>
              </w:rPr>
              <w:t>Notional Amount (in</w:t>
            </w: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85"/>
              </w:rPr>
              <w:t>Status</w:t>
            </w:r>
          </w:p>
        </w:tc>
        <w:tc>
          <w:tcPr>
            <w:tcW w:w="100" w:type="dxa"/>
            <w:vAlign w:val="bottom"/>
          </w:tcPr>
          <w:p>
            <w:pPr>
              <w:spacing w:after="0"/>
              <w:rPr>
                <w:sz w:val="13"/>
                <w:szCs w:val="13"/>
                <w:color w:val="auto"/>
              </w:rPr>
            </w:pPr>
          </w:p>
        </w:tc>
        <w:tc>
          <w:tcPr>
            <w:tcW w:w="1480" w:type="dxa"/>
            <w:vAlign w:val="bottom"/>
          </w:tcPr>
          <w:p>
            <w:pPr>
              <w:jc w:val="right"/>
              <w:ind w:right="22"/>
              <w:spacing w:after="0" w:line="156" w:lineRule="exact"/>
              <w:rPr>
                <w:sz w:val="20"/>
                <w:szCs w:val="20"/>
                <w:color w:val="auto"/>
              </w:rPr>
            </w:pPr>
            <w:r>
              <w:rPr>
                <w:rFonts w:ascii="Arial" w:cs="Arial" w:eastAsia="Arial" w:hAnsi="Arial"/>
                <w:sz w:val="16"/>
                <w:szCs w:val="16"/>
                <w:b w:val="1"/>
                <w:bCs w:val="1"/>
                <w:color w:val="auto"/>
                <w:w w:val="88"/>
              </w:rPr>
              <w:t>Notional Amount (in</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5"/>
              </w:rPr>
              <w:t>Status</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0" w:type="dxa"/>
            <w:vAlign w:val="bottom"/>
          </w:tcPr>
          <w:p>
            <w:pPr>
              <w:spacing w:after="0"/>
              <w:rPr>
                <w:sz w:val="1"/>
                <w:szCs w:val="1"/>
                <w:color w:val="auto"/>
              </w:rPr>
            </w:pPr>
          </w:p>
        </w:tc>
      </w:tr>
      <w:tr>
        <w:trPr>
          <w:trHeight w:val="206"/>
        </w:trPr>
        <w:tc>
          <w:tcPr>
            <w:tcW w:w="222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(Received)</w:t>
            </w:r>
          </w:p>
        </w:tc>
        <w:tc>
          <w:tcPr>
            <w:tcW w:w="100" w:type="dxa"/>
            <w:vAlign w:val="bottom"/>
          </w:tcPr>
          <w:p>
            <w:pPr>
              <w:spacing w:after="0"/>
              <w:rPr>
                <w:sz w:val="17"/>
                <w:szCs w:val="17"/>
                <w:color w:val="auto"/>
              </w:rPr>
            </w:pPr>
          </w:p>
        </w:tc>
        <w:tc>
          <w:tcPr>
            <w:tcW w:w="19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88"/>
              </w:rPr>
              <w:t>millions)</w:t>
            </w: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422"/>
              <w:spacing w:after="0"/>
              <w:rPr>
                <w:sz w:val="20"/>
                <w:szCs w:val="20"/>
                <w:color w:val="auto"/>
              </w:rPr>
            </w:pPr>
            <w:r>
              <w:rPr>
                <w:rFonts w:ascii="Arial" w:cs="Arial" w:eastAsia="Arial" w:hAnsi="Arial"/>
                <w:sz w:val="16"/>
                <w:szCs w:val="16"/>
                <w:b w:val="1"/>
                <w:bCs w:val="1"/>
                <w:color w:val="auto"/>
              </w:rPr>
              <w:t>millions)</w:t>
            </w: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8"/>
              </w:rPr>
              <w:t>Entered into December 2016:</w:t>
            </w: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2017</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1.7625%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Matured</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February 3, 2021</w:t>
            </w: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2017</w:t>
            </w:r>
          </w:p>
        </w:tc>
        <w:tc>
          <w:tcPr>
            <w:tcW w:w="1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2017</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8"/>
              </w:rPr>
              <w:t>Entered into December 2018:</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2019</w:t>
            </w:r>
          </w:p>
        </w:tc>
        <w:tc>
          <w:tcPr>
            <w:tcW w:w="1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2.7490%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2020</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2.7350%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212"/>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2021</w:t>
            </w:r>
          </w:p>
        </w:tc>
        <w:tc>
          <w:tcPr>
            <w:tcW w:w="118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2.7360%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6"/>
              </w:rPr>
              <w:t>Terminated</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3, 2022</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2.7800%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Active</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Terminated</w:t>
            </w: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November 3, 2023</w:t>
            </w:r>
          </w:p>
        </w:tc>
        <w:tc>
          <w:tcPr>
            <w:tcW w:w="0" w:type="dxa"/>
            <w:vAlign w:val="bottom"/>
          </w:tcPr>
          <w:p>
            <w:pPr>
              <w:spacing w:after="0"/>
              <w:rPr>
                <w:sz w:val="1"/>
                <w:szCs w:val="1"/>
                <w:color w:val="auto"/>
              </w:rPr>
            </w:pPr>
          </w:p>
        </w:tc>
      </w:tr>
      <w:tr>
        <w:trPr>
          <w:trHeight w:val="147"/>
        </w:trPr>
        <w:tc>
          <w:tcPr>
            <w:tcW w:w="2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2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Entered into February 2021:</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3, 2021</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Active</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February 9, 2021</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2.3820%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center"/>
              <w:ind w:right="50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Active</w:t>
            </w:r>
          </w:p>
        </w:tc>
        <w:tc>
          <w:tcPr>
            <w:tcW w:w="1780" w:type="dxa"/>
            <w:vAlign w:val="bottom"/>
          </w:tcPr>
          <w:p>
            <w:pPr>
              <w:jc w:val="center"/>
              <w:spacing w:after="0"/>
              <w:rPr>
                <w:sz w:val="20"/>
                <w:szCs w:val="20"/>
                <w:color w:val="auto"/>
              </w:rPr>
            </w:pPr>
            <w:r>
              <w:rPr>
                <w:rFonts w:ascii="Arial" w:cs="Arial" w:eastAsia="Arial" w:hAnsi="Arial"/>
                <w:sz w:val="16"/>
                <w:szCs w:val="16"/>
                <w:color w:val="auto"/>
                <w:w w:val="88"/>
              </w:rPr>
              <w:t>February 9, 2026</w:t>
            </w:r>
          </w:p>
        </w:tc>
        <w:tc>
          <w:tcPr>
            <w:tcW w:w="0" w:type="dxa"/>
            <w:vAlign w:val="bottom"/>
          </w:tcPr>
          <w:p>
            <w:pPr>
              <w:spacing w:after="0"/>
              <w:rPr>
                <w:sz w:val="1"/>
                <w:szCs w:val="1"/>
                <w:color w:val="auto"/>
              </w:rPr>
            </w:pPr>
          </w:p>
        </w:tc>
      </w:tr>
      <w:tr>
        <w:trPr>
          <w:trHeight w:val="230"/>
        </w:trPr>
        <w:tc>
          <w:tcPr>
            <w:tcW w:w="222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Total</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220" w:firstLine="470"/>
        <w:spacing w:after="0" w:line="358" w:lineRule="auto"/>
        <w:rPr>
          <w:sz w:val="20"/>
          <w:szCs w:val="20"/>
          <w:color w:val="auto"/>
        </w:rPr>
      </w:pPr>
      <w:r>
        <w:rPr>
          <w:rFonts w:ascii="Arial" w:cs="Arial" w:eastAsia="Arial" w:hAnsi="Arial"/>
          <w:sz w:val="15"/>
          <w:szCs w:val="15"/>
          <w:color w:val="auto"/>
        </w:rPr>
        <w:t>Our interest rate swap agreements, excluding the portion treated as debt, are recognized at fair value in the Consolidated Balance Sheets and are valued using pricing models that rely on market observable inputs such as yield curve data, which are classified as Level 2 inputs within the fair value hierarchy.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Hedging Contracts</w:t>
      </w:r>
    </w:p>
    <w:p>
      <w:pPr>
        <w:spacing w:after="0" w:line="249" w:lineRule="exact"/>
        <w:rPr>
          <w:sz w:val="20"/>
          <w:szCs w:val="20"/>
          <w:color w:val="auto"/>
        </w:rPr>
      </w:pPr>
    </w:p>
    <w:p>
      <w:pPr>
        <w:ind w:firstLine="470"/>
        <w:spacing w:after="0" w:line="261" w:lineRule="auto"/>
        <w:rPr>
          <w:sz w:val="20"/>
          <w:szCs w:val="20"/>
          <w:color w:val="auto"/>
        </w:rPr>
      </w:pPr>
      <w:r>
        <w:rPr>
          <w:rFonts w:ascii="Arial" w:cs="Arial" w:eastAsia="Arial" w:hAnsi="Arial"/>
          <w:sz w:val="17"/>
          <w:szCs w:val="17"/>
          <w:color w:val="auto"/>
        </w:rPr>
        <w:t>The majority of our customers are invoiced, and the majority of our expenses are paid, by us or our subsidiaries in the functional currency of our company or our subsidiaries, respectively.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The objective of our foreign currency hedging contracts is to manage our exposure to foreign currency movements. To accomplish this objective, we may enter into foreign currency forward contracts and collars. A forward contract is an agreement to buy or sell a quantity of a currency at a predetermined future date and at a predetermined exchange rate. A collar is a strategy that uses a combination of a purchased put option and a sold call option with equal premiums to hedge a portion of anticipated cash flows, or to limit possible gains or losses on an underlying asset or liability to a specific range. The put and call options have identical notional amounts and settlement dates.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188" w:lineRule="exact"/>
        <w:rPr>
          <w:sz w:val="20"/>
          <w:szCs w:val="20"/>
          <w:color w:val="auto"/>
        </w:rPr>
      </w:pPr>
    </w:p>
    <w:p>
      <w:pPr>
        <w:ind w:right="340" w:firstLine="470"/>
        <w:spacing w:after="0" w:line="267"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settlement dates throughout the year. The June 30, 2020 and September 30, 2020 settlement dates resulted in us making final net payments of $1.7 million and $1.6 million, respectively. As of December 31, 2020, there was no notional amount outstanding related to these contracts.</w:t>
      </w:r>
    </w:p>
    <w:p>
      <w:pPr>
        <w:spacing w:after="0" w:line="202" w:lineRule="exact"/>
        <w:rPr>
          <w:sz w:val="20"/>
          <w:szCs w:val="20"/>
          <w:color w:val="auto"/>
        </w:rPr>
      </w:pPr>
    </w:p>
    <w:p>
      <w:pPr>
        <w:jc w:val="both"/>
        <w:ind w:right="40" w:firstLine="470"/>
        <w:spacing w:after="0" w:line="288" w:lineRule="auto"/>
        <w:rPr>
          <w:sz w:val="20"/>
          <w:szCs w:val="20"/>
          <w:color w:val="auto"/>
        </w:rPr>
      </w:pPr>
      <w:r>
        <w:rPr>
          <w:rFonts w:ascii="Arial" w:cs="Arial" w:eastAsia="Arial" w:hAnsi="Arial"/>
          <w:sz w:val="17"/>
          <w:szCs w:val="17"/>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84" w:lineRule="exact"/>
        <w:rPr>
          <w:sz w:val="20"/>
          <w:szCs w:val="20"/>
          <w:color w:val="auto"/>
        </w:rPr>
      </w:pPr>
    </w:p>
    <w:p>
      <w:pPr>
        <w:jc w:val="both"/>
        <w:ind w:right="40" w:firstLine="470"/>
        <w:spacing w:after="0" w:line="272" w:lineRule="auto"/>
        <w:rPr>
          <w:sz w:val="20"/>
          <w:szCs w:val="20"/>
          <w:color w:val="auto"/>
        </w:rPr>
      </w:pPr>
      <w:r>
        <w:rPr>
          <w:rFonts w:ascii="Arial" w:cs="Arial" w:eastAsia="Arial" w:hAnsi="Arial"/>
          <w:sz w:val="17"/>
          <w:szCs w:val="17"/>
          <w:color w:val="auto"/>
        </w:rPr>
        <w:t>These contracts are recognized at fair value in the Consolidated Balance Sheets and are valued using pricing models that rely on market observable inputs such as current exchange rates, which are classified as Level 2 inputs within the fair value hierarchy. We have not designated these contracts as cash flow hedges for accounting purposes, therefore, all changes in fair value are recorded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Values of Derivatives on the Consolidated Balance Sheets</w:t>
      </w:r>
    </w:p>
    <w:p>
      <w:pPr>
        <w:spacing w:after="0" w:line="249"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color w:val="auto"/>
        </w:rPr>
        <w:t>The fair values of our derivatives and their location on the Consolidated Balance Sheets as of December 31, 2020 and September 30, 2021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64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200"/>
        </w:trPr>
        <w:tc>
          <w:tcPr>
            <w:tcW w:w="2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5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200" w:type="dxa"/>
            <w:vAlign w:val="bottom"/>
          </w:tcPr>
          <w:p>
            <w:pPr>
              <w:jc w:val="right"/>
              <w:ind w:right="302"/>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86"/>
              </w:rPr>
              <w:t>Derivatives not designated as hedging</w:t>
            </w:r>
          </w:p>
        </w:tc>
        <w:tc>
          <w:tcPr>
            <w:tcW w:w="2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Location</w:t>
            </w:r>
          </w:p>
        </w:tc>
        <w:tc>
          <w:tcPr>
            <w:tcW w:w="10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5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shd w:val="clear" w:color="auto" w:fill="CCEEFF"/>
          </w:tcPr>
          <w:p>
            <w:pPr>
              <w:ind w:left="40"/>
              <w:spacing w:after="0" w:line="212" w:lineRule="exact"/>
              <w:rPr>
                <w:sz w:val="20"/>
                <w:szCs w:val="20"/>
                <w:color w:val="auto"/>
              </w:rPr>
            </w:pPr>
            <w:r>
              <w:rPr>
                <w:rFonts w:ascii="Arial" w:cs="Arial" w:eastAsia="Arial" w:hAnsi="Arial"/>
                <w:sz w:val="16"/>
                <w:szCs w:val="16"/>
                <w:color w:val="auto"/>
              </w:rPr>
              <w:t xml:space="preserve">Other current assets </w:t>
            </w:r>
            <w:r>
              <w:rPr>
                <w:rFonts w:ascii="Arial" w:cs="Arial" w:eastAsia="Arial" w:hAnsi="Arial"/>
                <w:sz w:val="20"/>
                <w:szCs w:val="20"/>
                <w:color w:val="auto"/>
                <w:vertAlign w:val="superscript"/>
              </w:rPr>
              <w:t>(1)</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108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0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2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liabilities</w:t>
            </w:r>
          </w:p>
        </w:tc>
        <w:tc>
          <w:tcPr>
            <w:tcW w:w="1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5"/>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5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56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w w:val="95"/>
              </w:rPr>
              <w:t>Derivatives designated as hedging</w:t>
            </w:r>
          </w:p>
        </w:tc>
        <w:tc>
          <w:tcPr>
            <w:tcW w:w="256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Location</w:t>
            </w: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256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shd w:val="clear" w:color="auto" w:fill="CCEEFF"/>
          </w:tcPr>
          <w:p>
            <w:pPr>
              <w:ind w:left="40"/>
              <w:spacing w:after="0" w:line="212" w:lineRule="exact"/>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0"/>
                <w:szCs w:val="20"/>
                <w:color w:val="auto"/>
                <w:vertAlign w:val="superscript"/>
              </w:rPr>
              <w:t>(2)</w:t>
            </w:r>
          </w:p>
        </w:tc>
        <w:tc>
          <w:tcPr>
            <w:tcW w:w="10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22.6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2560" w:type="dxa"/>
            <w:vAlign w:val="bottom"/>
            <w:tcBorders>
              <w:bottom w:val="single" w:sz="8" w:color="CCEEFF"/>
            </w:tcBorders>
          </w:tcPr>
          <w:p>
            <w:pPr>
              <w:ind w:left="40"/>
              <w:spacing w:after="0" w:line="209" w:lineRule="exact"/>
              <w:rPr>
                <w:sz w:val="20"/>
                <w:szCs w:val="20"/>
                <w:color w:val="auto"/>
              </w:rPr>
            </w:pPr>
            <w:r>
              <w:rPr>
                <w:rFonts w:ascii="Arial" w:cs="Arial" w:eastAsia="Arial" w:hAnsi="Arial"/>
                <w:sz w:val="16"/>
                <w:szCs w:val="16"/>
                <w:color w:val="auto"/>
              </w:rPr>
              <w:t xml:space="preserve">Other non-current liabilities </w:t>
            </w:r>
            <w:r>
              <w:rPr>
                <w:rFonts w:ascii="Arial" w:cs="Arial" w:eastAsia="Arial" w:hAnsi="Arial"/>
                <w:sz w:val="20"/>
                <w:szCs w:val="20"/>
                <w:color w:val="auto"/>
                <w:vertAlign w:val="superscript"/>
              </w:rPr>
              <w:t>(3)</w:t>
            </w: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64.4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22"/>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340" w:hanging="335"/>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September 30, 2021 is comprised of the receive-fixed interest rate swap for which the fair value option has been elected.</w:t>
      </w:r>
    </w:p>
    <w:p>
      <w:pPr>
        <w:spacing w:after="0" w:line="12" w:lineRule="exact"/>
        <w:rPr>
          <w:rFonts w:ascii="Arial" w:cs="Arial" w:eastAsia="Arial" w:hAnsi="Arial"/>
          <w:sz w:val="16"/>
          <w:szCs w:val="16"/>
          <w:color w:val="auto"/>
        </w:rPr>
      </w:pPr>
    </w:p>
    <w:p>
      <w:pPr>
        <w:ind w:left="340" w:hanging="335"/>
        <w:spacing w:after="0" w:line="238"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as of September 30, 2021 includes $17.2 million related to the financing component of the pay-fixed interest rate swap.</w:t>
      </w:r>
    </w:p>
    <w:p>
      <w:pPr>
        <w:ind w:left="340" w:hanging="335"/>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entire balance as of September 30, 2021 is comprised of the financing component of the pay-fixed interest rate swap.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hanging="105"/>
        <w:spacing w:after="0"/>
        <w:tabs>
          <w:tab w:leader="none" w:pos="5540" w:val="left"/>
        </w:tabs>
        <w:numPr>
          <w:ilvl w:val="1"/>
          <w:numId w:val="3"/>
        </w:numPr>
        <w:rPr>
          <w:rFonts w:ascii="Arial" w:cs="Arial" w:eastAsia="Arial" w:hAnsi="Arial"/>
          <w:sz w:val="17"/>
          <w:szCs w:val="17"/>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480" w:firstLine="627"/>
        <w:spacing w:after="0" w:line="288" w:lineRule="auto"/>
        <w:rPr>
          <w:sz w:val="20"/>
          <w:szCs w:val="20"/>
          <w:color w:val="auto"/>
        </w:rPr>
      </w:pPr>
      <w:r>
        <w:rPr>
          <w:rFonts w:ascii="Arial" w:cs="Arial" w:eastAsia="Arial" w:hAnsi="Arial"/>
          <w:sz w:val="17"/>
          <w:szCs w:val="17"/>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December 31,</w:t>
            </w: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16"/>
                <w:szCs w:val="16"/>
                <w:b w:val="1"/>
                <w:bCs w:val="1"/>
                <w:color w:val="auto"/>
                <w:w w:val="86"/>
              </w:rPr>
              <w:t>September 30, 2021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6"/>
                <w:szCs w:val="16"/>
                <w:b w:val="1"/>
                <w:bCs w:val="1"/>
                <w:color w:val="auto"/>
                <w:w w:val="86"/>
              </w:rPr>
              <w:t>Gross Amounts</w:t>
            </w:r>
          </w:p>
        </w:tc>
        <w:tc>
          <w:tcPr>
            <w:tcW w:w="100" w:type="dxa"/>
            <w:vAlign w:val="bottom"/>
          </w:tcPr>
          <w:p>
            <w:pPr>
              <w:spacing w:after="0"/>
              <w:rPr>
                <w:sz w:val="13"/>
                <w:szCs w:val="13"/>
                <w:color w:val="auto"/>
              </w:rPr>
            </w:pPr>
          </w:p>
        </w:tc>
        <w:tc>
          <w:tcPr>
            <w:tcW w:w="860" w:type="dxa"/>
            <w:vAlign w:val="bottom"/>
          </w:tcPr>
          <w:p>
            <w:pPr>
              <w:jc w:val="center"/>
              <w:ind w:left="162"/>
              <w:spacing w:after="0" w:line="153" w:lineRule="exact"/>
              <w:rPr>
                <w:sz w:val="20"/>
                <w:szCs w:val="20"/>
                <w:color w:val="auto"/>
              </w:rPr>
            </w:pPr>
            <w:r>
              <w:rPr>
                <w:rFonts w:ascii="Arial" w:cs="Arial" w:eastAsia="Arial" w:hAnsi="Arial"/>
                <w:sz w:val="16"/>
                <w:szCs w:val="16"/>
                <w:b w:val="1"/>
                <w:bCs w:val="1"/>
                <w:color w:val="auto"/>
                <w:w w:val="90"/>
              </w:rPr>
              <w:t>Effect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6"/>
                <w:szCs w:val="16"/>
                <w:b w:val="1"/>
                <w:bCs w:val="1"/>
                <w:color w:val="auto"/>
                <w:w w:val="86"/>
              </w:rPr>
              <w:t>Gross Amounts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6"/>
                <w:szCs w:val="16"/>
                <w:b w:val="1"/>
                <w:bCs w:val="1"/>
                <w:color w:val="auto"/>
                <w:w w:val="87"/>
              </w:rPr>
              <w:t>Effect of</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2"/>
              <w:spacing w:after="0" w:line="157" w:lineRule="exact"/>
              <w:rPr>
                <w:sz w:val="20"/>
                <w:szCs w:val="20"/>
                <w:color w:val="auto"/>
              </w:rPr>
            </w:pPr>
            <w:r>
              <w:rPr>
                <w:rFonts w:ascii="Arial" w:cs="Arial" w:eastAsia="Arial" w:hAnsi="Arial"/>
                <w:sz w:val="16"/>
                <w:szCs w:val="16"/>
                <w:b w:val="1"/>
                <w:bCs w:val="1"/>
                <w:color w:val="auto"/>
                <w:w w:val="88"/>
              </w:rPr>
              <w:t>on Balance</w:t>
            </w: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7" w:lineRule="exact"/>
              <w:rPr>
                <w:sz w:val="20"/>
                <w:szCs w:val="20"/>
                <w:color w:val="auto"/>
              </w:rPr>
            </w:pPr>
            <w:r>
              <w:rPr>
                <w:rFonts w:ascii="Arial" w:cs="Arial" w:eastAsia="Arial" w:hAnsi="Arial"/>
                <w:sz w:val="16"/>
                <w:szCs w:val="16"/>
                <w:b w:val="1"/>
                <w:bCs w:val="1"/>
                <w:color w:val="auto"/>
                <w:w w:val="91"/>
              </w:rPr>
              <w:t>Counter-Party</w:t>
            </w:r>
          </w:p>
        </w:tc>
        <w:tc>
          <w:tcPr>
            <w:tcW w:w="100" w:type="dxa"/>
            <w:vAlign w:val="bottom"/>
          </w:tcPr>
          <w:p>
            <w:pPr>
              <w:spacing w:after="0"/>
              <w:rPr>
                <w:sz w:val="13"/>
                <w:szCs w:val="13"/>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Amounts</w:t>
            </w:r>
          </w:p>
        </w:tc>
        <w:tc>
          <w:tcPr>
            <w:tcW w:w="140" w:type="dxa"/>
            <w:vAlign w:val="bottom"/>
          </w:tcPr>
          <w:p>
            <w:pPr>
              <w:spacing w:after="0"/>
              <w:rPr>
                <w:sz w:val="13"/>
                <w:szCs w:val="13"/>
                <w:color w:val="auto"/>
              </w:rPr>
            </w:pPr>
          </w:p>
        </w:tc>
        <w:tc>
          <w:tcPr>
            <w:tcW w:w="960" w:type="dxa"/>
            <w:vAlign w:val="bottom"/>
          </w:tcPr>
          <w:p>
            <w:pPr>
              <w:jc w:val="right"/>
              <w:ind w:right="102"/>
              <w:spacing w:after="0" w:line="157" w:lineRule="exact"/>
              <w:rPr>
                <w:sz w:val="20"/>
                <w:szCs w:val="20"/>
                <w:color w:val="auto"/>
              </w:rPr>
            </w:pPr>
            <w:r>
              <w:rPr>
                <w:rFonts w:ascii="Arial" w:cs="Arial" w:eastAsia="Arial" w:hAnsi="Arial"/>
                <w:sz w:val="16"/>
                <w:szCs w:val="16"/>
                <w:b w:val="1"/>
                <w:bCs w:val="1"/>
                <w:color w:val="auto"/>
                <w:w w:val="88"/>
              </w:rPr>
              <w:t>on Balance</w:t>
            </w:r>
          </w:p>
        </w:tc>
        <w:tc>
          <w:tcPr>
            <w:tcW w:w="100" w:type="dxa"/>
            <w:vAlign w:val="bottom"/>
          </w:tcPr>
          <w:p>
            <w:pPr>
              <w:spacing w:after="0"/>
              <w:rPr>
                <w:sz w:val="13"/>
                <w:szCs w:val="13"/>
                <w:color w:val="auto"/>
              </w:rPr>
            </w:pPr>
          </w:p>
        </w:tc>
        <w:tc>
          <w:tcPr>
            <w:tcW w:w="1180" w:type="dxa"/>
            <w:vAlign w:val="bottom"/>
            <w:gridSpan w:val="3"/>
          </w:tcPr>
          <w:p>
            <w:pPr>
              <w:jc w:val="center"/>
              <w:ind w:right="100"/>
              <w:spacing w:after="0" w:line="157" w:lineRule="exact"/>
              <w:rPr>
                <w:sz w:val="20"/>
                <w:szCs w:val="20"/>
                <w:color w:val="auto"/>
              </w:rPr>
            </w:pPr>
            <w:r>
              <w:rPr>
                <w:rFonts w:ascii="Arial" w:cs="Arial" w:eastAsia="Arial" w:hAnsi="Arial"/>
                <w:sz w:val="16"/>
                <w:szCs w:val="16"/>
                <w:b w:val="1"/>
                <w:bCs w:val="1"/>
                <w:color w:val="auto"/>
                <w:w w:val="89"/>
              </w:rPr>
              <w:t>Counter-Party</w:t>
            </w:r>
          </w:p>
        </w:tc>
        <w:tc>
          <w:tcPr>
            <w:tcW w:w="120" w:type="dxa"/>
            <w:vAlign w:val="bottom"/>
          </w:tcPr>
          <w:p>
            <w:pPr>
              <w:spacing w:after="0"/>
              <w:rPr>
                <w:sz w:val="13"/>
                <w:szCs w:val="13"/>
                <w:color w:val="auto"/>
              </w:rPr>
            </w:pPr>
          </w:p>
        </w:tc>
        <w:tc>
          <w:tcPr>
            <w:tcW w:w="10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88"/>
              </w:rPr>
              <w:t>Net Amounts</w:t>
            </w: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940" w:type="dxa"/>
            <w:vAlign w:val="bottom"/>
          </w:tcPr>
          <w:p>
            <w:pPr>
              <w:jc w:val="right"/>
              <w:ind w:right="282"/>
              <w:spacing w:after="0"/>
              <w:rPr>
                <w:sz w:val="20"/>
                <w:szCs w:val="20"/>
                <w:color w:val="auto"/>
              </w:rPr>
            </w:pPr>
            <w:r>
              <w:rPr>
                <w:rFonts w:ascii="Arial" w:cs="Arial" w:eastAsia="Arial" w:hAnsi="Arial"/>
                <w:sz w:val="16"/>
                <w:szCs w:val="16"/>
                <w:b w:val="1"/>
                <w:bCs w:val="1"/>
                <w:color w:val="auto"/>
              </w:rPr>
              <w:t>Sheet</w:t>
            </w:r>
          </w:p>
        </w:tc>
        <w:tc>
          <w:tcPr>
            <w:tcW w:w="100" w:type="dxa"/>
            <w:vAlign w:val="bottom"/>
          </w:tcPr>
          <w:p>
            <w:pPr>
              <w:spacing w:after="0"/>
              <w:rPr>
                <w:sz w:val="17"/>
                <w:szCs w:val="17"/>
                <w:color w:val="auto"/>
              </w:rPr>
            </w:pPr>
          </w:p>
        </w:tc>
        <w:tc>
          <w:tcPr>
            <w:tcW w:w="860" w:type="dxa"/>
            <w:vAlign w:val="bottom"/>
          </w:tcPr>
          <w:p>
            <w:pPr>
              <w:jc w:val="center"/>
              <w:ind w:left="162"/>
              <w:spacing w:after="0"/>
              <w:rPr>
                <w:sz w:val="20"/>
                <w:szCs w:val="20"/>
                <w:color w:val="auto"/>
              </w:rPr>
            </w:pPr>
            <w:r>
              <w:rPr>
                <w:rFonts w:ascii="Arial" w:cs="Arial" w:eastAsia="Arial" w:hAnsi="Arial"/>
                <w:sz w:val="16"/>
                <w:szCs w:val="16"/>
                <w:b w:val="1"/>
                <w:bCs w:val="1"/>
                <w:color w:val="auto"/>
                <w:w w:val="90"/>
              </w:rPr>
              <w:t>Netting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82"/>
              <w:spacing w:after="0"/>
              <w:rPr>
                <w:sz w:val="20"/>
                <w:szCs w:val="20"/>
                <w:color w:val="auto"/>
              </w:rPr>
            </w:pPr>
            <w:r>
              <w:rPr>
                <w:rFonts w:ascii="Arial" w:cs="Arial" w:eastAsia="Arial" w:hAnsi="Arial"/>
                <w:sz w:val="16"/>
                <w:szCs w:val="16"/>
                <w:b w:val="1"/>
                <w:bCs w:val="1"/>
                <w:color w:val="auto"/>
              </w:rPr>
              <w:t>Sheet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Netting</w:t>
            </w: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contracts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4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87.0</w:t>
            </w:r>
          </w:p>
        </w:tc>
        <w:tc>
          <w:tcPr>
            <w:tcW w:w="960" w:type="dxa"/>
            <w:vAlign w:val="bottom"/>
            <w:gridSpan w:val="2"/>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87.7</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5"/>
        </w:trPr>
        <w:tc>
          <w:tcPr>
            <w:tcW w:w="4160" w:type="dxa"/>
            <w:vAlign w:val="bottom"/>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88.7</w:t>
            </w:r>
          </w:p>
        </w:tc>
        <w:tc>
          <w:tcPr>
            <w:tcW w:w="960" w:type="dxa"/>
            <w:vAlign w:val="bottom"/>
            <w:gridSpan w:val="2"/>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88.6</w:t>
            </w:r>
          </w:p>
        </w:tc>
        <w:tc>
          <w:tcPr>
            <w:tcW w:w="2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Derivatives on the Consolidated Statements of Comprehensive Loss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effect of our derivatives and their location on the Consolidated Statements of Comprehensive Loss for the three and nine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2020 and 2021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300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00"/>
        </w:trPr>
        <w:tc>
          <w:tcPr>
            <w:tcW w:w="26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88"/>
              </w:rPr>
              <w:t>Derivatives not designated as hedging</w:t>
            </w:r>
          </w:p>
        </w:tc>
        <w:tc>
          <w:tcPr>
            <w:tcW w:w="2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center"/>
              <w:ind w:left="782"/>
              <w:spacing w:after="0"/>
              <w:rPr>
                <w:sz w:val="20"/>
                <w:szCs w:val="20"/>
                <w:color w:val="auto"/>
              </w:rPr>
            </w:pPr>
            <w:r>
              <w:rPr>
                <w:rFonts w:ascii="Arial" w:cs="Arial" w:eastAsia="Arial" w:hAnsi="Arial"/>
                <w:sz w:val="16"/>
                <w:szCs w:val="16"/>
                <w:color w:val="auto"/>
                <w:w w:val="91"/>
              </w:rPr>
              <w:t>(4.9)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center"/>
              <w:ind w:left="882"/>
              <w:spacing w:after="0"/>
              <w:rPr>
                <w:sz w:val="20"/>
                <w:szCs w:val="20"/>
                <w:color w:val="auto"/>
              </w:rPr>
            </w:pPr>
            <w:r>
              <w:rPr>
                <w:rFonts w:ascii="Arial" w:cs="Arial" w:eastAsia="Arial" w:hAnsi="Arial"/>
                <w:sz w:val="16"/>
                <w:szCs w:val="16"/>
                <w:color w:val="auto"/>
                <w:w w:val="91"/>
              </w:rPr>
              <w:t>(3.2)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020" w:type="dxa"/>
            <w:vAlign w:val="bottom"/>
          </w:tcPr>
          <w:p>
            <w:pPr>
              <w:ind w:left="80"/>
              <w:spacing w:after="0"/>
              <w:rPr>
                <w:sz w:val="20"/>
                <w:szCs w:val="20"/>
                <w:color w:val="auto"/>
              </w:rPr>
            </w:pPr>
            <w:r>
              <w:rPr>
                <w:rFonts w:ascii="Arial" w:cs="Arial" w:eastAsia="Arial" w:hAnsi="Arial"/>
                <w:sz w:val="16"/>
                <w:szCs w:val="16"/>
                <w:color w:val="auto"/>
                <w:w w:val="94"/>
              </w:rPr>
              <w:t>Other income (expense), net</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center"/>
              <w:ind w:left="802"/>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left="902"/>
              <w:spacing w:after="0"/>
              <w:rPr>
                <w:sz w:val="20"/>
                <w:szCs w:val="20"/>
                <w:color w:val="auto"/>
              </w:rPr>
            </w:pPr>
            <w:r>
              <w:rPr>
                <w:rFonts w:ascii="Arial" w:cs="Arial" w:eastAsia="Arial" w:hAnsi="Arial"/>
                <w:sz w:val="16"/>
                <w:szCs w:val="16"/>
                <w:color w:val="auto"/>
                <w:w w:val="89"/>
              </w:rPr>
              <w:t>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95"/>
        </w:trPr>
        <w:tc>
          <w:tcPr>
            <w:tcW w:w="262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20"/>
              <w:spacing w:after="0" w:line="157" w:lineRule="exact"/>
              <w:rPr>
                <w:sz w:val="20"/>
                <w:szCs w:val="20"/>
                <w:color w:val="auto"/>
              </w:rPr>
            </w:pPr>
            <w:r>
              <w:rPr>
                <w:rFonts w:ascii="Arial" w:cs="Arial" w:eastAsia="Arial" w:hAnsi="Arial"/>
                <w:sz w:val="16"/>
                <w:szCs w:val="16"/>
                <w:b w:val="1"/>
                <w:bCs w:val="1"/>
                <w:color w:val="auto"/>
                <w:w w:val="98"/>
              </w:rPr>
              <w:t>Derivatives designated as hedging</w:t>
            </w:r>
          </w:p>
        </w:tc>
        <w:tc>
          <w:tcPr>
            <w:tcW w:w="2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center"/>
              <w:ind w:left="782"/>
              <w:spacing w:after="0"/>
              <w:rPr>
                <w:sz w:val="20"/>
                <w:szCs w:val="20"/>
                <w:color w:val="auto"/>
              </w:rPr>
            </w:pPr>
            <w:r>
              <w:rPr>
                <w:rFonts w:ascii="Arial" w:cs="Arial" w:eastAsia="Arial" w:hAnsi="Arial"/>
                <w:sz w:val="16"/>
                <w:szCs w:val="16"/>
                <w:color w:val="auto"/>
                <w:w w:val="91"/>
              </w:rPr>
              <w:t>(1.3)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center"/>
              <w:ind w:left="882"/>
              <w:spacing w:after="0"/>
              <w:rPr>
                <w:sz w:val="20"/>
                <w:szCs w:val="20"/>
                <w:color w:val="auto"/>
              </w:rPr>
            </w:pPr>
            <w:r>
              <w:rPr>
                <w:rFonts w:ascii="Arial" w:cs="Arial" w:eastAsia="Arial" w:hAnsi="Arial"/>
                <w:sz w:val="16"/>
                <w:szCs w:val="16"/>
                <w:color w:val="auto"/>
                <w:w w:val="91"/>
              </w:rPr>
              <w:t>(6.1)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expense was $68.3 million and $51.5 million for the three months ended September 30, 2020 and 2021, respectively, and $209.2 million and</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$154.6 million for the nine months ended September 30, 2020 and 2021, respectively. As of September 30, 2021, the amount of cash flow hedge losses included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within "Accumulated other comprehensive income (loss)" that is expected to be reclassified as an increase to "Interest expense" over the next 12 months is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$23.6 million. See Note 12, "Accumulated Other Comprehensive Income (Loss)," for information regarding changes in fair value of our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derivatives designated as hedging instruments.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Credit-risk-related Contingent Features</w:t>
      </w:r>
    </w:p>
    <w:p>
      <w:pPr>
        <w:spacing w:after="0" w:line="249" w:lineRule="exact"/>
        <w:rPr>
          <w:sz w:val="20"/>
          <w:szCs w:val="20"/>
          <w:color w:val="auto"/>
        </w:rPr>
      </w:pPr>
    </w:p>
    <w:p>
      <w:pPr>
        <w:ind w:right="100" w:firstLine="470"/>
        <w:spacing w:after="0" w:line="288" w:lineRule="auto"/>
        <w:rPr>
          <w:sz w:val="20"/>
          <w:szCs w:val="20"/>
          <w:color w:val="auto"/>
        </w:rPr>
      </w:pPr>
      <w:r>
        <w:rPr>
          <w:rFonts w:ascii="Arial" w:cs="Arial" w:eastAsia="Arial" w:hAnsi="Arial"/>
          <w:sz w:val="16"/>
          <w:szCs w:val="16"/>
          <w:color w:val="auto"/>
        </w:rPr>
        <w:t>We have agreements with interest rate swap counterparties that contain a provision whereby if we default on any of our material indebtedness, then we could also be declared in default of our interest rate swap agreements. As of September 30, 2021, our interest rate swap agreements with an aggregate fair value of $87.7 million were in a net liability position. However, if we were in default, our master netting arrangements with certain of our interest rate swap counterparties contain provisions which could result in net settlement of all outstanding agreements.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Accumulated Other Comprehensive Income (Loss)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Accumulated other comprehensive income (loss)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780" w:type="dxa"/>
            <w:vAlign w:val="bottom"/>
          </w:tcPr>
          <w:p>
            <w:pPr>
              <w:jc w:val="center"/>
              <w:ind w:left="262"/>
              <w:spacing w:after="0"/>
              <w:rPr>
                <w:sz w:val="20"/>
                <w:szCs w:val="20"/>
                <w:color w:val="auto"/>
              </w:rPr>
            </w:pPr>
            <w:r>
              <w:rPr>
                <w:rFonts w:ascii="Arial" w:cs="Arial" w:eastAsia="Arial" w:hAnsi="Arial"/>
                <w:sz w:val="16"/>
                <w:szCs w:val="16"/>
                <w:b w:val="1"/>
                <w:bCs w:val="1"/>
                <w:color w:val="auto"/>
                <w:w w:val="87"/>
              </w:rPr>
              <w:t>Accumulated Foreign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20" w:type="dxa"/>
            <w:vAlign w:val="bottom"/>
          </w:tcPr>
          <w:p>
            <w:pPr>
              <w:spacing w:after="0"/>
              <w:rPr>
                <w:sz w:val="16"/>
                <w:szCs w:val="16"/>
                <w:color w:val="auto"/>
              </w:rPr>
            </w:pPr>
          </w:p>
        </w:tc>
        <w:tc>
          <w:tcPr>
            <w:tcW w:w="19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1780" w:type="dxa"/>
            <w:vAlign w:val="bottom"/>
          </w:tcPr>
          <w:p>
            <w:pPr>
              <w:jc w:val="center"/>
              <w:ind w:left="242"/>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1780" w:type="dxa"/>
            <w:vAlign w:val="bottom"/>
          </w:tcPr>
          <w:p>
            <w:pPr>
              <w:jc w:val="center"/>
              <w:ind w:left="242"/>
              <w:spacing w:after="0"/>
              <w:rPr>
                <w:sz w:val="20"/>
                <w:szCs w:val="20"/>
                <w:color w:val="auto"/>
              </w:rPr>
            </w:pPr>
            <w:r>
              <w:rPr>
                <w:rFonts w:ascii="Arial" w:cs="Arial" w:eastAsia="Arial" w:hAnsi="Arial"/>
                <w:sz w:val="16"/>
                <w:szCs w:val="16"/>
                <w:b w:val="1"/>
                <w:bCs w:val="1"/>
                <w:color w:val="auto"/>
                <w:w w:val="88"/>
              </w:rPr>
              <w:t>Adjustments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20" w:type="dxa"/>
            <w:vAlign w:val="bottom"/>
          </w:tcPr>
          <w:p>
            <w:pPr>
              <w:spacing w:after="0"/>
              <w:rPr>
                <w:sz w:val="17"/>
                <w:szCs w:val="17"/>
                <w:color w:val="auto"/>
              </w:rPr>
            </w:pPr>
          </w:p>
        </w:tc>
        <w:tc>
          <w:tcPr>
            <w:tcW w:w="1900" w:type="dxa"/>
            <w:vAlign w:val="bottom"/>
          </w:tcPr>
          <w:p>
            <w:pPr>
              <w:jc w:val="right"/>
              <w:ind w:right="282"/>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780" w:type="dxa"/>
            <w:vAlign w:val="bottom"/>
            <w:tcBorders>
              <w:top w:val="single" w:sz="8" w:color="auto"/>
            </w:tcBorders>
            <w:shd w:val="clear" w:color="auto" w:fill="CCEEFF"/>
          </w:tcPr>
          <w:p>
            <w:pPr>
              <w:jc w:val="right"/>
              <w:ind w:right="160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(7.5)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2"/>
              </w:rPr>
              <w:t>Foreign currency translation adjustments, net of tax expense of $1.0</w:t>
            </w:r>
          </w:p>
        </w:tc>
        <w:tc>
          <w:tcPr>
            <w:tcW w:w="1780" w:type="dxa"/>
            <w:vAlign w:val="bottom"/>
          </w:tcPr>
          <w:p>
            <w:pPr>
              <w:spacing w:after="0"/>
              <w:rPr>
                <w:sz w:val="17"/>
                <w:szCs w:val="17"/>
                <w:color w:val="auto"/>
              </w:rPr>
            </w:pPr>
          </w:p>
        </w:tc>
        <w:tc>
          <w:tcPr>
            <w:tcW w:w="340" w:type="dxa"/>
            <w:vAlign w:val="bottom"/>
          </w:tcPr>
          <w:p>
            <w:pPr>
              <w:jc w:val="right"/>
              <w:ind w:right="2"/>
              <w:spacing w:after="0"/>
              <w:rPr>
                <w:sz w:val="20"/>
                <w:szCs w:val="20"/>
                <w:color w:val="auto"/>
              </w:rPr>
            </w:pPr>
            <w:r>
              <w:rPr>
                <w:rFonts w:ascii="Arial" w:cs="Arial" w:eastAsia="Arial" w:hAnsi="Arial"/>
                <w:sz w:val="16"/>
                <w:szCs w:val="16"/>
                <w:color w:val="auto"/>
                <w:w w:val="76"/>
              </w:rPr>
              <w:t>11.7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$0.4</w:t>
            </w:r>
          </w:p>
        </w:tc>
        <w:tc>
          <w:tcPr>
            <w:tcW w:w="1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0"/>
        </w:trPr>
        <w:tc>
          <w:tcPr>
            <w:tcW w:w="4660" w:type="dxa"/>
            <w:vAlign w:val="bottom"/>
          </w:tcPr>
          <w:p>
            <w:pPr>
              <w:ind w:left="180"/>
              <w:spacing w:after="0" w:line="160"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1780" w:type="dxa"/>
            <w:vAlign w:val="bottom"/>
          </w:tcPr>
          <w:p>
            <w:pPr>
              <w:spacing w:after="0"/>
              <w:rPr>
                <w:sz w:val="13"/>
                <w:szCs w:val="13"/>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line="206" w:lineRule="exact"/>
              <w:rPr>
                <w:sz w:val="20"/>
                <w:szCs w:val="20"/>
                <w:color w:val="auto"/>
              </w:rPr>
            </w:pPr>
            <w:r>
              <w:rPr>
                <w:rFonts w:ascii="Arial" w:cs="Arial" w:eastAsia="Arial" w:hAnsi="Arial"/>
                <w:sz w:val="16"/>
                <w:szCs w:val="16"/>
                <w:color w:val="auto"/>
              </w:rPr>
              <w:t>into earnings, net of tax benefit of $1.2</w:t>
            </w:r>
            <w:r>
              <w:rPr>
                <w:rFonts w:ascii="Arial" w:cs="Arial" w:eastAsia="Arial" w:hAnsi="Arial"/>
                <w:sz w:val="20"/>
                <w:szCs w:val="20"/>
                <w:color w:val="auto"/>
                <w:vertAlign w:val="superscript"/>
              </w:rPr>
              <w:t>(1)</w:t>
            </w:r>
          </w:p>
        </w:tc>
        <w:tc>
          <w:tcPr>
            <w:tcW w:w="17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780" w:type="dxa"/>
            <w:vAlign w:val="bottom"/>
            <w:tcBorders>
              <w:top w:val="single" w:sz="8" w:color="auto"/>
              <w:bottom w:val="single" w:sz="8" w:color="auto"/>
            </w:tcBorders>
            <w:shd w:val="clear" w:color="auto" w:fill="CCEEFF"/>
          </w:tcPr>
          <w:p>
            <w:pPr>
              <w:jc w:val="right"/>
              <w:ind w:right="160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80" w:right="300" w:hanging="475"/>
        <w:spacing w:after="0" w:line="259" w:lineRule="auto"/>
        <w:tabs>
          <w:tab w:leader="none" w:pos="38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interest expense recognized of $5.9 million, partially offset by amortization of off-market swap value of $1.5 million for the three months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Foreign</w:t>
            </w: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40" w:type="dxa"/>
            <w:vAlign w:val="bottom"/>
          </w:tcPr>
          <w:p>
            <w:pPr>
              <w:spacing w:after="0"/>
              <w:rPr>
                <w:sz w:val="16"/>
                <w:szCs w:val="16"/>
                <w:color w:val="auto"/>
              </w:rPr>
            </w:pPr>
          </w:p>
        </w:tc>
        <w:tc>
          <w:tcPr>
            <w:tcW w:w="188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w w:val="98"/>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3"/>
                <w:szCs w:val="13"/>
                <w:color w:val="auto"/>
              </w:rPr>
            </w:pPr>
          </w:p>
        </w:tc>
        <w:tc>
          <w:tcPr>
            <w:tcW w:w="2000" w:type="dxa"/>
            <w:vAlign w:val="bottom"/>
            <w:gridSpan w:val="2"/>
          </w:tcPr>
          <w:p>
            <w:pPr>
              <w:jc w:val="center"/>
              <w:ind w:right="340"/>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b w:val="1"/>
                <w:bCs w:val="1"/>
                <w:color w:val="auto"/>
                <w:w w:val="88"/>
              </w:rPr>
              <w:t>Adjustments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7"/>
              </w:rPr>
              <w:t>Derivative Contracts</w:t>
            </w:r>
          </w:p>
        </w:tc>
        <w:tc>
          <w:tcPr>
            <w:tcW w:w="12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Comprehensive Income (Loss)</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$0.4</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Unrealized loss on derivative contracts, net of tax benefit of $15.9</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57"/>
        </w:trPr>
        <w:tc>
          <w:tcPr>
            <w:tcW w:w="4660" w:type="dxa"/>
            <w:vAlign w:val="bottom"/>
          </w:tcPr>
          <w:p>
            <w:pPr>
              <w:ind w:left="180"/>
              <w:spacing w:after="0" w:line="157"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220" w:type="dxa"/>
            <w:vAlign w:val="bottom"/>
          </w:tcPr>
          <w:p>
            <w:pPr>
              <w:spacing w:after="0"/>
              <w:rPr>
                <w:sz w:val="13"/>
                <w:szCs w:val="13"/>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9"/>
        </w:trPr>
        <w:tc>
          <w:tcPr>
            <w:tcW w:w="4660" w:type="dxa"/>
            <w:vAlign w:val="bottom"/>
          </w:tcPr>
          <w:p>
            <w:pPr>
              <w:ind w:left="180"/>
              <w:spacing w:after="0" w:line="209" w:lineRule="exact"/>
              <w:rPr>
                <w:sz w:val="20"/>
                <w:szCs w:val="20"/>
                <w:color w:val="auto"/>
              </w:rPr>
            </w:pPr>
            <w:r>
              <w:rPr>
                <w:rFonts w:ascii="Arial" w:cs="Arial" w:eastAsia="Arial" w:hAnsi="Arial"/>
                <w:sz w:val="16"/>
                <w:szCs w:val="16"/>
                <w:color w:val="auto"/>
              </w:rPr>
              <w:t xml:space="preserve">into earnings, net of tax benefit of $1.6 </w:t>
            </w:r>
            <w:r>
              <w:rPr>
                <w:rFonts w:ascii="Arial" w:cs="Arial" w:eastAsia="Arial" w:hAnsi="Arial"/>
                <w:sz w:val="20"/>
                <w:szCs w:val="20"/>
                <w:color w:val="auto"/>
                <w:vertAlign w:val="superscript"/>
              </w:rPr>
              <w:t>(1)</w:t>
            </w:r>
          </w:p>
        </w:tc>
        <w:tc>
          <w:tcPr>
            <w:tcW w:w="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80" w:right="260" w:hanging="475"/>
        <w:spacing w:after="0" w:line="259" w:lineRule="auto"/>
        <w:tabs>
          <w:tab w:leader="none" w:pos="38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interest expense recognized of $10.3 million, partially offset by amortization of off-market swap value of $4.2 million for the nine months ended September 30,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Foreign</w:t>
            </w: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20" w:type="dxa"/>
            <w:vAlign w:val="bottom"/>
          </w:tcPr>
          <w:p>
            <w:pPr>
              <w:spacing w:after="0"/>
              <w:rPr>
                <w:sz w:val="16"/>
                <w:szCs w:val="16"/>
                <w:color w:val="auto"/>
              </w:rPr>
            </w:pPr>
          </w:p>
        </w:tc>
        <w:tc>
          <w:tcPr>
            <w:tcW w:w="1900" w:type="dxa"/>
            <w:vAlign w:val="bottom"/>
            <w:vMerge w:val="restart"/>
          </w:tcPr>
          <w:p>
            <w:pPr>
              <w:jc w:val="center"/>
              <w:ind w:right="142"/>
              <w:spacing w:after="0"/>
              <w:rPr>
                <w:sz w:val="20"/>
                <w:szCs w:val="20"/>
                <w:color w:val="auto"/>
              </w:rPr>
            </w:pPr>
            <w:r>
              <w:rPr>
                <w:rFonts w:ascii="Arial" w:cs="Arial" w:eastAsia="Arial" w:hAnsi="Arial"/>
                <w:sz w:val="16"/>
                <w:szCs w:val="16"/>
                <w:b w:val="1"/>
                <w:bCs w:val="1"/>
                <w:color w:val="auto"/>
                <w:w w:val="89"/>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3"/>
                <w:szCs w:val="13"/>
                <w:color w:val="auto"/>
              </w:rPr>
            </w:pPr>
          </w:p>
        </w:tc>
        <w:tc>
          <w:tcPr>
            <w:tcW w:w="2000" w:type="dxa"/>
            <w:vAlign w:val="bottom"/>
            <w:gridSpan w:val="2"/>
          </w:tcPr>
          <w:p>
            <w:pPr>
              <w:jc w:val="center"/>
              <w:ind w:right="340"/>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22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20" w:type="dxa"/>
            <w:vAlign w:val="bottom"/>
          </w:tcPr>
          <w:p>
            <w:pPr>
              <w:spacing w:after="0"/>
              <w:rPr>
                <w:sz w:val="17"/>
                <w:szCs w:val="17"/>
                <w:color w:val="auto"/>
              </w:rPr>
            </w:pPr>
          </w:p>
        </w:tc>
        <w:tc>
          <w:tcPr>
            <w:tcW w:w="1900" w:type="dxa"/>
            <w:vAlign w:val="bottom"/>
          </w:tcPr>
          <w:p>
            <w:pPr>
              <w:jc w:val="center"/>
              <w:ind w:right="142"/>
              <w:spacing w:after="0"/>
              <w:rPr>
                <w:sz w:val="20"/>
                <w:szCs w:val="20"/>
                <w:color w:val="auto"/>
              </w:rPr>
            </w:pPr>
            <w:r>
              <w:rPr>
                <w:rFonts w:ascii="Arial" w:cs="Arial" w:eastAsia="Arial" w:hAnsi="Arial"/>
                <w:sz w:val="16"/>
                <w:szCs w:val="16"/>
                <w:b w:val="1"/>
                <w:bCs w:val="1"/>
                <w:color w:val="auto"/>
                <w:w w:val="86"/>
              </w:rPr>
              <w:t>Comprehensive Loss</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center"/>
              <w:ind w:left="1482"/>
              <w:spacing w:after="0"/>
              <w:rPr>
                <w:sz w:val="20"/>
                <w:szCs w:val="20"/>
                <w:color w:val="auto"/>
              </w:rPr>
            </w:pPr>
            <w:r>
              <w:rPr>
                <w:rFonts w:ascii="Arial" w:cs="Arial" w:eastAsia="Arial" w:hAnsi="Arial"/>
                <w:sz w:val="16"/>
                <w:szCs w:val="16"/>
                <w:color w:val="auto"/>
                <w:w w:val="91"/>
              </w:rPr>
              <w:t>(1.0)</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$0.8</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900" w:type="dxa"/>
            <w:vAlign w:val="bottom"/>
          </w:tcPr>
          <w:p>
            <w:pPr>
              <w:jc w:val="center"/>
              <w:ind w:left="1482"/>
              <w:spacing w:after="0"/>
              <w:rPr>
                <w:sz w:val="20"/>
                <w:szCs w:val="20"/>
                <w:color w:val="auto"/>
              </w:rPr>
            </w:pPr>
            <w:r>
              <w:rPr>
                <w:rFonts w:ascii="Arial" w:cs="Arial" w:eastAsia="Arial" w:hAnsi="Arial"/>
                <w:sz w:val="16"/>
                <w:szCs w:val="16"/>
                <w:color w:val="auto"/>
                <w:w w:val="91"/>
              </w:rPr>
              <w:t>(8.8)</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$0.2</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left="1502"/>
              <w:spacing w:after="0"/>
              <w:rPr>
                <w:sz w:val="20"/>
                <w:szCs w:val="20"/>
                <w:color w:val="auto"/>
              </w:rPr>
            </w:pPr>
            <w:r>
              <w:rPr>
                <w:rFonts w:ascii="Arial" w:cs="Arial" w:eastAsia="Arial" w:hAnsi="Arial"/>
                <w:sz w:val="16"/>
                <w:szCs w:val="16"/>
                <w:color w:val="auto"/>
                <w:w w:val="89"/>
              </w:rPr>
              <w:t>0.6</w:t>
            </w:r>
          </w:p>
        </w:tc>
        <w:tc>
          <w:tcPr>
            <w:tcW w:w="0" w:type="dxa"/>
            <w:vAlign w:val="bottom"/>
          </w:tcPr>
          <w:p>
            <w:pPr>
              <w:spacing w:after="0"/>
              <w:rPr>
                <w:sz w:val="1"/>
                <w:szCs w:val="1"/>
                <w:color w:val="auto"/>
              </w:rPr>
            </w:pPr>
          </w:p>
        </w:tc>
      </w:tr>
      <w:tr>
        <w:trPr>
          <w:trHeight w:val="160"/>
        </w:trPr>
        <w:tc>
          <w:tcPr>
            <w:tcW w:w="4660" w:type="dxa"/>
            <w:vAlign w:val="bottom"/>
          </w:tcPr>
          <w:p>
            <w:pPr>
              <w:ind w:left="180"/>
              <w:spacing w:after="0" w:line="160"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220" w:type="dxa"/>
            <w:vAlign w:val="bottom"/>
          </w:tcPr>
          <w:p>
            <w:pPr>
              <w:spacing w:after="0"/>
              <w:rPr>
                <w:sz w:val="13"/>
                <w:szCs w:val="13"/>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restart"/>
          </w:tcPr>
          <w:p>
            <w:pPr>
              <w:jc w:val="center"/>
              <w:ind w:left="1502"/>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line="206" w:lineRule="exact"/>
              <w:rPr>
                <w:sz w:val="20"/>
                <w:szCs w:val="20"/>
                <w:color w:val="auto"/>
              </w:rPr>
            </w:pPr>
            <w:r>
              <w:rPr>
                <w:rFonts w:ascii="Arial" w:cs="Arial" w:eastAsia="Arial" w:hAnsi="Arial"/>
                <w:sz w:val="16"/>
                <w:szCs w:val="16"/>
                <w:color w:val="auto"/>
              </w:rPr>
              <w:t xml:space="preserve">into earnings, net of tax benefit of $1.6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center"/>
              <w:ind w:left="1482"/>
              <w:spacing w:after="0"/>
              <w:rPr>
                <w:sz w:val="20"/>
                <w:szCs w:val="20"/>
                <w:color w:val="auto"/>
              </w:rPr>
            </w:pPr>
            <w:r>
              <w:rPr>
                <w:rFonts w:ascii="Arial" w:cs="Arial" w:eastAsia="Arial" w:hAnsi="Arial"/>
                <w:sz w:val="16"/>
                <w:szCs w:val="16"/>
                <w:color w:val="auto"/>
                <w:w w:val="91"/>
              </w:rPr>
              <w:t>(4.7)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80" w:right="180" w:hanging="475"/>
        <w:spacing w:after="0" w:line="259" w:lineRule="auto"/>
        <w:tabs>
          <w:tab w:leader="none" w:pos="388"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interest expense recognized of $1.2 million and amortization of off-market swap value and accumulated loss at hedge de-designation of $4.9 million for the three months ended September 30, 2021.</w:t>
      </w: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5540" w:hanging="105"/>
        <w:spacing w:after="0"/>
        <w:tabs>
          <w:tab w:leader="none" w:pos="5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Accumulated Foreign</w:t>
            </w:r>
          </w:p>
        </w:tc>
        <w:tc>
          <w:tcPr>
            <w:tcW w:w="220" w:type="dxa"/>
            <w:vAlign w:val="bottom"/>
          </w:tcPr>
          <w:p>
            <w:pPr>
              <w:spacing w:after="0"/>
              <w:rPr>
                <w:sz w:val="16"/>
                <w:szCs w:val="16"/>
                <w:color w:val="auto"/>
              </w:rPr>
            </w:pPr>
          </w:p>
        </w:tc>
        <w:tc>
          <w:tcPr>
            <w:tcW w:w="2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 Loss on</w:t>
            </w:r>
          </w:p>
        </w:tc>
        <w:tc>
          <w:tcPr>
            <w:tcW w:w="220" w:type="dxa"/>
            <w:vAlign w:val="bottom"/>
          </w:tcPr>
          <w:p>
            <w:pPr>
              <w:spacing w:after="0"/>
              <w:rPr>
                <w:sz w:val="16"/>
                <w:szCs w:val="16"/>
                <w:color w:val="auto"/>
              </w:rPr>
            </w:pPr>
          </w:p>
        </w:tc>
        <w:tc>
          <w:tcPr>
            <w:tcW w:w="19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157"/>
        </w:trPr>
        <w:tc>
          <w:tcPr>
            <w:tcW w:w="4660" w:type="dxa"/>
            <w:vAlign w:val="bottom"/>
            <w:vMerge w:val="restart"/>
          </w:tcPr>
          <w:p>
            <w:pPr>
              <w:ind w:left="2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3"/>
                <w:szCs w:val="13"/>
                <w:color w:val="auto"/>
              </w:rPr>
            </w:pPr>
          </w:p>
        </w:tc>
        <w:tc>
          <w:tcPr>
            <w:tcW w:w="2000" w:type="dxa"/>
            <w:vAlign w:val="bottom"/>
            <w:gridSpan w:val="2"/>
          </w:tcPr>
          <w:p>
            <w:pPr>
              <w:jc w:val="center"/>
              <w:ind w:right="340"/>
              <w:spacing w:after="0" w:line="157" w:lineRule="exact"/>
              <w:rPr>
                <w:sz w:val="20"/>
                <w:szCs w:val="20"/>
                <w:color w:val="auto"/>
              </w:rPr>
            </w:pPr>
            <w:r>
              <w:rPr>
                <w:rFonts w:ascii="Arial" w:cs="Arial" w:eastAsia="Arial" w:hAnsi="Arial"/>
                <w:sz w:val="16"/>
                <w:szCs w:val="16"/>
                <w:b w:val="1"/>
                <w:bCs w:val="1"/>
                <w:color w:val="auto"/>
                <w:w w:val="90"/>
              </w:rPr>
              <w:t>Currency Translation</w:t>
            </w:r>
          </w:p>
        </w:tc>
        <w:tc>
          <w:tcPr>
            <w:tcW w:w="220" w:type="dxa"/>
            <w:vAlign w:val="bottom"/>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Adjustments</w:t>
            </w:r>
          </w:p>
        </w:tc>
        <w:tc>
          <w:tcPr>
            <w:tcW w:w="22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Derivative Contracts</w:t>
            </w:r>
          </w:p>
        </w:tc>
        <w:tc>
          <w:tcPr>
            <w:tcW w:w="220" w:type="dxa"/>
            <w:vAlign w:val="bottom"/>
          </w:tcPr>
          <w:p>
            <w:pPr>
              <w:spacing w:after="0"/>
              <w:rPr>
                <w:sz w:val="17"/>
                <w:szCs w:val="17"/>
                <w:color w:val="auto"/>
              </w:rPr>
            </w:pPr>
          </w:p>
        </w:tc>
        <w:tc>
          <w:tcPr>
            <w:tcW w:w="1900" w:type="dxa"/>
            <w:vAlign w:val="bottom"/>
          </w:tcPr>
          <w:p>
            <w:pPr>
              <w:jc w:val="right"/>
              <w:ind w:right="282"/>
              <w:spacing w:after="0"/>
              <w:rPr>
                <w:sz w:val="20"/>
                <w:szCs w:val="20"/>
                <w:color w:val="auto"/>
              </w:rPr>
            </w:pPr>
            <w:r>
              <w:rPr>
                <w:rFonts w:ascii="Arial" w:cs="Arial" w:eastAsia="Arial" w:hAnsi="Arial"/>
                <w:sz w:val="16"/>
                <w:szCs w:val="16"/>
                <w:b w:val="1"/>
                <w:bCs w:val="1"/>
                <w:color w:val="auto"/>
                <w:w w:val="93"/>
              </w:rPr>
              <w:t>Comprehensive Loss</w:t>
            </w:r>
          </w:p>
        </w:tc>
        <w:tc>
          <w:tcPr>
            <w:tcW w:w="0" w:type="dxa"/>
            <w:vAlign w:val="bottom"/>
          </w:tcPr>
          <w:p>
            <w:pPr>
              <w:spacing w:after="0"/>
              <w:rPr>
                <w:sz w:val="1"/>
                <w:szCs w:val="1"/>
                <w:color w:val="auto"/>
              </w:rPr>
            </w:pPr>
          </w:p>
        </w:tc>
      </w:tr>
      <w:tr>
        <w:trPr>
          <w:trHeight w:val="205"/>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 tax benefit of $0.5</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Unrealized gain on derivative contracts, net of tax expense of $1.4</w:t>
            </w:r>
          </w:p>
        </w:tc>
        <w:tc>
          <w:tcPr>
            <w:tcW w:w="2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0"/>
        </w:trPr>
        <w:tc>
          <w:tcPr>
            <w:tcW w:w="4660" w:type="dxa"/>
            <w:vAlign w:val="bottom"/>
          </w:tcPr>
          <w:p>
            <w:pPr>
              <w:ind w:left="180"/>
              <w:spacing w:after="0" w:line="160" w:lineRule="exact"/>
              <w:rPr>
                <w:sz w:val="20"/>
                <w:szCs w:val="20"/>
                <w:color w:val="auto"/>
              </w:rPr>
            </w:pPr>
            <w:r>
              <w:rPr>
                <w:rFonts w:ascii="Arial" w:cs="Arial" w:eastAsia="Arial" w:hAnsi="Arial"/>
                <w:sz w:val="16"/>
                <w:szCs w:val="16"/>
                <w:color w:val="auto"/>
                <w:w w:val="91"/>
              </w:rPr>
              <w:t>Amount reclassified from Accumulated comprehensive income (loss)</w:t>
            </w:r>
          </w:p>
        </w:tc>
        <w:tc>
          <w:tcPr>
            <w:tcW w:w="220" w:type="dxa"/>
            <w:vAlign w:val="bottom"/>
          </w:tcPr>
          <w:p>
            <w:pPr>
              <w:spacing w:after="0"/>
              <w:rPr>
                <w:sz w:val="13"/>
                <w:szCs w:val="13"/>
                <w:color w:val="auto"/>
              </w:rPr>
            </w:pPr>
          </w:p>
        </w:tc>
        <w:tc>
          <w:tcPr>
            <w:tcW w:w="2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6"/>
        </w:trPr>
        <w:tc>
          <w:tcPr>
            <w:tcW w:w="4660" w:type="dxa"/>
            <w:vAlign w:val="bottom"/>
          </w:tcPr>
          <w:p>
            <w:pPr>
              <w:ind w:left="180"/>
              <w:spacing w:after="0" w:line="206" w:lineRule="exact"/>
              <w:rPr>
                <w:sz w:val="20"/>
                <w:szCs w:val="20"/>
                <w:color w:val="auto"/>
              </w:rPr>
            </w:pPr>
            <w:r>
              <w:rPr>
                <w:rFonts w:ascii="Arial" w:cs="Arial" w:eastAsia="Arial" w:hAnsi="Arial"/>
                <w:sz w:val="16"/>
                <w:szCs w:val="16"/>
                <w:color w:val="auto"/>
              </w:rPr>
              <w:t xml:space="preserve">into earnings, net of tax benefit of $4.5 </w:t>
            </w:r>
            <w:r>
              <w:rPr>
                <w:rFonts w:ascii="Arial" w:cs="Arial" w:eastAsia="Arial" w:hAnsi="Arial"/>
                <w:sz w:val="20"/>
                <w:szCs w:val="20"/>
                <w:color w:val="auto"/>
                <w:vertAlign w:val="superscript"/>
              </w:rPr>
              <w:t>(1)</w:t>
            </w:r>
          </w:p>
        </w:tc>
        <w:tc>
          <w:tcPr>
            <w:tcW w:w="2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480" w:right="140" w:hanging="475"/>
        <w:spacing w:after="0" w:line="259" w:lineRule="auto"/>
        <w:tabs>
          <w:tab w:leader="none" w:pos="38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interest expense recognized of $5.2 million and amortization of off-market swap value and accumulated loss at hedge de-designation of $12.3 million for the nine months ended September 30, 2021.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w:t>
      </w:r>
    </w:p>
    <w:p>
      <w:pPr>
        <w:spacing w:after="0" w:line="255" w:lineRule="exact"/>
        <w:rPr>
          <w:sz w:val="20"/>
          <w:szCs w:val="20"/>
          <w:color w:val="auto"/>
        </w:rPr>
      </w:pPr>
    </w:p>
    <w:p>
      <w:pPr>
        <w:ind w:right="80" w:firstLine="470"/>
        <w:spacing w:after="0" w:line="263" w:lineRule="auto"/>
        <w:rPr>
          <w:sz w:val="20"/>
          <w:szCs w:val="20"/>
          <w:color w:val="auto"/>
        </w:rPr>
      </w:pPr>
      <w:r>
        <w:rPr>
          <w:rFonts w:ascii="Arial" w:cs="Arial" w:eastAsia="Arial" w:hAnsi="Arial"/>
          <w:sz w:val="17"/>
          <w:szCs w:val="17"/>
          <w:color w:val="auto"/>
        </w:rPr>
        <w:t>In connection with the Rackspace Acquisition, we entered into a management consulting agreement with affiliates of Apollo and Searchlight Capital Partners L.P (“Searchlight”), (the “Apollo/Searchlight Management Consulting Agreement”) and a transaction fee agreement with an affiliate of Apollo (the “Transaction Fee Agreement”). In addition, on November 15, 2017, we entered into a management consulting agreement with ABRY Partners, LLC and ABRY Partners II, LLC (collectively, “ABRY”) (the “ABRY Management Consulting Agreement”). For the three and nine months ended September 30, 2020, we recorded $1.3 million and $8.4 million, respectively, of management consulting fees within "Selling, general and administrative expenses" in the Consolidated Statements of Comprehensive Loss.</w:t>
      </w:r>
    </w:p>
    <w:p>
      <w:pPr>
        <w:spacing w:after="0" w:line="205"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On July 24, 2020, we executed termination letters with each of the parties to the Apollo/Searchlight Management Consulting Agreement, the Transaction Fee Agreement and the ABRY Management Consulting Agreement, whereby all such agreements terminated effective as of the pricing of our initial public offering (the “IPO”) on August 4, 2020. Therefore no management consulting or transaction fees were accrued or were payable under any of these agreements for periods subsequent to August 4, 2020.</w:t>
      </w:r>
    </w:p>
    <w:p>
      <w:pPr>
        <w:spacing w:after="0" w:line="202" w:lineRule="exact"/>
        <w:rPr>
          <w:sz w:val="20"/>
          <w:szCs w:val="20"/>
          <w:color w:val="auto"/>
        </w:rPr>
      </w:pPr>
    </w:p>
    <w:p>
      <w:pPr>
        <w:ind w:right="440" w:firstLine="470"/>
        <w:spacing w:after="0" w:line="288" w:lineRule="auto"/>
        <w:rPr>
          <w:sz w:val="20"/>
          <w:szCs w:val="20"/>
          <w:color w:val="auto"/>
        </w:rPr>
      </w:pPr>
      <w:r>
        <w:rPr>
          <w:rFonts w:ascii="Arial" w:cs="Arial" w:eastAsia="Arial" w:hAnsi="Arial"/>
          <w:sz w:val="17"/>
          <w:szCs w:val="17"/>
          <w:color w:val="auto"/>
        </w:rPr>
        <w:t>Affiliates of ABRY are also Term Loan Facility lenders under the First Lien Credit Agreement. As of September 30, 2021, the outstanding principal amount of the Term Loan Facility was $2,288.5 million, of which $47.8 million, or 2.1%, is due to ABRY affiliates.</w:t>
      </w:r>
    </w:p>
    <w:p>
      <w:pPr>
        <w:spacing w:after="0" w:line="184" w:lineRule="exact"/>
        <w:rPr>
          <w:sz w:val="20"/>
          <w:szCs w:val="20"/>
          <w:color w:val="auto"/>
        </w:rPr>
      </w:pPr>
    </w:p>
    <w:p>
      <w:pPr>
        <w:ind w:right="240" w:firstLine="470"/>
        <w:spacing w:after="0" w:line="288" w:lineRule="auto"/>
        <w:rPr>
          <w:sz w:val="20"/>
          <w:szCs w:val="20"/>
          <w:color w:val="auto"/>
        </w:rPr>
      </w:pPr>
      <w:r>
        <w:rPr>
          <w:rFonts w:ascii="Arial" w:cs="Arial" w:eastAsia="Arial" w:hAnsi="Arial"/>
          <w:sz w:val="17"/>
          <w:szCs w:val="17"/>
          <w:color w:val="auto"/>
        </w:rPr>
        <w:t>As part of the IPO, Apollo Global Securities, LLC ("Apollo Global Securities"), an affiliate of Apollo, received fees of $2.7 million in connection with their role as an underwriter in the IPO.</w:t>
      </w:r>
    </w:p>
    <w:p>
      <w:pPr>
        <w:spacing w:after="0" w:line="184"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Apollo Global Securities also received $0.6 million in connection with their role as an initial purchaser of the 3.50% Senior Secured Notes issued on February 9, 2021 and $2.3 million in arranger fees in connection with the entry into the Term Loan Facility on February 9, 2021.</w:t>
      </w:r>
    </w:p>
    <w:p>
      <w:pPr>
        <w:spacing w:after="0" w:line="184" w:lineRule="exact"/>
        <w:rPr>
          <w:sz w:val="20"/>
          <w:szCs w:val="20"/>
          <w:color w:val="auto"/>
        </w:rPr>
      </w:pPr>
    </w:p>
    <w:p>
      <w:pPr>
        <w:ind w:right="120" w:firstLine="470"/>
        <w:spacing w:after="0" w:line="321"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in connection with our November 15, 2017 acquisition of Datapipe Parent, Inc.</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Segment Reporting</w:t>
      </w:r>
    </w:p>
    <w:p>
      <w:pPr>
        <w:spacing w:after="0" w:line="255" w:lineRule="exact"/>
        <w:rPr>
          <w:sz w:val="20"/>
          <w:szCs w:val="20"/>
          <w:color w:val="auto"/>
        </w:rPr>
      </w:pPr>
    </w:p>
    <w:p>
      <w:pPr>
        <w:ind w:right="20" w:firstLine="470"/>
        <w:spacing w:after="0" w:line="263" w:lineRule="auto"/>
        <w:rPr>
          <w:sz w:val="20"/>
          <w:szCs w:val="20"/>
          <w:color w:val="auto"/>
        </w:rPr>
      </w:pPr>
      <w:r>
        <w:rPr>
          <w:rFonts w:ascii="Arial" w:cs="Arial" w:eastAsia="Arial" w:hAnsi="Arial"/>
          <w:sz w:val="17"/>
          <w:szCs w:val="17"/>
          <w:color w:val="auto"/>
        </w:rPr>
        <w:t>We have organized our operations into the following three operating segments, which correspond directly to our reportable segments: Multicloud Services, Apps &amp; Cross Platform, and OpenStack Public Cloud. Our segments are based upon a number of factors, including, the basis for our budgets and forecasts, organizational and management structure and the financial information regularly used by our Chief Operating Decision Maker to make key decisions and to assess performance. We assess financial performance of our segments on the basis of revenue and non-GAAP gross profit, which is a non-GAAP measure of profitability. For the calculation of non-GAAP gross profit, we allocate certain costs, such as data center operating costs, customer support costs, license expense, and depreciation, to our segments generally based on segment revenue.</w:t>
      </w:r>
    </w:p>
    <w:p>
      <w:pPr>
        <w:spacing w:after="0" w:line="205" w:lineRule="exact"/>
        <w:rPr>
          <w:sz w:val="20"/>
          <w:szCs w:val="20"/>
          <w:color w:val="auto"/>
        </w:rPr>
      </w:pPr>
    </w:p>
    <w:p>
      <w:pPr>
        <w:ind w:right="360" w:firstLine="470"/>
        <w:spacing w:after="0" w:line="288" w:lineRule="auto"/>
        <w:rPr>
          <w:sz w:val="20"/>
          <w:szCs w:val="20"/>
          <w:color w:val="auto"/>
        </w:rPr>
      </w:pPr>
      <w:r>
        <w:rPr>
          <w:rFonts w:ascii="Arial" w:cs="Arial" w:eastAsia="Arial" w:hAnsi="Arial"/>
          <w:sz w:val="17"/>
          <w:szCs w:val="17"/>
          <w:color w:val="auto"/>
        </w:rPr>
        <w:t>The table below presents a reconciliation of revenue by reportable segment to consolidated revenue and a reconciliation of segment non-GAAP gross profit to total consolidated gross profit for the three and nine months ended September 30, 2020 and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300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19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Revenue by segment:</w:t>
            </w: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1,569.0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1,809.8</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w:t>
            </w:r>
          </w:p>
        </w:tc>
      </w:tr>
      <w:tr>
        <w:trPr>
          <w:trHeight w:val="20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consolidated revenue</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Non-GAAP gross profit by segment: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Multicloud Services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598.8</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Apps &amp; Cross Platform</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color w:val="auto"/>
              </w:rPr>
              <w:t>OpenStack Public Cloud</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2"/>
        </w:trPr>
        <w:tc>
          <w:tcPr>
            <w:tcW w:w="458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09"/>
        </w:trPr>
        <w:tc>
          <w:tcPr>
            <w:tcW w:w="458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4580" w:type="dxa"/>
            <w:vAlign w:val="bottom"/>
          </w:tcPr>
          <w:p>
            <w:pPr>
              <w:ind w:left="140"/>
              <w:spacing w:after="0" w:line="209"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0"/>
                <w:szCs w:val="20"/>
                <w:color w:val="auto"/>
                <w:vertAlign w:val="superscript"/>
              </w:rPr>
              <w:t>(2)</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4580" w:type="dxa"/>
            <w:vAlign w:val="bottom"/>
            <w:shd w:val="clear" w:color="auto" w:fill="CCEEFF"/>
          </w:tcPr>
          <w:p>
            <w:pPr>
              <w:ind w:left="14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(3)</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02"/>
        </w:trPr>
        <w:tc>
          <w:tcPr>
            <w:tcW w:w="4580" w:type="dxa"/>
            <w:vAlign w:val="bottom"/>
          </w:tcPr>
          <w:p>
            <w:pPr>
              <w:ind w:left="240"/>
              <w:spacing w:after="0"/>
              <w:rPr>
                <w:sz w:val="20"/>
                <w:szCs w:val="20"/>
                <w:color w:val="auto"/>
              </w:rPr>
            </w:pPr>
            <w:r>
              <w:rPr>
                <w:rFonts w:ascii="Arial" w:cs="Arial" w:eastAsia="Arial" w:hAnsi="Arial"/>
                <w:sz w:val="16"/>
                <w:szCs w:val="16"/>
                <w:color w:val="auto"/>
              </w:rPr>
              <w:t>Total consolidated gross profit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80" w:hanging="475"/>
        <w:spacing w:after="0" w:line="247" w:lineRule="auto"/>
        <w:tabs>
          <w:tab w:leader="none" w:pos="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 w:lineRule="exact"/>
        <w:rPr>
          <w:rFonts w:ascii="Arial" w:cs="Arial" w:eastAsia="Arial" w:hAnsi="Arial"/>
          <w:sz w:val="16"/>
          <w:szCs w:val="16"/>
          <w:color w:val="auto"/>
        </w:rPr>
      </w:pPr>
    </w:p>
    <w:p>
      <w:pPr>
        <w:ind w:left="340" w:hanging="335"/>
        <w:spacing w:after="0" w:line="23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purchase accounting from the Rackspace Acquisition on expenses.</w:t>
      </w:r>
    </w:p>
    <w:p>
      <w:pPr>
        <w:ind w:left="480" w:hanging="475"/>
        <w:spacing w:after="0" w:line="239" w:lineRule="auto"/>
        <w:tabs>
          <w:tab w:leader="none" w:pos="357"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3" w:lineRule="exact"/>
        <w:rPr>
          <w:rFonts w:ascii="Arial" w:cs="Arial" w:eastAsia="Arial" w:hAnsi="Arial"/>
          <w:sz w:val="16"/>
          <w:szCs w:val="16"/>
          <w:color w:val="auto"/>
        </w:rPr>
      </w:pPr>
    </w:p>
    <w:p>
      <w:pPr>
        <w:ind w:left="5540" w:hanging="105"/>
        <w:spacing w:after="0"/>
        <w:tabs>
          <w:tab w:leader="none" w:pos="5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2 - MANAGEMENT’S DISCUSSION AND ANALYSIS OF FINANCIAL CONDITION</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AND RESULTS OF OPERATIONS</w:t>
      </w:r>
    </w:p>
    <w:p>
      <w:pPr>
        <w:spacing w:after="0" w:line="237"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(“MD&amp;A”) is intended to help readers understand our results of operations, financial condition and cash flows and should be read in conjunction with the consolidated financial statements and the related notes included elsewhere in this Quarterly Report on Form 10-Q (this "Quarterly Report") and with the audited consolidated financial statements and the related notes included in our Annual Report on Form 10-K. References to “Rackspace Technology,” “we,” “our company,” “the company,” “us,” or “our” refer to Rackspace Technology, Inc. and its consolidated subsidiaries.</w:t>
      </w:r>
    </w:p>
    <w:p>
      <w:pPr>
        <w:spacing w:after="0" w:line="206" w:lineRule="exact"/>
        <w:rPr>
          <w:sz w:val="20"/>
          <w:szCs w:val="20"/>
          <w:color w:val="auto"/>
        </w:rPr>
      </w:pPr>
    </w:p>
    <w:p>
      <w:pPr>
        <w:ind w:right="120" w:firstLine="470"/>
        <w:spacing w:after="0" w:line="358" w:lineRule="auto"/>
        <w:rPr>
          <w:sz w:val="20"/>
          <w:szCs w:val="20"/>
          <w:color w:val="auto"/>
        </w:rPr>
      </w:pPr>
      <w:r>
        <w:rPr>
          <w:rFonts w:ascii="Arial" w:cs="Arial" w:eastAsia="Arial" w:hAnsi="Arial"/>
          <w:sz w:val="15"/>
          <w:szCs w:val="15"/>
          <w:i w:val="1"/>
          <w:iCs w:val="1"/>
          <w:color w:val="auto"/>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Overview</w:t>
      </w:r>
    </w:p>
    <w:p>
      <w:pPr>
        <w:spacing w:after="0" w:line="255"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We are a leading end-to-end multicloud technology services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198" w:lineRule="exact"/>
        <w:rPr>
          <w:sz w:val="20"/>
          <w:szCs w:val="20"/>
          <w:color w:val="auto"/>
        </w:rPr>
      </w:pPr>
    </w:p>
    <w:p>
      <w:pPr>
        <w:ind w:firstLine="470"/>
        <w:spacing w:after="0" w:line="299" w:lineRule="auto"/>
        <w:rPr>
          <w:sz w:val="20"/>
          <w:szCs w:val="20"/>
          <w:color w:val="auto"/>
        </w:rPr>
      </w:pPr>
      <w:r>
        <w:rPr>
          <w:rFonts w:ascii="Arial" w:cs="Arial" w:eastAsia="Arial" w:hAnsi="Arial"/>
          <w:sz w:val="15"/>
          <w:szCs w:val="15"/>
          <w:color w:val="auto"/>
        </w:rPr>
        <w:t>We operate our business and report our results through three reportable segments: (1) Multicloud Services, (2) Apps &amp; Cross Platform and (3) OpenStack Public Cloud. Our Multicloud Services segment includes our multicloud services offerings, as well as professional services related to designing and building multicloud solutions and cloud-native applications. Our Apps &amp; Cross Platform segment includes managed applications, managed security and data services, as well as professional services related to designing and implementing application, security and data services. In early 2017, we determined that our OpenStack Public Cloud offering was not core to our go-forward operations and we ceased to incentivize our sales team to promote and sell the product by the end of that year. We continue to serve our existing OpenStack Public Cloud customer base while we focus our growth strategy and investments on our Multicloud Services and Apps &amp; Cross Platform offerings. See Item 1 of Part I, Financial Statements - Note 14, "Segment Reporting," for additional information about our segments. We refer to certain supplementary “Core” financial measures, which reflect the results or otherwise pertain to the performance of our Multicloud Services and Apps &amp; Cross Platform segments, in the aggregate. Our Core financial measures exclude the results and performance of our OpenStack Public Cloud segment.</w:t>
      </w:r>
    </w:p>
    <w:p>
      <w:pPr>
        <w:spacing w:after="0" w:line="183"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On August 7, 2020, we completed our initial public offering (the “IPO”), in which we issued and sold 33,500,000 shares of our common stock at a public offering price of $21.00 per share.</w:t>
      </w:r>
    </w:p>
    <w:p>
      <w:pPr>
        <w:spacing w:after="0" w:line="184" w:lineRule="exact"/>
        <w:rPr>
          <w:sz w:val="20"/>
          <w:szCs w:val="20"/>
          <w:color w:val="auto"/>
        </w:rPr>
      </w:pPr>
    </w:p>
    <w:p>
      <w:pPr>
        <w:ind w:right="80" w:firstLine="470"/>
        <w:spacing w:after="0" w:line="260" w:lineRule="auto"/>
        <w:rPr>
          <w:sz w:val="20"/>
          <w:szCs w:val="20"/>
          <w:color w:val="auto"/>
        </w:rPr>
      </w:pPr>
      <w:r>
        <w:rPr>
          <w:rFonts w:ascii="Arial" w:cs="Arial" w:eastAsia="Arial" w:hAnsi="Arial"/>
          <w:sz w:val="17"/>
          <w:szCs w:val="17"/>
          <w:color w:val="auto"/>
        </w:rPr>
        <w:t>On July 21, 2021, we committed to an internal restructuring plan (the "July 2021 Restructuring Plan"), which will drive a change in the type and location of certain positions and is expected to result in the termination of approximately 10% of our workforce. We recorded total charges of $34.1 million and $40.5 million for the three and nine months ended September 30, 2021, respectively, related to this restructuring plan. This included $16.1 million and $22.5 million for the three and nine months ended September 30, 2021 for employee related costs and other costs accounted for as exit and disposal costs under ASC 420 as described in Item 1 of Part I, Financial Statements - Note 8, "July 2021 Restructuring Plan." The remaining $18.0 million of expenses during the three and nine months ended September 30, 2021, consisted primarily of one-time offshore build out costs. We expect to incur additional expenses of approximately $30 million over the next 12-18 months with the majority of the remaining amount incurred in the next 12 months. After the July 2021 Restructuring Plan is implemented, we expect to realize approximately $95 to $100 million in gross annual savings compared to expense levels prior to the commencement of the plan.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w:t>
      </w:r>
    </w:p>
    <w:p>
      <w:pPr>
        <w:spacing w:after="0" w:line="249" w:lineRule="exact"/>
        <w:rPr>
          <w:sz w:val="20"/>
          <w:szCs w:val="20"/>
          <w:color w:val="auto"/>
        </w:rPr>
      </w:pPr>
    </w:p>
    <w:p>
      <w:pPr>
        <w:ind w:right="40" w:firstLine="470"/>
        <w:spacing w:after="0" w:line="275" w:lineRule="auto"/>
        <w:rPr>
          <w:sz w:val="20"/>
          <w:szCs w:val="20"/>
          <w:color w:val="auto"/>
        </w:rPr>
      </w:pPr>
      <w:r>
        <w:rPr>
          <w:rFonts w:ascii="Arial" w:cs="Arial" w:eastAsia="Arial" w:hAnsi="Arial"/>
          <w:sz w:val="16"/>
          <w:szCs w:val="16"/>
          <w:color w:val="auto"/>
        </w:rPr>
        <w:t>The outbreak of a novel strain of coronavirus, referred to as COVID-19, has spread globally, including within the United States, and resulted in the World Health Organization declaring the outbreak a "pandemic" in March 2020, with variant strains of the virus continuing to be identified globally. The effects of COVID-19 and its variants continue to evolve, and the full impact and duration of the virus are unknown. Managing COVID-19 has severely impacted healthcare systems and businesses worldwide. The effects of COVID-19 and its variants and the response to the virus have negatively impacted overall economic conditions. To date, COVID-19 and its variants have not adversely affected our results of operations or financial condition in any material respect; however, the ultimate extent of the impact of COVID-19 and its variants on our operational and financial performance will depend on certain developments, including the duration and severity of the outbreak, the pace of economic recovery, the possible resurgence in the spread of the virus or any variant strain(s) of the virus, advances in testing, treatment, and prevention, including the efficacy and availability of vaccines, its impact on our customers, vendors and employees and its impact on our sales cycles as well as industry events, all of which are uncertain and cannot be predicted. If the pandemic worsens or the global economic recovery slows, we could experience service disruption, loss of customers or higher levels of doubtful trade accounts receivable, which could have an adverse effect on our results of operations and cash flows. We continue to focus on the health and safety of our employees, customers and partners and, among other things, have implemented a work-from-home policy and are limiting contact between our employees and customers while continuing to deliver a Fanatical Experience. To date, the impact on our business has been limited as most of our services are already delivered remotely or capable of being delivered remotely and we have a diverse customer base. The full extent to which COVID-19 and its variants may impact our financial condition or results of operations over the medium to long term, however, remains uncertain. Due to our recurring revenue business model, the effect of COVID-19 and its variants may not be fully reflected in our results of operations until future periods, if at all. We will continue to actively monitor the situation and may take further actions that alter our business operations as may be</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required by federal, state or local authorities, or that we determine are in the best interests of our employees, customers, partners, suppliers and stockholders, including developing a plan to return our workforce back to the office when it is safe to do so.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believe our combination of proprietary technology, automation capabilities and technical expertise creates a value proposition for our customers that is hard to replicate for both competitors and in-house IT departments. Our continued success depends to a significant extent on our ability to meet the challenges presented by our highly competitive and dynamic market, including the following key factors: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Differentiating Our Service Offerings in a Competitive Market Environment</w:t>
      </w:r>
    </w:p>
    <w:p>
      <w:pPr>
        <w:spacing w:after="0" w:line="249" w:lineRule="exact"/>
        <w:rPr>
          <w:sz w:val="20"/>
          <w:szCs w:val="20"/>
          <w:color w:val="auto"/>
        </w:rPr>
      </w:pPr>
    </w:p>
    <w:p>
      <w:pPr>
        <w:ind w:right="20" w:firstLine="470"/>
        <w:spacing w:after="0" w:line="260" w:lineRule="auto"/>
        <w:rPr>
          <w:sz w:val="20"/>
          <w:szCs w:val="20"/>
          <w:color w:val="auto"/>
        </w:rPr>
      </w:pPr>
      <w:r>
        <w:rPr>
          <w:rFonts w:ascii="Arial" w:cs="Arial" w:eastAsia="Arial" w:hAnsi="Arial"/>
          <w:sz w:val="17"/>
          <w:szCs w:val="17"/>
          <w:color w:val="auto"/>
        </w:rPr>
        <w:t>Our success depends to a significant extent on our ability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Azure, Google Cloud, Oracle, SAP and VMware. We believe we are unique in our ability to serve customers across major technology stacks and deployment options, all while delivering a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 Annualized Recurring Revenue (“ARR”), which we believe is an important indicator of our market differentiation and future revenue opportunity from recurring customer contracts, was $2,576.4 million and $2,901.9 million for the three months ended September 30, 2020 and 2021, respectively. See “</w:t>
      </w:r>
      <w:r>
        <w:rPr>
          <w:rFonts w:ascii="Arial" w:cs="Arial" w:eastAsia="Arial" w:hAnsi="Arial"/>
          <w:sz w:val="17"/>
          <w:szCs w:val="17"/>
          <w:i w:val="1"/>
          <w:iCs w:val="1"/>
          <w:color w:val="auto"/>
        </w:rPr>
        <w:t>Key Operating Metrics</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Relationships and Retention</w:t>
      </w:r>
    </w:p>
    <w:p>
      <w:pPr>
        <w:spacing w:after="0" w:line="249" w:lineRule="exact"/>
        <w:rPr>
          <w:sz w:val="20"/>
          <w:szCs w:val="20"/>
          <w:color w:val="auto"/>
        </w:rPr>
      </w:pPr>
    </w:p>
    <w:p>
      <w:pPr>
        <w:ind w:right="160" w:firstLine="470"/>
        <w:spacing w:after="0" w:line="280" w:lineRule="auto"/>
        <w:rPr>
          <w:sz w:val="20"/>
          <w:szCs w:val="20"/>
          <w:color w:val="auto"/>
        </w:rPr>
      </w:pPr>
      <w:r>
        <w:rPr>
          <w:rFonts w:ascii="Arial" w:cs="Arial" w:eastAsia="Arial" w:hAnsi="Arial"/>
          <w:sz w:val="16"/>
          <w:szCs w:val="16"/>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the Rackspace Fabric provides customers a unified experience across their entire cloud and security footprint, and that our Rackspace Elastic Engineering model, announced in April 2021,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Shift in Capital Intensity</w:t>
      </w:r>
    </w:p>
    <w:p>
      <w:pPr>
        <w:spacing w:after="0" w:line="249" w:lineRule="exact"/>
        <w:rPr>
          <w:sz w:val="20"/>
          <w:szCs w:val="20"/>
          <w:color w:val="auto"/>
        </w:rPr>
      </w:pPr>
    </w:p>
    <w:p>
      <w:pPr>
        <w:ind w:right="40" w:firstLine="470"/>
        <w:spacing w:after="0" w:line="302" w:lineRule="auto"/>
        <w:rPr>
          <w:sz w:val="20"/>
          <w:szCs w:val="20"/>
          <w:color w:val="auto"/>
        </w:rPr>
      </w:pPr>
      <w:r>
        <w:rPr>
          <w:rFonts w:ascii="Arial" w:cs="Arial" w:eastAsia="Arial" w:hAnsi="Arial"/>
          <w:sz w:val="15"/>
          <w:szCs w:val="15"/>
          <w:color w:val="auto"/>
        </w:rPr>
        <w:t>In recent years, the mix of our revenues has shifted from high capital intensity service offerings to low capital intensity service offerings and we expect this mix shift to continue. Historically, we primarily offered dedicated hosting and OpenStack Public Cloud services to our customers, which required us to deploy servers and equipment to ensure adequate capacity for new customers and, in certain cases, on behalf of customers at the start or during the performance of a contract, resulting in a high level of anticipatory and success-based capital expenditures. Today, the vast majority of our revenue is derived from service offerings, such as multicloud services, application services and professional services, which have significantly lower success-based capital requirements because they allow us to leverage our partners’ infrastructure or technology because we are able to use technology to make our capital expenditures more efficient. As a result, we have recently experienced and expect to continue to experience changes in our capital expenditures requirements.</w:t>
      </w:r>
    </w:p>
    <w:p>
      <w:pPr>
        <w:spacing w:after="0" w:line="180"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Our capital expenditures equaled 7% and 5% of our revenue for the three months ended September 30, 2020 and 2021, respectively, and 9% and 8% of our revenue for the nine months ended September 30, 2020 and 2021, respectively. While there is some variability in capital expenditures from quarter to quarter due to timing of purchases, we expect to maintain or lower capex intensity levels over the longer term.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Human Capital</w:t>
      </w:r>
    </w:p>
    <w:p>
      <w:pPr>
        <w:spacing w:after="0" w:line="249"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Our ability to be successful and to execute on our strategies depends on our ability to hire and retain qualified employees. Like others in our industry, we are realizing higher than historical levels of voluntary attrition. As a result, we are accelerating our best shoring efforts and expanding the geographic reach of our recruiting pool. The company continues to enhance and develop programs to attract, retain and develop top talent.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Operating Metrics</w:t>
      </w:r>
    </w:p>
    <w:p>
      <w:pPr>
        <w:spacing w:after="0" w:line="255" w:lineRule="exact"/>
        <w:rPr>
          <w:sz w:val="20"/>
          <w:szCs w:val="20"/>
          <w:color w:val="auto"/>
        </w:rPr>
      </w:pPr>
    </w:p>
    <w:p>
      <w:pPr>
        <w:ind w:right="80" w:firstLine="470"/>
        <w:spacing w:after="0" w:line="288" w:lineRule="auto"/>
        <w:rPr>
          <w:sz w:val="20"/>
          <w:szCs w:val="20"/>
          <w:color w:val="auto"/>
        </w:rPr>
      </w:pPr>
      <w:r>
        <w:rPr>
          <w:rFonts w:ascii="Arial" w:cs="Arial" w:eastAsia="Arial" w:hAnsi="Arial"/>
          <w:sz w:val="17"/>
          <w:szCs w:val="17"/>
          <w:color w:val="auto"/>
        </w:rPr>
        <w:t>The following table and discussion present and summarize our key operating performance indicators, which management uses as measures of our current and future business and financial performance:</w:t>
      </w:r>
    </w:p>
    <w:p>
      <w:pPr>
        <w:spacing w:after="0" w:line="313"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4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2021</w:t>
            </w:r>
          </w:p>
        </w:tc>
      </w:tr>
      <w:tr>
        <w:trPr>
          <w:trHeight w:val="205"/>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203"/>
        </w:trPr>
        <w:tc>
          <w:tcPr>
            <w:tcW w:w="7120" w:type="dxa"/>
            <w:vAlign w:val="bottom"/>
          </w:tcPr>
          <w:p>
            <w:pPr>
              <w:ind w:left="20"/>
              <w:spacing w:after="0"/>
              <w:rPr>
                <w:sz w:val="20"/>
                <w:szCs w:val="20"/>
                <w:color w:val="auto"/>
              </w:rPr>
            </w:pPr>
            <w:r>
              <w:rPr>
                <w:rFonts w:ascii="Arial" w:cs="Arial" w:eastAsia="Arial" w:hAnsi="Arial"/>
                <w:sz w:val="16"/>
                <w:szCs w:val="16"/>
                <w:color w:val="auto"/>
              </w:rPr>
              <w:t>Annualized Recurring Revenue (ARR)</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2,576.4</w:t>
            </w:r>
          </w:p>
        </w:tc>
        <w:tc>
          <w:tcPr>
            <w:tcW w:w="12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2,901.9</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Bookings</w:t>
      </w:r>
    </w:p>
    <w:p>
      <w:pPr>
        <w:spacing w:after="0" w:line="249" w:lineRule="exact"/>
        <w:rPr>
          <w:sz w:val="20"/>
          <w:szCs w:val="20"/>
          <w:color w:val="auto"/>
        </w:rPr>
      </w:pPr>
    </w:p>
    <w:p>
      <w:pPr>
        <w:ind w:right="60" w:firstLine="470"/>
        <w:spacing w:after="0" w:line="288" w:lineRule="auto"/>
        <w:rPr>
          <w:sz w:val="20"/>
          <w:szCs w:val="20"/>
          <w:color w:val="auto"/>
        </w:rPr>
      </w:pPr>
      <w:r>
        <w:rPr>
          <w:rFonts w:ascii="Arial" w:cs="Arial" w:eastAsia="Arial" w:hAnsi="Arial"/>
          <w:sz w:val="16"/>
          <w:szCs w:val="16"/>
          <w:color w:val="auto"/>
        </w:rPr>
        <w:t>We calculate Bookings for a given period as the annualized monthly value of our recurring customer contracts entered into during the period from (i) new customers and (ii) net upgrades by existing customers within the same workload, plus the actual (not annualized) estimated value of professional services consulting, advisory or project-based orders received during the period. “Recurring customer contracts” are any contracts entered into on a multi-year or month-to-month basis, but excluding any professional services contracts for consulting, advisory or project-based work.</w:t>
      </w:r>
    </w:p>
    <w:p>
      <w:pPr>
        <w:spacing w:after="0" w:line="188" w:lineRule="exact"/>
        <w:rPr>
          <w:sz w:val="20"/>
          <w:szCs w:val="20"/>
          <w:color w:val="auto"/>
        </w:rPr>
      </w:pPr>
    </w:p>
    <w:p>
      <w:pPr>
        <w:ind w:right="100" w:firstLine="470"/>
        <w:spacing w:after="0" w:line="261" w:lineRule="auto"/>
        <w:rPr>
          <w:sz w:val="20"/>
          <w:szCs w:val="20"/>
          <w:color w:val="auto"/>
        </w:rPr>
      </w:pPr>
      <w:r>
        <w:rPr>
          <w:rFonts w:ascii="Arial" w:cs="Arial" w:eastAsia="Arial" w:hAnsi="Arial"/>
          <w:sz w:val="17"/>
          <w:szCs w:val="17"/>
          <w:color w:val="auto"/>
        </w:rPr>
        <w:t>Bookings for any period may reflect orders that we perform in the same period, orders that remain outstanding as of the end of the period and the annualized value of recurring month-to-month contracts entered into during the period, even if the terms of such contracts do not require the contract to be renewed. Bookings include net upgrades by existing customers within the same workload, but exclude net downgrades by such customers within that workload. Any customer that contracts for a new workload is considered a new customer and the entire value of the contract or upgrade is recorded in Bookings, irrespective of whether the same customer canceled or downgraded other workloads. Bookings also do not include the impact of any known contract non-renewals or service cancellations by our customers, except for positive net upgrades by existing customers. In cases where a new or upgrading customer enters into a multi-year contract, Bookings include only the annualized contract value. Bookings do not include usage-based fees in excess of contracted minimum commitments until actually incurred.</w:t>
      </w:r>
    </w:p>
    <w:p>
      <w:pPr>
        <w:spacing w:after="0" w:line="207" w:lineRule="exact"/>
        <w:rPr>
          <w:sz w:val="20"/>
          <w:szCs w:val="20"/>
          <w:color w:val="auto"/>
        </w:rPr>
      </w:pPr>
    </w:p>
    <w:p>
      <w:pPr>
        <w:ind w:firstLine="470"/>
        <w:spacing w:after="0" w:line="288" w:lineRule="auto"/>
        <w:rPr>
          <w:sz w:val="20"/>
          <w:szCs w:val="20"/>
          <w:color w:val="auto"/>
        </w:rPr>
      </w:pPr>
      <w:r>
        <w:rPr>
          <w:rFonts w:ascii="Arial" w:cs="Arial" w:eastAsia="Arial" w:hAnsi="Arial"/>
          <w:sz w:val="16"/>
          <w:szCs w:val="16"/>
          <w:color w:val="auto"/>
        </w:rPr>
        <w:t>We use Bookings to measure the amount of new business generated in a period, which we believe is an important indicator of new customer acquisition and our ability to cross-sell new services to existing customers. Bookings are also used by management as a factor in determining performance-based compensation for our sales force. While we believe Bookings, in combination with other metrics, is an indicator of our near-term future revenue opportunity, it is not intended to be used as a projection of future revenue. Our calculation of Bookings may differ from similarly-titled metrics presented by other companies.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Bookings were $200.3 million in the three months ended September 30, 2021 compared to $314.6 million in the three months ended September 30,</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2020. This decrease is the result of the company’s focus in the current year on growing revenue and profitability with the new customers onboarded in 2019 and</w:t>
      </w:r>
    </w:p>
    <w:p>
      <w:pPr>
        <w:spacing w:after="0" w:line="37"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2020. Sales activities were previously heavily weighted towards new customer acquisition, and in particular infrastructure sales, which drives higher dollar bookings. While we continue to acquire new customers, we also aim to deepen relationships with these customers through high-margin services bookings. In addition, we are investing in initiatives to drive sales productivity improvements.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36" w:lineRule="exact"/>
        <w:rPr>
          <w:sz w:val="20"/>
          <w:szCs w:val="20"/>
          <w:color w:val="auto"/>
        </w:rPr>
      </w:pPr>
    </w:p>
    <w:p>
      <w:pPr>
        <w:ind w:right="160" w:firstLine="470"/>
        <w:spacing w:after="0" w:line="272" w:lineRule="auto"/>
        <w:rPr>
          <w:sz w:val="20"/>
          <w:szCs w:val="20"/>
          <w:color w:val="auto"/>
        </w:rPr>
      </w:pPr>
      <w:r>
        <w:rPr>
          <w:rFonts w:ascii="Arial" w:cs="Arial" w:eastAsia="Arial" w:hAnsi="Arial"/>
          <w:sz w:val="17"/>
          <w:szCs w:val="17"/>
          <w:color w:val="auto"/>
        </w:rPr>
        <w:t>We calculate Annualized Recurring Revenue, or ARR, by annualizing our actual revenue from existing recurring customer contracts (as defined under “Bookings” above) for the most recently completed fiscal quarter. ARR is not adjusted for the impact of any known or projected future customer cancellations, service upgrades or downgrades or price increases or decreases.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We use ARR as a measure of our revenue trend and an indicator of our future revenue opportunity from existing recurring customer contracts, assuming zero cancellations. The amount of actual revenue that we recognize over any 12-month period is likely to differ from ARR at the beginning of that period, sometimes significantly. This may occur due to new Bookings, higher or lower professional services revenue, subsequent changes in our pricing, service cancellations, upgrades or downgrades and acquisitions or divestitures. Our calculation of ARR may differ from similarly-titled metrics presented by other companies.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ARR was $2,576.4 million and $2,901.9 million for the three months ended September 30, 2020 and 2021, respectively.</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Key Components of Statement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6"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A substantial amount of our revenue, particularly within our Multicloud Services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Our public cloud services within the Multicloud Services segment and most of our Apps &amp; Cross Platform and OpenStack Public Cloud services generate usage-based revenue invoiced on a month-to-month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36" w:lineRule="exact"/>
        <w:rPr>
          <w:sz w:val="20"/>
          <w:szCs w:val="20"/>
          <w:color w:val="auto"/>
        </w:rPr>
      </w:pPr>
    </w:p>
    <w:p>
      <w:pPr>
        <w:ind w:right="240" w:firstLine="470"/>
        <w:spacing w:after="0" w:line="313" w:lineRule="auto"/>
        <w:rPr>
          <w:sz w:val="20"/>
          <w:szCs w:val="20"/>
          <w:color w:val="auto"/>
        </w:rPr>
      </w:pPr>
      <w:r>
        <w:rPr>
          <w:rFonts w:ascii="Arial" w:cs="Arial" w:eastAsia="Arial" w:hAnsi="Arial"/>
          <w:sz w:val="15"/>
          <w:szCs w:val="15"/>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 (SG&amp;A)</w:t>
      </w:r>
    </w:p>
    <w:p>
      <w:pPr>
        <w:spacing w:after="0" w:line="236" w:lineRule="exact"/>
        <w:rPr>
          <w:sz w:val="20"/>
          <w:szCs w:val="20"/>
          <w:color w:val="auto"/>
        </w:rPr>
      </w:pPr>
    </w:p>
    <w:p>
      <w:pPr>
        <w:ind w:firstLine="470"/>
        <w:spacing w:after="0" w:line="264" w:lineRule="auto"/>
        <w:rPr>
          <w:sz w:val="20"/>
          <w:szCs w:val="20"/>
          <w:color w:val="auto"/>
        </w:rPr>
      </w:pPr>
      <w:r>
        <w:rPr>
          <w:rFonts w:ascii="Arial" w:cs="Arial" w:eastAsia="Arial" w:hAnsi="Arial"/>
          <w:sz w:val="17"/>
          <w:szCs w:val="17"/>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06" w:lineRule="exact"/>
        <w:rPr>
          <w:sz w:val="20"/>
          <w:szCs w:val="20"/>
          <w:color w:val="auto"/>
        </w:rPr>
      </w:pPr>
    </w:p>
    <w:p>
      <w:pPr>
        <w:ind w:right="60" w:firstLine="470"/>
        <w:spacing w:after="0" w:line="272" w:lineRule="auto"/>
        <w:rPr>
          <w:sz w:val="20"/>
          <w:szCs w:val="20"/>
          <w:color w:val="auto"/>
        </w:rPr>
      </w:pPr>
      <w:r>
        <w:rPr>
          <w:rFonts w:ascii="Arial" w:cs="Arial" w:eastAsia="Arial" w:hAnsi="Arial"/>
          <w:sz w:val="17"/>
          <w:szCs w:val="17"/>
          <w:color w:val="auto"/>
        </w:rPr>
        <w:t>SG&amp;A also includes transaction costs related to acquisitions and financings along with costs related to integration and business transformation initiatives which may impact the comparability of SG&amp;A between periods. Employee related costs and other costs incurred, as discussed in Item 1 of Part I, Financial Statements - Note 8, "July 2021 Restructuring Plan," are also included within SG&amp;A.</w:t>
      </w:r>
    </w:p>
    <w:p>
      <w:pPr>
        <w:spacing w:after="0" w:line="198" w:lineRule="exact"/>
        <w:rPr>
          <w:sz w:val="20"/>
          <w:szCs w:val="20"/>
          <w:color w:val="auto"/>
        </w:rPr>
      </w:pPr>
    </w:p>
    <w:p>
      <w:pPr>
        <w:ind w:right="260" w:firstLine="470"/>
        <w:spacing w:after="0" w:line="267" w:lineRule="auto"/>
        <w:rPr>
          <w:sz w:val="20"/>
          <w:szCs w:val="20"/>
          <w:color w:val="auto"/>
        </w:rPr>
      </w:pPr>
      <w:r>
        <w:rPr>
          <w:rFonts w:ascii="Arial" w:cs="Arial" w:eastAsia="Arial" w:hAnsi="Arial"/>
          <w:sz w:val="17"/>
          <w:szCs w:val="17"/>
          <w:color w:val="auto"/>
        </w:rPr>
        <w:t>Additionally, SG&amp;A has historically included management fees. The management consulting agreements were terminated on August 4, 2020, and therefore no management fees will accrue or be payable for periods subsequent to that date, thereby reducing our SG&amp;A expenses; however, we also expect certain of our other recurring SG&amp;A costs to increase due to the expansion of accounting, legal, investor relations and other functions, incremental insurance coverage and other services needed to operate as a public company.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6"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55" w:lineRule="exact"/>
        <w:rPr>
          <w:sz w:val="20"/>
          <w:szCs w:val="20"/>
          <w:color w:val="auto"/>
        </w:rPr>
      </w:pPr>
    </w:p>
    <w:p>
      <w:pPr>
        <w:ind w:right="400" w:firstLine="470"/>
        <w:spacing w:after="0" w:line="288" w:lineRule="auto"/>
        <w:rPr>
          <w:sz w:val="20"/>
          <w:szCs w:val="20"/>
          <w:color w:val="auto"/>
        </w:rPr>
      </w:pPr>
      <w:r>
        <w:rPr>
          <w:rFonts w:ascii="Arial" w:cs="Arial" w:eastAsia="Arial" w:hAnsi="Arial"/>
          <w:sz w:val="17"/>
          <w:szCs w:val="17"/>
          <w:color w:val="auto"/>
        </w:rPr>
        <w:t>We discuss our historical results of operations, and the key components of those results, below. Past financial results are not necessarily indicative of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2020 Compared to Three Months Ended September 30, 2021</w:t>
      </w:r>
    </w:p>
    <w:p>
      <w:pPr>
        <w:spacing w:after="0" w:line="249"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6"/>
                <w:szCs w:val="16"/>
                <w:b w:val="1"/>
                <w:bCs w:val="1"/>
                <w:color w:val="auto"/>
                <w:w w:val="93"/>
              </w:rPr>
              <w:t>Three Months Ended September 30,</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6"/>
                <w:szCs w:val="16"/>
                <w:b w:val="1"/>
                <w:bCs w:val="1"/>
                <w:color w:val="auto"/>
                <w:w w:val="95"/>
              </w:rPr>
              <w:t>Year-Over-Year Comparison</w:t>
            </w:r>
          </w:p>
        </w:tc>
      </w:tr>
      <w:tr>
        <w:trPr>
          <w:trHeight w:val="202"/>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21.8 %</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6"/>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(9.9)%</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37.0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(100.0)%</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199"/>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(50.9)%</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7.7 %</w:t>
            </w:r>
          </w:p>
        </w:tc>
      </w:tr>
      <w:tr>
        <w:trPr>
          <w:trHeight w:val="230"/>
        </w:trPr>
        <w:tc>
          <w:tcPr>
            <w:tcW w:w="3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49"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Revenue increased $81 million, or 11.9%, to $763 million in the three months ended September 30, 2021 from $682 million in the three months ended September 30, 2020. Revenue was positively impacted by new customer acquisition and growing customer spend in our Multicloud Services and Apps &amp; Cross Platform segments, as discussed below.</w:t>
      </w:r>
    </w:p>
    <w:p>
      <w:pPr>
        <w:spacing w:after="0" w:line="198"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After removing the impact of foreign currency fluctuations, on a constant currency basis, revenue increased 10.9% year-over-year. The following table presents revenue growth by segment: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6"/>
                <w:szCs w:val="16"/>
                <w:b w:val="1"/>
                <w:bCs w:val="1"/>
                <w:color w:val="auto"/>
                <w:w w:val="93"/>
              </w:rPr>
              <w:t>Three Months Ended September 30,</w:t>
            </w:r>
          </w:p>
        </w:tc>
        <w:tc>
          <w:tcPr>
            <w:tcW w:w="12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42"/>
              <w:spacing w:after="0" w:line="206" w:lineRule="exact"/>
              <w:rPr>
                <w:sz w:val="20"/>
                <w:szCs w:val="20"/>
                <w:color w:val="auto"/>
              </w:rPr>
            </w:pPr>
            <w:r>
              <w:rPr>
                <w:rFonts w:ascii="Arial" w:cs="Arial" w:eastAsia="Arial" w:hAnsi="Arial"/>
                <w:sz w:val="16"/>
                <w:szCs w:val="16"/>
                <w:b w:val="1"/>
                <w:bCs w:val="1"/>
                <w:color w:val="auto"/>
                <w:w w:val="94"/>
              </w:rPr>
              <w:t xml:space="preserve">Constant Currency </w:t>
            </w:r>
            <w:r>
              <w:rPr>
                <w:rFonts w:ascii="Arial" w:cs="Arial" w:eastAsia="Arial" w:hAnsi="Arial"/>
                <w:sz w:val="20"/>
                <w:szCs w:val="20"/>
                <w:b w:val="1"/>
                <w:bCs w:val="1"/>
                <w:color w:val="auto"/>
                <w:w w:val="94"/>
                <w:vertAlign w:val="superscript"/>
              </w:rPr>
              <w:t>(1)</w:t>
            </w: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9.9 %</w:t>
            </w:r>
          </w:p>
        </w:tc>
      </w:tr>
      <w:tr>
        <w:trPr>
          <w:trHeight w:val="205"/>
        </w:trPr>
        <w:tc>
          <w:tcPr>
            <w:tcW w:w="4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Core Revenue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(21.0)%</w:t>
            </w:r>
          </w:p>
        </w:tc>
      </w:tr>
      <w:tr>
        <w:trPr>
          <w:trHeight w:val="23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2" w:lineRule="exact"/>
        <w:rPr>
          <w:sz w:val="20"/>
          <w:szCs w:val="20"/>
          <w:color w:val="auto"/>
        </w:rPr>
      </w:pPr>
    </w:p>
    <w:p>
      <w:pPr>
        <w:ind w:left="380" w:hanging="375"/>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540" w:hanging="105"/>
        <w:spacing w:after="0"/>
        <w:tabs>
          <w:tab w:leader="none" w:pos="5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Multicloud Services revenue in the three months ended September 30, 2021 increased 15%, on an actual basis, and 14% on a constant currency basis, from the three months ended September 30, 2020. Underlying growth was driven by both the acquisition of new customers and increased spend by existing customers, partially offset by cancellations by existing customers. Offerings in this segment with the strongest growth include managed public cloud services on AWS, Microsoft Azure and Google Cloud, and VMware Cloud.</w:t>
      </w:r>
    </w:p>
    <w:p>
      <w:pPr>
        <w:spacing w:after="0" w:line="202" w:lineRule="exact"/>
        <w:rPr>
          <w:sz w:val="20"/>
          <w:szCs w:val="20"/>
          <w:color w:val="auto"/>
        </w:rPr>
      </w:pPr>
    </w:p>
    <w:p>
      <w:pPr>
        <w:ind w:right="120" w:firstLine="470"/>
        <w:spacing w:after="0" w:line="272" w:lineRule="auto"/>
        <w:rPr>
          <w:sz w:val="20"/>
          <w:szCs w:val="20"/>
          <w:color w:val="auto"/>
        </w:rPr>
      </w:pPr>
      <w:r>
        <w:rPr>
          <w:rFonts w:ascii="Arial" w:cs="Arial" w:eastAsia="Arial" w:hAnsi="Arial"/>
          <w:sz w:val="17"/>
          <w:szCs w:val="17"/>
          <w:color w:val="auto"/>
        </w:rPr>
        <w:t>Apps &amp; Cross Platform revenue in the three months ended September 30, 2021 increased 11%, on an actual, and 10% on a constant currency basis, from the three months ended September 30, 2020, primarily due to growth in our offerings for managed security and management of productivity and collaboration applications, partially offset by a decrease in professional services revenue.</w:t>
      </w:r>
    </w:p>
    <w:p>
      <w:pPr>
        <w:spacing w:after="0" w:line="198"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OpenStack Public Cloud revenue in the three months ended September 30, 2021 decreased 20%, on an actual basis, and 21% on a constant currency basis, from the three months ended September 30, 2020 due to customer churn.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49"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Cost of revenue increased $95 million, or 22%, to $531 million in the three months ended September 30, 2021 from $436 million in the three months ended September 30, 2020, primarily due to an increase in usage charges for third-party infrastructure associated with growth in these offerings and the impact of an increased volume of larger, multi-year customer contracts which typically have a larger infrastructure component and lower margins. The increase in third-party infrastructure was partially offset by a decline in personnel costs primarily due to lower headcount as a result of restructuring activities, including the July 2021 Restructuring Plan, and the continued shift of roles to lower-cost locations. Depreciation expense also decreased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year-over-year expense reductions in data center and license expenses as a result of initiatives to lower our cost structure, which included the consolidation of data center facilities and optimizing our vendor license spending.</w:t>
      </w:r>
    </w:p>
    <w:p>
      <w:pPr>
        <w:spacing w:after="0" w:line="195"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color w:val="auto"/>
        </w:rPr>
        <w:t>As a percentage of revenue, cost of revenue increased 570 basis points in the three months ended September 30, 2021 to 69.6% from 63.9% in the three months ended September 30, 2020, primarily driven by a 1,320 basis point increase in usage charges for third-party infrastructure, partially offset by a decrease related to depreciation, personnel, data center, and license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 and Non-GAAP Gross Profit</w:t>
      </w:r>
    </w:p>
    <w:p>
      <w:pPr>
        <w:spacing w:after="0" w:line="236" w:lineRule="exact"/>
        <w:rPr>
          <w:sz w:val="20"/>
          <w:szCs w:val="20"/>
          <w:color w:val="auto"/>
        </w:rPr>
      </w:pPr>
    </w:p>
    <w:p>
      <w:pPr>
        <w:ind w:right="20" w:firstLine="470"/>
        <w:spacing w:after="0" w:line="264" w:lineRule="auto"/>
        <w:rPr>
          <w:sz w:val="20"/>
          <w:szCs w:val="20"/>
          <w:color w:val="auto"/>
        </w:rPr>
      </w:pPr>
      <w:r>
        <w:rPr>
          <w:rFonts w:ascii="Arial" w:cs="Arial" w:eastAsia="Arial" w:hAnsi="Arial"/>
          <w:sz w:val="17"/>
          <w:szCs w:val="17"/>
          <w:color w:val="auto"/>
        </w:rPr>
        <w:t>Our consolidated gross profit was $232 million in the three months ended September 30, 2021, a decrease of $14 million from $246 million in the three months ended September 30, 2020. Our Non-GAAP Gross Profit was $250 million in the three months ended September 30, 2021, a decrease of $5 million from $256 million in the three months ended September 30, 2020. Non-GAAP Gross Profit is a non-GAAP financial measure.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more information. Our consolidated gross margin was 30.4% in the three months ended September 30, 2021, a decrease of 570 basis points from 36.1% in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table below presents our segment non-GAAP gross profit and gross margin for the periods indicated, and the change in gross profit between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0"/>
              </w:rPr>
              <w:t>Three Months Ended September 30,</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9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6"/>
                <w:szCs w:val="16"/>
                <w:b w:val="1"/>
                <w:bCs w:val="1"/>
                <w:color w:val="auto"/>
                <w:w w:val="91"/>
              </w:rPr>
              <w:t>Year-Over-Year Comparison</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160" w:type="dxa"/>
            <w:vAlign w:val="bottom"/>
          </w:tcPr>
          <w:p>
            <w:pPr>
              <w:jc w:val="right"/>
              <w:ind w:right="22"/>
              <w:spacing w:after="0" w:line="153"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100" w:type="dxa"/>
            <w:vAlign w:val="bottom"/>
          </w:tcPr>
          <w:p>
            <w:pPr>
              <w:jc w:val="center"/>
              <w:ind w:right="2"/>
              <w:spacing w:after="0" w:line="153" w:lineRule="exact"/>
              <w:rPr>
                <w:sz w:val="20"/>
                <w:szCs w:val="20"/>
                <w:color w:val="auto"/>
              </w:rPr>
            </w:pPr>
            <w:r>
              <w:rPr>
                <w:rFonts w:ascii="Arial" w:cs="Arial" w:eastAsia="Arial" w:hAnsi="Arial"/>
                <w:sz w:val="16"/>
                <w:szCs w:val="16"/>
                <w:b w:val="1"/>
                <w:bCs w:val="1"/>
                <w:color w:val="auto"/>
                <w:w w:val="88"/>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32.1 %  $</w:t>
            </w:r>
          </w:p>
        </w:tc>
        <w:tc>
          <w:tcPr>
            <w:tcW w:w="900" w:type="dxa"/>
            <w:vAlign w:val="bottom"/>
            <w:shd w:val="clear" w:color="auto" w:fill="CCEEFF"/>
          </w:tcPr>
          <w:p>
            <w:pPr>
              <w:jc w:val="center"/>
              <w:ind w:left="442"/>
              <w:spacing w:after="0"/>
              <w:rPr>
                <w:sz w:val="20"/>
                <w:szCs w:val="20"/>
                <w:color w:val="auto"/>
              </w:rPr>
            </w:pPr>
            <w:r>
              <w:rPr>
                <w:rFonts w:ascii="Arial" w:cs="Arial" w:eastAsia="Arial" w:hAnsi="Arial"/>
                <w:sz w:val="16"/>
                <w:szCs w:val="16"/>
                <w:color w:val="auto"/>
                <w:w w:val="91"/>
              </w:rPr>
              <w:t>(2.1)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ind w:left="640"/>
              <w:spacing w:after="0"/>
              <w:rPr>
                <w:sz w:val="20"/>
                <w:szCs w:val="20"/>
                <w:color w:val="auto"/>
              </w:rPr>
            </w:pPr>
            <w:r>
              <w:rPr>
                <w:rFonts w:ascii="Arial" w:cs="Arial" w:eastAsia="Arial" w:hAnsi="Arial"/>
                <w:sz w:val="16"/>
                <w:szCs w:val="16"/>
                <w:color w:val="auto"/>
                <w:w w:val="88"/>
              </w:rPr>
              <w:t>36.4 %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left="502"/>
              <w:spacing w:after="0"/>
              <w:rPr>
                <w:sz w:val="20"/>
                <w:szCs w:val="20"/>
                <w:color w:val="auto"/>
              </w:rPr>
            </w:pPr>
            <w:r>
              <w:rPr>
                <w:rFonts w:ascii="Arial" w:cs="Arial" w:eastAsia="Arial" w:hAnsi="Arial"/>
                <w:sz w:val="16"/>
                <w:szCs w:val="16"/>
                <w:color w:val="auto"/>
                <w:w w:val="89"/>
              </w:rPr>
              <w:t>6.1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22.0 %</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8"/>
              </w:rPr>
              <w:t>36.1 %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42"/>
              <w:spacing w:after="0"/>
              <w:rPr>
                <w:sz w:val="20"/>
                <w:szCs w:val="20"/>
                <w:color w:val="auto"/>
              </w:rPr>
            </w:pPr>
            <w:r>
              <w:rPr>
                <w:rFonts w:ascii="Arial" w:cs="Arial" w:eastAsia="Arial" w:hAnsi="Arial"/>
                <w:sz w:val="16"/>
                <w:szCs w:val="16"/>
                <w:color w:val="auto"/>
                <w:w w:val="91"/>
              </w:rPr>
              <w:t>(9.2)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199"/>
        </w:trPr>
        <w:tc>
          <w:tcPr>
            <w:tcW w:w="410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left="442"/>
              <w:spacing w:after="0"/>
              <w:rPr>
                <w:sz w:val="20"/>
                <w:szCs w:val="20"/>
                <w:color w:val="auto"/>
              </w:rPr>
            </w:pPr>
            <w:r>
              <w:rPr>
                <w:rFonts w:ascii="Arial" w:cs="Arial" w:eastAsia="Arial" w:hAnsi="Arial"/>
                <w:sz w:val="16"/>
                <w:szCs w:val="16"/>
                <w:color w:val="auto"/>
                <w:w w:val="91"/>
              </w:rPr>
              <w:t>(5.2)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line="209"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34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46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right="600" w:hanging="391"/>
        <w:spacing w:after="0" w:line="232" w:lineRule="auto"/>
        <w:rPr>
          <w:sz w:val="20"/>
          <w:szCs w:val="20"/>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 for the impact of purchase accounting from the Rackspace Acquisition on expenses.</w:t>
      </w:r>
    </w:p>
    <w:p>
      <w:pPr>
        <w:spacing w:after="0" w:line="38" w:lineRule="exact"/>
        <w:rPr>
          <w:sz w:val="20"/>
          <w:szCs w:val="20"/>
          <w:color w:val="auto"/>
        </w:rPr>
      </w:pPr>
    </w:p>
    <w:p>
      <w:pPr>
        <w:jc w:val="both"/>
        <w:ind w:left="460" w:right="700" w:hanging="391"/>
        <w:spacing w:after="0" w:line="223" w:lineRule="auto"/>
        <w:rPr>
          <w:sz w:val="20"/>
          <w:szCs w:val="20"/>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21"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Multicloud Services non-GAAP gross profit decreased 1% in the three months ended September 30, 2021 from the three months ended September 30, 2020. Segment non-GAAP gross profit as a percentage of segment revenue decreased by 530 basis points, reflecting a 25% increase in segment cost of revenue and a 15% increase in segment revenue. The increase in costs was mainly driven by higher third-party infrastructure costs, partially offset by lower personnel costs, depreciation, data center, and license expense.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Apps &amp; Cross Platform non-GAAP gross profit increased 22% in the three months ended September 30, 2021 from the three months ended September 30,</w:t>
      </w:r>
    </w:p>
    <w:p>
      <w:pPr>
        <w:spacing w:after="0" w:line="4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2020. Segment non-GAAP gross profit as a percentage of segment revenue increased by 340 basis points, reflecting a 5% increase in segment cost of revenue and an 11% increase in segment revenue. The increase in cost of revenue was driven by the segment’s higher business volume as well as higher third-party infrastructure costs.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OpenStack Public Cloud non-GAAP gross profit decreased 36% in the three months ended September 30, 2021 from the three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2020 due to customer churn. Segment non-GAAP gross profit as a percentage of segment revenue decreased by 930 basis points, reflecting a 20%</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decrease in segment revenue, partially offset by a 6% decrease in segment cost of revenue.</w:t>
      </w:r>
    </w:p>
    <w:p>
      <w:pPr>
        <w:spacing w:after="0" w:line="237"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The aggregate amount of costs reflected in consolidated gross profit but excluded from segment non-GAAP gross profit was $18.6 million in the three months ended September 30, 2021, an increase of $8.9 million from $9.7 million in the three months ended September 30, 2020, reflecting higher restructuring and transformation expenses, partially offset by lower share-based compensation and other compensation expense. For more information about our segment non-GAAP gross profit, see Item 1 of Part I, Financial Statements - Note 14, "Segment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36"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Selling, general and administrative expenses decreased $26 million, or 10%, to $235 million in the three months ended September 30, 2021 from $261 million in the three months ended September 30, 2020, primarily due to a reduction in Onica integration costs and costs incurred in the prior period related to the IPO, including $20 million of share-based compensation expense for certain awards that became probable of vesting upon completion of the IPO. These cost reductions were partially offset by costs incurred in the three months ended September 30, 2021 related to the July 2021 Restructuring Plan, including $16 million of restructuring charges accounted for as exit and disposal costs under ASC 420. See Item 1 of Part I, Financial Statements - Note 8, "July 2021 Restructuring Plan," for additional information.</w:t>
      </w:r>
    </w:p>
    <w:p>
      <w:pPr>
        <w:spacing w:after="0" w:line="205"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As a percentage of revenue, selling, general and administrative expenses decreased 740 basis points, to 30.8% in the three months ended September 30, 2021 from 38.2% in the three months ended September 30, 2020, for the reasons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36" w:lineRule="exact"/>
        <w:rPr>
          <w:sz w:val="20"/>
          <w:szCs w:val="20"/>
          <w:color w:val="auto"/>
        </w:rPr>
      </w:pPr>
    </w:p>
    <w:p>
      <w:pPr>
        <w:ind w:right="400" w:firstLine="470"/>
        <w:spacing w:after="0" w:line="272" w:lineRule="auto"/>
        <w:rPr>
          <w:sz w:val="20"/>
          <w:szCs w:val="20"/>
          <w:color w:val="auto"/>
        </w:rPr>
      </w:pPr>
      <w:r>
        <w:rPr>
          <w:rFonts w:ascii="Arial" w:cs="Arial" w:eastAsia="Arial" w:hAnsi="Arial"/>
          <w:sz w:val="17"/>
          <w:szCs w:val="17"/>
          <w:color w:val="auto"/>
        </w:rPr>
        <w:t>Interest expense decreased $17 million to $52 million in the three months ended September 30, 2021 from $68 million in the three months ended September 30, 2020, primarily driven by a reduction in total debt outstanding and lower interest rates as a result of significant debt refinancing transactions between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Modification and Extinguishment Costs</w:t>
      </w:r>
    </w:p>
    <w:p>
      <w:pPr>
        <w:spacing w:after="0" w:line="236" w:lineRule="exact"/>
        <w:rPr>
          <w:sz w:val="20"/>
          <w:szCs w:val="20"/>
          <w:color w:val="auto"/>
        </w:rPr>
      </w:pPr>
    </w:p>
    <w:p>
      <w:pPr>
        <w:ind w:right="120" w:firstLine="470"/>
        <w:spacing w:after="0" w:line="321" w:lineRule="auto"/>
        <w:rPr>
          <w:sz w:val="20"/>
          <w:szCs w:val="20"/>
          <w:color w:val="auto"/>
        </w:rPr>
      </w:pPr>
      <w:r>
        <w:rPr>
          <w:rFonts w:ascii="Arial" w:cs="Arial" w:eastAsia="Arial" w:hAnsi="Arial"/>
          <w:sz w:val="16"/>
          <w:szCs w:val="16"/>
          <w:color w:val="auto"/>
        </w:rPr>
        <w:t>We recorded $37 million of debt modification and extinguishment costs in the three months ended September 30, 2020 related to the repurchase of $515 million principal amount of our 8.625% Senior Notes through a tender offer. The 8.625% Senior Notes were fully repaid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for Income Taxes</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income tax benefit increased to $20 million in the three months ended September 30, 2021 from $18 million in the three months ended September 30,</w:t>
      </w:r>
    </w:p>
    <w:p>
      <w:pPr>
        <w:spacing w:after="0" w:line="4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2020. Our effective tax rate increased from 15.1% in the three months ended September 30, 2020 to 35.8% in the three months ended September 30, 2021. The increase in the effective tax rate year-over-year is primarily due to the geographic distribution of profits, which included the release of historic tax reserves due to statute expiration that resulted in a $13.4 million tax benefit, application of the GILTI provisions and executive compensation that is nondeductible under IRC Section 162(m). The difference between the effective tax rate for the three months ended September 30, 2021 and the statutory rate is primarily due to the geographic distribution of profits, which included the release of the aforementioned historic tax reserves due to statute expiration, and application of the GILTI provisions.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2020 Compared to Nine Months Ended September 30, 2021</w:t>
      </w:r>
    </w:p>
    <w:p>
      <w:pPr>
        <w:spacing w:after="0" w:line="249"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6"/>
                <w:szCs w:val="16"/>
                <w:b w:val="1"/>
                <w:bCs w:val="1"/>
                <w:color w:val="auto"/>
                <w:w w:val="88"/>
              </w:rPr>
              <w:t>Nine Months Ended September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6"/>
                <w:szCs w:val="16"/>
                <w:b w:val="1"/>
                <w:bCs w:val="1"/>
                <w:color w:val="auto"/>
                <w:w w:val="94"/>
              </w:rPr>
              <w:t>Year-Over-Year Comparison</w:t>
            </w:r>
          </w:p>
        </w:tc>
      </w:tr>
      <w:tr>
        <w:trPr>
          <w:trHeight w:val="202"/>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8"/>
              </w:rPr>
              <w:t>% Revenue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2,232.2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22.0 %</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199"/>
        </w:trPr>
        <w:tc>
          <w:tcPr>
            <w:tcW w:w="3280" w:type="dxa"/>
            <w:vAlign w:val="bottom"/>
          </w:tcPr>
          <w:p>
            <w:pPr>
              <w:ind w:left="34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(18.0)%</w:t>
            </w: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(26.1)%</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investments, net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Debt modification and extinguishment costs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199"/>
        </w:trPr>
        <w:tc>
          <w:tcPr>
            <w:tcW w:w="3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(19.6)%</w:t>
            </w:r>
          </w:p>
        </w:tc>
      </w:tr>
      <w:tr>
        <w:trPr>
          <w:trHeight w:val="205"/>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for income taxes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11.4 %</w:t>
            </w:r>
          </w:p>
        </w:tc>
      </w:tr>
      <w:tr>
        <w:trPr>
          <w:trHeight w:val="230"/>
        </w:trPr>
        <w:tc>
          <w:tcPr>
            <w:tcW w:w="3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49" w:lineRule="exact"/>
        <w:rPr>
          <w:sz w:val="20"/>
          <w:szCs w:val="20"/>
          <w:color w:val="auto"/>
        </w:rPr>
      </w:pPr>
    </w:p>
    <w:p>
      <w:pPr>
        <w:jc w:val="both"/>
        <w:ind w:right="20" w:firstLine="470"/>
        <w:spacing w:after="0" w:line="272" w:lineRule="auto"/>
        <w:rPr>
          <w:sz w:val="20"/>
          <w:szCs w:val="20"/>
          <w:color w:val="auto"/>
        </w:rPr>
      </w:pPr>
      <w:r>
        <w:rPr>
          <w:rFonts w:ascii="Arial" w:cs="Arial" w:eastAsia="Arial" w:hAnsi="Arial"/>
          <w:sz w:val="17"/>
          <w:szCs w:val="17"/>
          <w:color w:val="auto"/>
        </w:rPr>
        <w:t>Revenue increased $241 million, or 12.1%, to $2,232 million in the nine months ended September 30, 2021 from $1,991 million in the nine months ended September 30, 2020. Revenue was positively impacted by new customer acquisition and growing customer spend in our Multicloud Services and Apps &amp; Cross Platform segments, as discussed below.</w:t>
      </w:r>
    </w:p>
    <w:p>
      <w:pPr>
        <w:spacing w:after="0" w:line="198"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After removing the impact from foreign currency fluctuations, on a constant currency basis, revenue increased 10.8% year-over-year. The following table presents revenue growth by segment: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6"/>
                <w:szCs w:val="16"/>
                <w:b w:val="1"/>
                <w:bCs w:val="1"/>
                <w:color w:val="auto"/>
                <w:w w:val="94"/>
              </w:rPr>
              <w:t>Nine Months Ended September 30,</w:t>
            </w:r>
          </w:p>
        </w:tc>
        <w:tc>
          <w:tcPr>
            <w:tcW w:w="12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6"/>
                <w:szCs w:val="16"/>
                <w:b w:val="1"/>
                <w:bCs w:val="1"/>
                <w:color w:val="auto"/>
              </w:rPr>
              <w:t>% Change</w:t>
            </w:r>
          </w:p>
        </w:tc>
      </w:tr>
      <w:tr>
        <w:trPr>
          <w:trHeight w:val="20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42"/>
              <w:spacing w:after="0" w:line="206" w:lineRule="exact"/>
              <w:rPr>
                <w:sz w:val="20"/>
                <w:szCs w:val="20"/>
                <w:color w:val="auto"/>
              </w:rPr>
            </w:pPr>
            <w:r>
              <w:rPr>
                <w:rFonts w:ascii="Arial" w:cs="Arial" w:eastAsia="Arial" w:hAnsi="Arial"/>
                <w:sz w:val="16"/>
                <w:szCs w:val="16"/>
                <w:b w:val="1"/>
                <w:bCs w:val="1"/>
                <w:color w:val="auto"/>
                <w:w w:val="94"/>
              </w:rPr>
              <w:t xml:space="preserve">Constant Currency </w:t>
            </w:r>
            <w:r>
              <w:rPr>
                <w:rFonts w:ascii="Arial" w:cs="Arial" w:eastAsia="Arial" w:hAnsi="Arial"/>
                <w:sz w:val="20"/>
                <w:szCs w:val="20"/>
                <w:b w:val="1"/>
                <w:bCs w:val="1"/>
                <w:color w:val="auto"/>
                <w:w w:val="94"/>
                <w:vertAlign w:val="superscript"/>
              </w:rPr>
              <w:t>(1)</w:t>
            </w: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Apps &amp; Cross Platform</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14.5 %</w:t>
            </w:r>
          </w:p>
        </w:tc>
      </w:tr>
      <w:tr>
        <w:trPr>
          <w:trHeight w:val="205"/>
        </w:trPr>
        <w:tc>
          <w:tcPr>
            <w:tcW w:w="4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Revenue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14.0 %</w:t>
            </w:r>
          </w:p>
        </w:tc>
      </w:tr>
      <w:tr>
        <w:trPr>
          <w:trHeight w:val="20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OpenStack Public Cloud</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(22.2)%</w:t>
            </w:r>
          </w:p>
        </w:tc>
      </w:tr>
      <w:tr>
        <w:trPr>
          <w:trHeight w:val="230"/>
        </w:trPr>
        <w:tc>
          <w:tcPr>
            <w:tcW w:w="4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2,232.2</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82" w:lineRule="exact"/>
        <w:rPr>
          <w:sz w:val="20"/>
          <w:szCs w:val="20"/>
          <w:color w:val="auto"/>
        </w:rPr>
      </w:pPr>
    </w:p>
    <w:p>
      <w:pPr>
        <w:ind w:left="380" w:hanging="375"/>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in this section for further explanation and reconciliation.</w:t>
      </w:r>
    </w:p>
    <w:p>
      <w:pPr>
        <w:spacing w:after="0" w:line="232"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Multicloud Services revenue in the nine months ended September 30, 2021 increased 15%, on an actual basis, and 14% on a constant currency basis, from the nine months ended September 30, 2020. Underlying growth was primarily driven by both the acquisition of new customers and increased spend by existing customers, partially offset by cancellations by existing customers. Offerings in this segment with the strongest growth include managed public cloud services on AWS, Microsoft Azure and Google Cloud, and VMware Cloud.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300" w:firstLine="470"/>
        <w:spacing w:after="0" w:line="272" w:lineRule="auto"/>
        <w:rPr>
          <w:sz w:val="20"/>
          <w:szCs w:val="20"/>
          <w:color w:val="auto"/>
        </w:rPr>
      </w:pPr>
      <w:r>
        <w:rPr>
          <w:rFonts w:ascii="Arial" w:cs="Arial" w:eastAsia="Arial" w:hAnsi="Arial"/>
          <w:sz w:val="17"/>
          <w:szCs w:val="17"/>
          <w:color w:val="auto"/>
        </w:rPr>
        <w:t>Apps &amp; Cross Platform revenue in the nine months ended September 30, 2021 increased 15%, on an actual and constant currency basis, from the nine months ended September 30, 2020, primarily due to growth in our offerings for managed security and management of productivity and collaboration applications, partially offset by a decrease in professional services revenue.</w:t>
      </w:r>
    </w:p>
    <w:p>
      <w:pPr>
        <w:spacing w:after="0" w:line="198"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OpenStack Public Cloud revenue in the nine months ended September 30, 2021 decreased 21%, on an actual basis, and 22% on a constant currency basis, from the nine months ended September 30, 2020 due to customer churn.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49" w:lineRule="exact"/>
        <w:rPr>
          <w:sz w:val="20"/>
          <w:szCs w:val="20"/>
          <w:color w:val="auto"/>
        </w:rPr>
      </w:pPr>
    </w:p>
    <w:p>
      <w:pPr>
        <w:ind w:firstLine="470"/>
        <w:spacing w:after="0" w:line="278" w:lineRule="auto"/>
        <w:rPr>
          <w:sz w:val="20"/>
          <w:szCs w:val="20"/>
          <w:color w:val="auto"/>
        </w:rPr>
      </w:pPr>
      <w:r>
        <w:rPr>
          <w:rFonts w:ascii="Arial" w:cs="Arial" w:eastAsia="Arial" w:hAnsi="Arial"/>
          <w:sz w:val="16"/>
          <w:szCs w:val="16"/>
          <w:color w:val="auto"/>
        </w:rPr>
        <w:t>Cost of revenue increased $276 million, or 22%, to $1,530 million in the nine months ended September 30, 2021 from $1,254 million in the nine months ended September 30, 2020, primarily due to an increase in usage charges for third-party infrastructure associated with growth in these offerings and the impact of an increased volume of larger, multi-year customer contracts which typically have a larger infrastructure component and lower margins. The increase in third-party infrastructure was partially offset by a decline in personnel costs primarily due to cost savings as a result of shifting roles to lower-cost locations, partially offset by an increase in share-based compensation and severance expense. Depreciation expense decreased primarily related to certain property, equipment and software reaching the end of its useful life for depreciation purposes as we shift towards faster-growing, value-added service offerings which have significantly lower capital requirements than our legacy capital-intensive revenue streams. Additionally, in March 2021, we completed an assessment of the useful lives of certain customer gear equipment which resulted in a revision of certain useful lives within our policy ranges, further contributing to the reduction in depreciation expense. We also had year-over-year expense reductions in data center and license expenses as a result of initiatives to lower our cost structure, which included the consolidation of data center facilities and optimizing our vendor license spending.</w:t>
      </w:r>
    </w:p>
    <w:p>
      <w:pPr>
        <w:spacing w:after="0" w:line="195" w:lineRule="exact"/>
        <w:rPr>
          <w:sz w:val="20"/>
          <w:szCs w:val="20"/>
          <w:color w:val="auto"/>
        </w:rPr>
      </w:pPr>
    </w:p>
    <w:p>
      <w:pPr>
        <w:ind w:right="100" w:firstLine="470"/>
        <w:spacing w:after="0" w:line="272" w:lineRule="auto"/>
        <w:rPr>
          <w:sz w:val="20"/>
          <w:szCs w:val="20"/>
          <w:color w:val="auto"/>
        </w:rPr>
      </w:pPr>
      <w:r>
        <w:rPr>
          <w:rFonts w:ascii="Arial" w:cs="Arial" w:eastAsia="Arial" w:hAnsi="Arial"/>
          <w:sz w:val="17"/>
          <w:szCs w:val="17"/>
          <w:color w:val="auto"/>
        </w:rPr>
        <w:t>As a percentage of revenue, cost of revenue increased 550 basis points in the nine months ended September 30, 2021 to 68.5% from 63.0% in the nine months ended September 30, 2020, primarily driven by a 1,330 basis point increase in usage charges for third-party infrastructure, partially offset by a decrease related to personnel costs, depreciation, data center, and license expense.</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ind w:left="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Gross Profit and Non-GAAP Gross Profit</w:t>
      </w:r>
    </w:p>
    <w:p>
      <w:pPr>
        <w:spacing w:after="0" w:line="249" w:lineRule="exact"/>
        <w:rPr>
          <w:sz w:val="20"/>
          <w:szCs w:val="20"/>
          <w:color w:val="auto"/>
        </w:rPr>
      </w:pPr>
    </w:p>
    <w:p>
      <w:pPr>
        <w:ind w:left="20" w:right="80" w:firstLine="470"/>
        <w:spacing w:after="0" w:line="264" w:lineRule="auto"/>
        <w:rPr>
          <w:sz w:val="20"/>
          <w:szCs w:val="20"/>
          <w:color w:val="auto"/>
        </w:rPr>
      </w:pPr>
      <w:r>
        <w:rPr>
          <w:rFonts w:ascii="Arial" w:cs="Arial" w:eastAsia="Arial" w:hAnsi="Arial"/>
          <w:sz w:val="17"/>
          <w:szCs w:val="17"/>
          <w:color w:val="auto"/>
        </w:rPr>
        <w:t>Our consolidated gross profit was $703 million in the nine months ended September 30, 2021, a decrease of $35 million from $737 million in the nine months ended September 30, 2020. Our Non-GAAP Gross Profit was $750 million in the nine months ended September 30, 2021, a decrease of $13 million from $763 million in the nine months ended September 30, 2020. Non-GAAP Gross Profit is a non-GAAP financial measure. See “</w:t>
      </w:r>
      <w:r>
        <w:rPr>
          <w:rFonts w:ascii="Arial" w:cs="Arial" w:eastAsia="Arial" w:hAnsi="Arial"/>
          <w:sz w:val="17"/>
          <w:szCs w:val="17"/>
          <w:i w:val="1"/>
          <w:iCs w:val="1"/>
          <w:color w:val="auto"/>
        </w:rPr>
        <w:t>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w:t>
      </w:r>
      <w:r>
        <w:rPr>
          <w:rFonts w:ascii="Arial" w:cs="Arial" w:eastAsia="Arial" w:hAnsi="Arial"/>
          <w:sz w:val="17"/>
          <w:szCs w:val="17"/>
          <w:color w:val="auto"/>
        </w:rPr>
        <w:t>” below for more information. Our consolidated gross margin was 31.5% in the nine months ended September 30, 2021, a decrease of 550 basis points</w:t>
      </w:r>
      <w:r>
        <w:rPr>
          <w:rFonts w:ascii="Arial" w:cs="Arial" w:eastAsia="Arial" w:hAnsi="Arial"/>
          <w:sz w:val="17"/>
          <w:szCs w:val="17"/>
          <w:i w:val="1"/>
          <w:iCs w:val="1"/>
          <w:color w:val="auto"/>
        </w:rPr>
        <w:t xml:space="preserve"> </w:t>
      </w:r>
      <w:r>
        <w:rPr>
          <w:rFonts w:ascii="Arial" w:cs="Arial" w:eastAsia="Arial" w:hAnsi="Arial"/>
          <w:sz w:val="17"/>
          <w:szCs w:val="17"/>
          <w:color w:val="auto"/>
        </w:rPr>
        <w:t>from 37.0% in the nine months ended September 30, 2020.</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table below presents our segment non-GAAP gross profit and gross margin for the periods indicated, and the change in gross profit between periods: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88"/>
              </w:rPr>
              <w:t>Nine Months Ended September 30,</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4"/>
                <w:szCs w:val="14"/>
                <w:color w:val="auto"/>
              </w:rPr>
              <w:t>(In millions, except %)</w:t>
            </w: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6"/>
                <w:szCs w:val="16"/>
                <w:b w:val="1"/>
                <w:bCs w:val="1"/>
                <w:color w:val="auto"/>
                <w:w w:val="91"/>
              </w:rPr>
              <w:t>Year-Over-Year Comparison</w:t>
            </w:r>
          </w:p>
        </w:tc>
        <w:tc>
          <w:tcPr>
            <w:tcW w:w="0" w:type="dxa"/>
            <w:vAlign w:val="bottom"/>
          </w:tcPr>
          <w:p>
            <w:pPr>
              <w:spacing w:after="0"/>
              <w:rPr>
                <w:sz w:val="1"/>
                <w:szCs w:val="1"/>
                <w:color w:val="auto"/>
              </w:rPr>
            </w:pPr>
          </w:p>
        </w:tc>
      </w:tr>
      <w:tr>
        <w:trPr>
          <w:trHeight w:val="153"/>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 by segment:</w:t>
            </w: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160" w:type="dxa"/>
            <w:vAlign w:val="bottom"/>
          </w:tcPr>
          <w:p>
            <w:pPr>
              <w:jc w:val="right"/>
              <w:ind w:right="22"/>
              <w:spacing w:after="0" w:line="153" w:lineRule="exact"/>
              <w:rPr>
                <w:sz w:val="20"/>
                <w:szCs w:val="20"/>
                <w:color w:val="auto"/>
              </w:rPr>
            </w:pPr>
            <w:r>
              <w:rPr>
                <w:rFonts w:ascii="Arial" w:cs="Arial" w:eastAsia="Arial" w:hAnsi="Arial"/>
                <w:sz w:val="16"/>
                <w:szCs w:val="16"/>
                <w:b w:val="1"/>
                <w:bCs w:val="1"/>
                <w:color w:val="auto"/>
                <w:w w:val="98"/>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vMerge w:val="restart"/>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88"/>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4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Revenue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38.2 %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33.1 %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410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34.6 %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7"/>
                <w:szCs w:val="17"/>
                <w:color w:val="auto"/>
              </w:rPr>
            </w:pPr>
          </w:p>
        </w:tc>
        <w:tc>
          <w:tcPr>
            <w:tcW w:w="1180" w:type="dxa"/>
            <w:vAlign w:val="bottom"/>
          </w:tcPr>
          <w:p>
            <w:pPr>
              <w:ind w:left="720"/>
              <w:spacing w:after="0"/>
              <w:rPr>
                <w:sz w:val="20"/>
                <w:szCs w:val="20"/>
                <w:color w:val="auto"/>
              </w:rPr>
            </w:pPr>
            <w:r>
              <w:rPr>
                <w:rFonts w:ascii="Arial" w:cs="Arial" w:eastAsia="Arial" w:hAnsi="Arial"/>
                <w:sz w:val="16"/>
                <w:szCs w:val="16"/>
                <w:color w:val="auto"/>
                <w:w w:val="88"/>
              </w:rPr>
              <w:t>35.6 %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44.3 %</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8"/>
              </w:rPr>
              <w:t>36.4 %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99"/>
        </w:trPr>
        <w:tc>
          <w:tcPr>
            <w:tcW w:w="4100" w:type="dxa"/>
            <w:vAlign w:val="bottom"/>
          </w:tcPr>
          <w:p>
            <w:pPr>
              <w:ind w:left="140"/>
              <w:spacing w:after="0"/>
              <w:rPr>
                <w:sz w:val="20"/>
                <w:szCs w:val="20"/>
                <w:color w:val="auto"/>
              </w:rPr>
            </w:pPr>
            <w:r>
              <w:rPr>
                <w:rFonts w:ascii="Arial" w:cs="Arial" w:eastAsia="Arial" w:hAnsi="Arial"/>
                <w:sz w:val="16"/>
                <w:szCs w:val="16"/>
                <w:color w:val="auto"/>
              </w:rPr>
              <w:t>Non-GAAP Gross Profit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763.1</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750.3</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line="212" w:lineRule="exact"/>
              <w:rPr>
                <w:sz w:val="20"/>
                <w:szCs w:val="20"/>
                <w:color w:val="auto"/>
              </w:rPr>
            </w:pPr>
            <w:r>
              <w:rPr>
                <w:rFonts w:ascii="Arial" w:cs="Arial" w:eastAsia="Arial" w:hAnsi="Arial"/>
                <w:sz w:val="16"/>
                <w:szCs w:val="16"/>
                <w:color w:val="auto"/>
              </w:rPr>
              <w:t xml:space="preserve">Other compensation expense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line="209" w:lineRule="exact"/>
              <w:rPr>
                <w:sz w:val="20"/>
                <w:szCs w:val="20"/>
                <w:color w:val="auto"/>
              </w:rPr>
            </w:pPr>
            <w:r>
              <w:rPr>
                <w:rFonts w:ascii="Arial" w:cs="Arial" w:eastAsia="Arial" w:hAnsi="Arial"/>
                <w:sz w:val="16"/>
                <w:szCs w:val="16"/>
                <w:color w:val="auto"/>
              </w:rPr>
              <w:t xml:space="preserve">Purchase accounting impact on expense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34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460"/>
              <w:spacing w:after="0"/>
              <w:rPr>
                <w:sz w:val="20"/>
                <w:szCs w:val="20"/>
                <w:color w:val="auto"/>
              </w:rPr>
            </w:pPr>
            <w:r>
              <w:rPr>
                <w:rFonts w:ascii="Arial" w:cs="Arial" w:eastAsia="Arial" w:hAnsi="Arial"/>
                <w:sz w:val="16"/>
                <w:szCs w:val="16"/>
                <w:color w:val="auto"/>
              </w:rPr>
              <w:t>Total consolidated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737.0</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right="680" w:hanging="470"/>
        <w:spacing w:after="0" w:line="232" w:lineRule="auto"/>
        <w:rPr>
          <w:sz w:val="20"/>
          <w:szCs w:val="20"/>
          <w:color w:val="auto"/>
        </w:rPr>
      </w:pPr>
      <w:r>
        <w:rPr>
          <w:rFonts w:ascii="Arial" w:cs="Arial" w:eastAsia="Arial" w:hAnsi="Arial"/>
          <w:sz w:val="16"/>
          <w:szCs w:val="16"/>
          <w:color w:val="auto"/>
        </w:rPr>
        <w:t>Adjustments for retention bonuses, mainly in connection with restructuring and transformation projects, and the related payroll tax, and payroll taxes associated with the exercise of stock options and vesting of restricted stock.</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the impact of purchase accounting from the Rackspace Acquisition on expenses.</w:t>
      </w:r>
    </w:p>
    <w:p>
      <w:pPr>
        <w:spacing w:after="0" w:line="38" w:lineRule="exact"/>
        <w:rPr>
          <w:sz w:val="20"/>
          <w:szCs w:val="20"/>
          <w:color w:val="auto"/>
        </w:rPr>
      </w:pPr>
    </w:p>
    <w:p>
      <w:pPr>
        <w:jc w:val="both"/>
        <w:ind w:left="480" w:right="760" w:hanging="470"/>
        <w:spacing w:after="0" w:line="223" w:lineRule="auto"/>
        <w:rPr>
          <w:sz w:val="20"/>
          <w:szCs w:val="20"/>
          <w:color w:val="auto"/>
        </w:rPr>
      </w:pPr>
      <w:r>
        <w:rPr>
          <w:rFonts w:ascii="Arial" w:cs="Arial" w:eastAsia="Arial" w:hAnsi="Arial"/>
          <w:sz w:val="16"/>
          <w:szCs w:val="16"/>
          <w:color w:val="auto"/>
        </w:rPr>
        <w:t>Adjustment for the impact of business transformation and optimization activities, as well as associated severance, facility closure costs and lease termination expenses. This amount also includes certain costs associated with the July 2021 Restructuring Plan which are not accounted for as exit and disposal costs under ASC 420, including one-time offshore build out costs.</w:t>
      </w:r>
    </w:p>
    <w:p>
      <w:pPr>
        <w:spacing w:after="0" w:line="321" w:lineRule="exact"/>
        <w:rPr>
          <w:sz w:val="20"/>
          <w:szCs w:val="20"/>
          <w:color w:val="auto"/>
        </w:rPr>
      </w:pPr>
    </w:p>
    <w:p>
      <w:pPr>
        <w:ind w:left="20" w:right="220" w:firstLine="470"/>
        <w:spacing w:after="0" w:line="297" w:lineRule="auto"/>
        <w:rPr>
          <w:sz w:val="20"/>
          <w:szCs w:val="20"/>
          <w:color w:val="auto"/>
        </w:rPr>
      </w:pPr>
      <w:r>
        <w:rPr>
          <w:rFonts w:ascii="Arial" w:cs="Arial" w:eastAsia="Arial" w:hAnsi="Arial"/>
          <w:sz w:val="16"/>
          <w:szCs w:val="16"/>
          <w:color w:val="auto"/>
        </w:rPr>
        <w:t>Multicloud Services non-GAAP gross profit was relatively flat year-over-year. Segment non-GAAP gross profit as a percentage of segment revenue decreased by 510 basis points, reflecting a 25% increase in segment cost of revenue and a 15% increase in segment revenue. The increase in costs was mainly driven by higher third-party infrastructure costs, partially offset by lower personnel, depreciation, data center, and license expense.</w:t>
      </w:r>
    </w:p>
    <w:p>
      <w:pPr>
        <w:spacing w:after="0" w:line="179" w:lineRule="exact"/>
        <w:rPr>
          <w:sz w:val="20"/>
          <w:szCs w:val="20"/>
          <w:color w:val="auto"/>
        </w:rPr>
      </w:pPr>
    </w:p>
    <w:p>
      <w:pPr>
        <w:jc w:val="both"/>
        <w:ind w:left="20" w:right="100" w:firstLine="470"/>
        <w:spacing w:after="0" w:line="267" w:lineRule="auto"/>
        <w:rPr>
          <w:sz w:val="20"/>
          <w:szCs w:val="20"/>
          <w:color w:val="auto"/>
        </w:rPr>
      </w:pPr>
      <w:r>
        <w:rPr>
          <w:rFonts w:ascii="Arial" w:cs="Arial" w:eastAsia="Arial" w:hAnsi="Arial"/>
          <w:sz w:val="17"/>
          <w:szCs w:val="17"/>
          <w:color w:val="auto"/>
        </w:rPr>
        <w:t>Apps &amp; Cross Platform non-GAAP gross profit increased 19% in the nine months ended September 30, 2021 from the nine months ended September 30, 2020. Segment non-GAAP gross profit as a percentage of segment revenue increased by 100 basis points, reflecting a 13% increase in segment cost of revenue and a 15% increase in segment revenue. The increase in cost of revenue was primarily driven by the segment’s higher business volume as well as higher third-party infrastructure costs.</w:t>
      </w:r>
    </w:p>
    <w:p>
      <w:pPr>
        <w:spacing w:after="0" w:line="202" w:lineRule="exact"/>
        <w:rPr>
          <w:sz w:val="20"/>
          <w:szCs w:val="20"/>
          <w:color w:val="auto"/>
        </w:rPr>
      </w:pPr>
    </w:p>
    <w:p>
      <w:pPr>
        <w:ind w:left="20" w:right="320" w:firstLine="470"/>
        <w:spacing w:after="0" w:line="272" w:lineRule="auto"/>
        <w:rPr>
          <w:sz w:val="20"/>
          <w:szCs w:val="20"/>
          <w:color w:val="auto"/>
        </w:rPr>
      </w:pPr>
      <w:r>
        <w:rPr>
          <w:rFonts w:ascii="Arial" w:cs="Arial" w:eastAsia="Arial" w:hAnsi="Arial"/>
          <w:sz w:val="17"/>
          <w:szCs w:val="17"/>
          <w:color w:val="auto"/>
        </w:rPr>
        <w:t>OpenStack Public Cloud non-GAAP gross profit decreased 35% in the nine months ended September 30, 2021 from the nine months ended September 30, 2020, due to customer churn. Segment non-GAAP gross profit as a percentage of segment revenue decreased by 790 basis points, reflecting a 21% decrease in segment revenue, partially offset by a 10% decrease in segment cost of revenue.</w:t>
      </w:r>
    </w:p>
    <w:p>
      <w:pPr>
        <w:spacing w:after="0" w:line="198" w:lineRule="exact"/>
        <w:rPr>
          <w:sz w:val="20"/>
          <w:szCs w:val="20"/>
          <w:color w:val="auto"/>
        </w:rPr>
      </w:pPr>
    </w:p>
    <w:p>
      <w:pPr>
        <w:ind w:left="20" w:firstLine="470"/>
        <w:spacing w:after="0" w:line="288" w:lineRule="auto"/>
        <w:rPr>
          <w:sz w:val="20"/>
          <w:szCs w:val="20"/>
          <w:color w:val="auto"/>
        </w:rPr>
      </w:pPr>
      <w:r>
        <w:rPr>
          <w:rFonts w:ascii="Arial" w:cs="Arial" w:eastAsia="Arial" w:hAnsi="Arial"/>
          <w:sz w:val="16"/>
          <w:szCs w:val="16"/>
          <w:color w:val="auto"/>
        </w:rPr>
        <w:t>The aggregate amount of costs reflected in consolidated gross profit but excluded from segment non-GAAP gross profit was $47.8 million in the nine months ended September 30, 2021, an increase of $21.7 million from $26.1 million in the nine months ended September 30, 2020, reflecting higher restructuring and transformation expenses and share-based compensation, partially offset by lower purchase accounting adjustments and other compensation expense. For more information about our segment non-GAAP gross profit, see Item 1 of Part I, Financial Statements - Note 14, "Segment Reporting."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49"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Selling, general and administrative expenses were relatively flat year-over-year. Costs incurred in the nine months ended September 30, 2021 related to the July 2021 Restructuring Plan included $23 million of restructuring charges accounted for as exit and disposal costs under ASC 420. Other cost increases between periods include costs related to other business transformation initiatives and incremental costs to operate as a public company. These increased expenses were offset by a reduction in Onica integration costs, costs incurred in the prior period related to the IPO, and management consulting fees as the agreements were terminated in connection with the IPO. See Item 1 of Part I, Financial Statements - Note 8, "July 2021 Restructuring Plan" for additional information regarding the current period restructuring charges.</w:t>
      </w:r>
    </w:p>
    <w:p>
      <w:pPr>
        <w:spacing w:after="0" w:line="205" w:lineRule="exact"/>
        <w:rPr>
          <w:sz w:val="20"/>
          <w:szCs w:val="20"/>
          <w:color w:val="auto"/>
        </w:rPr>
      </w:pPr>
    </w:p>
    <w:p>
      <w:pPr>
        <w:ind w:right="260" w:firstLine="470"/>
        <w:spacing w:after="0" w:line="288" w:lineRule="auto"/>
        <w:rPr>
          <w:sz w:val="20"/>
          <w:szCs w:val="20"/>
          <w:color w:val="auto"/>
        </w:rPr>
      </w:pPr>
      <w:r>
        <w:rPr>
          <w:rFonts w:ascii="Arial" w:cs="Arial" w:eastAsia="Arial" w:hAnsi="Arial"/>
          <w:sz w:val="17"/>
          <w:szCs w:val="17"/>
          <w:color w:val="auto"/>
        </w:rPr>
        <w:t>As a percentage of revenue, selling, general and administrative expenses decreased 420 basis points, to 31.3% in the nine months ended September 30, 2021 from 35.5% in the nine months ended September 30, 2020, for the reasons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Land</w:t>
      </w:r>
    </w:p>
    <w:p>
      <w:pPr>
        <w:spacing w:after="0" w:line="249" w:lineRule="exact"/>
        <w:rPr>
          <w:sz w:val="20"/>
          <w:szCs w:val="20"/>
          <w:color w:val="auto"/>
        </w:rPr>
      </w:pPr>
    </w:p>
    <w:p>
      <w:pPr>
        <w:ind w:right="60" w:firstLine="470"/>
        <w:spacing w:after="0" w:line="288" w:lineRule="auto"/>
        <w:rPr>
          <w:sz w:val="20"/>
          <w:szCs w:val="20"/>
          <w:color w:val="auto"/>
        </w:rPr>
      </w:pPr>
      <w:r>
        <w:rPr>
          <w:rFonts w:ascii="Arial" w:cs="Arial" w:eastAsia="Arial" w:hAnsi="Arial"/>
          <w:sz w:val="17"/>
          <w:szCs w:val="17"/>
          <w:color w:val="auto"/>
        </w:rPr>
        <w:t>In January 2021, we recorded a $20 million gain related to the sale of a parcel of undeveloped land in the United Kingdom adjacent to one of our existing data centers, as further discussed in Item 1 of Part I, Financial Statements - Note 4, "Property, Equipment and Software, net."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49" w:lineRule="exact"/>
        <w:rPr>
          <w:sz w:val="20"/>
          <w:szCs w:val="20"/>
          <w:color w:val="auto"/>
        </w:rPr>
      </w:pPr>
    </w:p>
    <w:p>
      <w:pPr>
        <w:ind w:right="420" w:firstLine="470"/>
        <w:spacing w:after="0" w:line="272" w:lineRule="auto"/>
        <w:rPr>
          <w:sz w:val="20"/>
          <w:szCs w:val="20"/>
          <w:color w:val="auto"/>
        </w:rPr>
      </w:pPr>
      <w:r>
        <w:rPr>
          <w:rFonts w:ascii="Arial" w:cs="Arial" w:eastAsia="Arial" w:hAnsi="Arial"/>
          <w:sz w:val="17"/>
          <w:szCs w:val="17"/>
          <w:color w:val="auto"/>
        </w:rPr>
        <w:t>Interest expense decreased $55 million to $155 million in the nine months ended September 30, 2021 from $209 million in the nine months ended September 30, 2020, primarily driven by a reduction in total debt outstanding and lower interest rates as a result of significant debt refinancing transactions between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Modification and Extinguishment Costs</w:t>
      </w:r>
    </w:p>
    <w:p>
      <w:pPr>
        <w:spacing w:after="0" w:line="249" w:lineRule="exact"/>
        <w:rPr>
          <w:sz w:val="20"/>
          <w:szCs w:val="20"/>
          <w:color w:val="auto"/>
        </w:rPr>
      </w:pPr>
    </w:p>
    <w:p>
      <w:pPr>
        <w:ind w:right="60" w:firstLine="470"/>
        <w:spacing w:after="0" w:line="264" w:lineRule="auto"/>
        <w:rPr>
          <w:sz w:val="20"/>
          <w:szCs w:val="20"/>
          <w:color w:val="auto"/>
        </w:rPr>
      </w:pPr>
      <w:r>
        <w:rPr>
          <w:rFonts w:ascii="Arial" w:cs="Arial" w:eastAsia="Arial" w:hAnsi="Arial"/>
          <w:sz w:val="17"/>
          <w:szCs w:val="17"/>
          <w:color w:val="auto"/>
        </w:rPr>
        <w:t>In the nine months ended September 30, 2021 we recorded $37 million and $0.5 million of debt modification and extinguishment costs related to the February 2021 Refinancing Transaction and termination of the Receivables Financing Facility, respectively, as further discussed in Item 1 of Part I, Financial Statements - Note 6, "Debt. We recorded $37 million of debt modification and extinguishment costs in the nine months ended September 30, 2020 related to the repurchase of $515 million principal amount of our 8.625% Senior Notes through a tender offer. The 8.625% Senior Notes were fully repaid as of December 31, 2020.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 for Income Taxes</w:t>
      </w:r>
    </w:p>
    <w:p>
      <w:pPr>
        <w:spacing w:after="0" w:line="249" w:lineRule="exact"/>
        <w:rPr>
          <w:sz w:val="20"/>
          <w:szCs w:val="20"/>
          <w:color w:val="auto"/>
        </w:rPr>
      </w:pPr>
    </w:p>
    <w:p>
      <w:pPr>
        <w:ind w:right="80" w:firstLine="470"/>
        <w:spacing w:after="0" w:line="282" w:lineRule="auto"/>
        <w:rPr>
          <w:sz w:val="20"/>
          <w:szCs w:val="20"/>
          <w:color w:val="auto"/>
        </w:rPr>
      </w:pPr>
      <w:r>
        <w:rPr>
          <w:rFonts w:ascii="Arial" w:cs="Arial" w:eastAsia="Arial" w:hAnsi="Arial"/>
          <w:sz w:val="16"/>
          <w:szCs w:val="16"/>
          <w:color w:val="auto"/>
        </w:rPr>
        <w:t>Our income tax benefit increased to $37 million in the nine months ended September 30, 2021 from $33 million in the nine months ended September 30, 2020. Our effective tax rate increased from 15.5% in the nine months ended September 30, 2020 to 21.5% in the nine months ended September 30, 2021. The increase in the effective tax rate year-over-year is primarily due to the geographic distribution of profits, which included the release of historic tax reserves due to statute expiration that resulted in a $13.4 million tax benefit, and tax effects from share-based compensation. The difference between the effective tax rate for the nine months ended September 30, 2021 and the statutory rate is primarily due to the geographic distribution of profits, which included the release of the aforementioned historic tax reserves due to statue expiration, and tax effects from share-based compensation.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255" w:lineRule="exact"/>
        <w:rPr>
          <w:sz w:val="20"/>
          <w:szCs w:val="20"/>
          <w:color w:val="auto"/>
        </w:rPr>
      </w:pPr>
    </w:p>
    <w:p>
      <w:pPr>
        <w:ind w:firstLine="470"/>
        <w:spacing w:after="0" w:line="280" w:lineRule="auto"/>
        <w:rPr>
          <w:sz w:val="20"/>
          <w:szCs w:val="20"/>
          <w:color w:val="auto"/>
        </w:rPr>
      </w:pPr>
      <w:r>
        <w:rPr>
          <w:rFonts w:ascii="Arial" w:cs="Arial" w:eastAsia="Arial" w:hAnsi="Arial"/>
          <w:sz w:val="16"/>
          <w:szCs w:val="16"/>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Per Share (“EPS”),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Constant Currency Revenue</w:t>
      </w:r>
    </w:p>
    <w:p>
      <w:pPr>
        <w:spacing w:after="0" w:line="236" w:lineRule="exact"/>
        <w:rPr>
          <w:sz w:val="20"/>
          <w:szCs w:val="20"/>
          <w:color w:val="auto"/>
        </w:rPr>
      </w:pPr>
    </w:p>
    <w:p>
      <w:pPr>
        <w:ind w:right="200" w:firstLine="470"/>
        <w:spacing w:after="0" w:line="264" w:lineRule="auto"/>
        <w:rPr>
          <w:sz w:val="20"/>
          <w:szCs w:val="20"/>
          <w:color w:val="auto"/>
        </w:rPr>
      </w:pPr>
      <w:r>
        <w:rPr>
          <w:rFonts w:ascii="Arial" w:cs="Arial" w:eastAsia="Arial" w:hAnsi="Arial"/>
          <w:sz w:val="17"/>
          <w:szCs w:val="17"/>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06"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following table presents, by segment, actual and constant currency revenue and constant currency revenue growth rates, for and between the periods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Three Months Ended</w:t>
            </w:r>
          </w:p>
        </w:tc>
        <w:tc>
          <w:tcPr>
            <w:tcW w:w="240" w:type="dxa"/>
            <w:vAlign w:val="bottom"/>
          </w:tcPr>
          <w:p>
            <w:pPr>
              <w:spacing w:after="0"/>
              <w:rPr>
                <w:sz w:val="16"/>
                <w:szCs w:val="16"/>
                <w:color w:val="auto"/>
              </w:rPr>
            </w:pPr>
          </w:p>
        </w:tc>
        <w:tc>
          <w:tcPr>
            <w:tcW w:w="4120" w:type="dxa"/>
            <w:vAlign w:val="bottom"/>
            <w:gridSpan w:val="7"/>
            <w:vMerge w:val="restart"/>
          </w:tcPr>
          <w:p>
            <w:pPr>
              <w:jc w:val="center"/>
              <w:ind w:right="182"/>
              <w:spacing w:after="0"/>
              <w:rPr>
                <w:sz w:val="20"/>
                <w:szCs w:val="20"/>
                <w:color w:val="auto"/>
              </w:rPr>
            </w:pPr>
            <w:r>
              <w:rPr>
                <w:rFonts w:ascii="Arial" w:cs="Arial" w:eastAsia="Arial" w:hAnsi="Arial"/>
                <w:sz w:val="16"/>
                <w:szCs w:val="16"/>
                <w:b w:val="1"/>
                <w:bCs w:val="1"/>
                <w:color w:val="auto"/>
                <w:w w:val="89"/>
              </w:rPr>
              <w:t>Three Months Ended September 30, 2021</w:t>
            </w:r>
          </w:p>
        </w:tc>
        <w:tc>
          <w:tcPr>
            <w:tcW w:w="100" w:type="dxa"/>
            <w:vAlign w:val="bottom"/>
          </w:tcPr>
          <w:p>
            <w:pPr>
              <w:spacing w:after="0"/>
              <w:rPr>
                <w:sz w:val="16"/>
                <w:szCs w:val="16"/>
                <w:color w:val="auto"/>
              </w:rPr>
            </w:pPr>
          </w:p>
        </w:tc>
        <w:tc>
          <w:tcPr>
            <w:tcW w:w="2960" w:type="dxa"/>
            <w:vAlign w:val="bottom"/>
            <w:gridSpan w:val="3"/>
            <w:vMerge w:val="restart"/>
          </w:tcPr>
          <w:p>
            <w:pPr>
              <w:jc w:val="right"/>
              <w:ind w:right="104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8"/>
              </w:rPr>
              <w:t>September 30, 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16"/>
                <w:szCs w:val="16"/>
                <w:b w:val="1"/>
                <w:bCs w:val="1"/>
                <w:color w:val="auto"/>
                <w:w w:val="86"/>
              </w:rPr>
              <w:t>Revenue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Revenue</w:t>
            </w:r>
          </w:p>
        </w:tc>
        <w:tc>
          <w:tcPr>
            <w:tcW w:w="100" w:type="dxa"/>
            <w:vAlign w:val="bottom"/>
            <w:vMerge w:val="restart"/>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6"/>
                <w:szCs w:val="16"/>
                <w:b w:val="1"/>
                <w:bCs w:val="1"/>
                <w:color w:val="auto"/>
                <w:w w:val="91"/>
              </w:rPr>
              <w:t>Foreign Currency</w:t>
            </w:r>
          </w:p>
        </w:tc>
        <w:tc>
          <w:tcPr>
            <w:tcW w:w="220" w:type="dxa"/>
            <w:vAlign w:val="bottom"/>
          </w:tcPr>
          <w:p>
            <w:pPr>
              <w:spacing w:after="0"/>
              <w:rPr>
                <w:sz w:val="13"/>
                <w:szCs w:val="13"/>
                <w:color w:val="auto"/>
              </w:rPr>
            </w:pPr>
          </w:p>
        </w:tc>
        <w:tc>
          <w:tcPr>
            <w:tcW w:w="1180" w:type="dxa"/>
            <w:vAlign w:val="bottom"/>
          </w:tcPr>
          <w:p>
            <w:pPr>
              <w:jc w:val="right"/>
              <w:ind w:right="242"/>
              <w:spacing w:after="0" w:line="153" w:lineRule="exact"/>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Actual</w:t>
            </w:r>
          </w:p>
        </w:tc>
        <w:tc>
          <w:tcPr>
            <w:tcW w:w="100" w:type="dxa"/>
            <w:vAlign w:val="bottom"/>
            <w:vMerge w:val="restart"/>
          </w:tcPr>
          <w:p>
            <w:pPr>
              <w:spacing w:after="0"/>
              <w:rPr>
                <w:sz w:val="13"/>
                <w:szCs w:val="13"/>
                <w:color w:val="auto"/>
              </w:rPr>
            </w:pPr>
          </w:p>
        </w:tc>
        <w:tc>
          <w:tcPr>
            <w:tcW w:w="152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w w:val="97"/>
              </w:rPr>
              <w:t>Constant Currency</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82"/>
              <w:spacing w:after="0" w:line="209" w:lineRule="exact"/>
              <w:rPr>
                <w:sz w:val="20"/>
                <w:szCs w:val="20"/>
                <w:color w:val="auto"/>
              </w:rPr>
            </w:pPr>
            <w:r>
              <w:rPr>
                <w:rFonts w:ascii="Arial" w:cs="Arial" w:eastAsia="Arial" w:hAnsi="Arial"/>
                <w:sz w:val="16"/>
                <w:szCs w:val="16"/>
                <w:b w:val="1"/>
                <w:bCs w:val="1"/>
                <w:color w:val="auto"/>
                <w:w w:val="87"/>
              </w:rPr>
              <w:t xml:space="preserve">Translation </w:t>
            </w:r>
            <w:r>
              <w:rPr>
                <w:rFonts w:ascii="Arial" w:cs="Arial" w:eastAsia="Arial" w:hAnsi="Arial"/>
                <w:sz w:val="20"/>
                <w:szCs w:val="20"/>
                <w:b w:val="1"/>
                <w:bCs w:val="1"/>
                <w:color w:val="auto"/>
                <w:w w:val="87"/>
                <w:vertAlign w:val="superscript"/>
              </w:rPr>
              <w:t>(a)</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92.3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5"/>
        </w:trPr>
        <w:tc>
          <w:tcPr>
            <w:tcW w:w="218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762.5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756.2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60" w:hanging="438"/>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Nine Months Ended</w:t>
            </w:r>
          </w:p>
        </w:tc>
        <w:tc>
          <w:tcPr>
            <w:tcW w:w="240" w:type="dxa"/>
            <w:vAlign w:val="bottom"/>
          </w:tcPr>
          <w:p>
            <w:pPr>
              <w:spacing w:after="0"/>
              <w:rPr>
                <w:sz w:val="16"/>
                <w:szCs w:val="16"/>
                <w:color w:val="auto"/>
              </w:rPr>
            </w:pPr>
          </w:p>
        </w:tc>
        <w:tc>
          <w:tcPr>
            <w:tcW w:w="4120" w:type="dxa"/>
            <w:vAlign w:val="bottom"/>
            <w:gridSpan w:val="7"/>
            <w:vMerge w:val="restart"/>
          </w:tcPr>
          <w:p>
            <w:pPr>
              <w:jc w:val="center"/>
              <w:ind w:right="162"/>
              <w:spacing w:after="0"/>
              <w:rPr>
                <w:sz w:val="20"/>
                <w:szCs w:val="20"/>
                <w:color w:val="auto"/>
              </w:rPr>
            </w:pPr>
            <w:r>
              <w:rPr>
                <w:rFonts w:ascii="Arial" w:cs="Arial" w:eastAsia="Arial" w:hAnsi="Arial"/>
                <w:sz w:val="16"/>
                <w:szCs w:val="16"/>
                <w:b w:val="1"/>
                <w:bCs w:val="1"/>
                <w:color w:val="auto"/>
                <w:w w:val="88"/>
              </w:rPr>
              <w:t>Nine Months Ended September 30, 2021</w:t>
            </w:r>
          </w:p>
        </w:tc>
        <w:tc>
          <w:tcPr>
            <w:tcW w:w="100" w:type="dxa"/>
            <w:vAlign w:val="bottom"/>
          </w:tcPr>
          <w:p>
            <w:pPr>
              <w:spacing w:after="0"/>
              <w:rPr>
                <w:sz w:val="16"/>
                <w:szCs w:val="16"/>
                <w:color w:val="auto"/>
              </w:rPr>
            </w:pPr>
          </w:p>
        </w:tc>
        <w:tc>
          <w:tcPr>
            <w:tcW w:w="2980" w:type="dxa"/>
            <w:vAlign w:val="bottom"/>
            <w:gridSpan w:val="3"/>
            <w:vMerge w:val="restart"/>
          </w:tcPr>
          <w:p>
            <w:pPr>
              <w:jc w:val="right"/>
              <w:ind w:right="106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6"/>
        </w:trPr>
        <w:tc>
          <w:tcPr>
            <w:tcW w:w="2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6"/>
              </w:rPr>
              <w:t>September 30, 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center"/>
              <w:ind w:right="22"/>
              <w:spacing w:after="0"/>
              <w:rPr>
                <w:sz w:val="20"/>
                <w:szCs w:val="20"/>
                <w:color w:val="auto"/>
              </w:rPr>
            </w:pPr>
            <w:r>
              <w:rPr>
                <w:rFonts w:ascii="Arial" w:cs="Arial" w:eastAsia="Arial" w:hAnsi="Arial"/>
                <w:sz w:val="16"/>
                <w:szCs w:val="16"/>
                <w:b w:val="1"/>
                <w:bCs w:val="1"/>
                <w:color w:val="auto"/>
                <w:w w:val="86"/>
              </w:rPr>
              <w:t>Revenue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Revenue</w:t>
            </w:r>
          </w:p>
        </w:tc>
        <w:tc>
          <w:tcPr>
            <w:tcW w:w="1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180"/>
              <w:spacing w:after="0" w:line="153" w:lineRule="exact"/>
              <w:rPr>
                <w:sz w:val="20"/>
                <w:szCs w:val="20"/>
                <w:color w:val="auto"/>
              </w:rPr>
            </w:pPr>
            <w:r>
              <w:rPr>
                <w:rFonts w:ascii="Arial" w:cs="Arial" w:eastAsia="Arial" w:hAnsi="Arial"/>
                <w:sz w:val="16"/>
                <w:szCs w:val="16"/>
                <w:b w:val="1"/>
                <w:bCs w:val="1"/>
                <w:color w:val="auto"/>
                <w:w w:val="89"/>
              </w:rPr>
              <w:t>Foreign Currency</w:t>
            </w:r>
          </w:p>
        </w:tc>
        <w:tc>
          <w:tcPr>
            <w:tcW w:w="200" w:type="dxa"/>
            <w:vAlign w:val="bottom"/>
          </w:tcPr>
          <w:p>
            <w:pPr>
              <w:spacing w:after="0"/>
              <w:rPr>
                <w:sz w:val="13"/>
                <w:szCs w:val="13"/>
                <w:color w:val="auto"/>
              </w:rPr>
            </w:pPr>
          </w:p>
        </w:tc>
        <w:tc>
          <w:tcPr>
            <w:tcW w:w="1180" w:type="dxa"/>
            <w:vAlign w:val="bottom"/>
          </w:tcPr>
          <w:p>
            <w:pPr>
              <w:jc w:val="right"/>
              <w:ind w:right="242"/>
              <w:spacing w:after="0" w:line="153" w:lineRule="exact"/>
              <w:rPr>
                <w:sz w:val="20"/>
                <w:szCs w:val="20"/>
                <w:color w:val="auto"/>
              </w:rPr>
            </w:pPr>
            <w:r>
              <w:rPr>
                <w:rFonts w:ascii="Arial" w:cs="Arial" w:eastAsia="Arial" w:hAnsi="Arial"/>
                <w:sz w:val="16"/>
                <w:szCs w:val="16"/>
                <w:b w:val="1"/>
                <w:bCs w:val="1"/>
                <w:color w:val="auto"/>
                <w:w w:val="98"/>
              </w:rPr>
              <w:t>Revenue in</w:t>
            </w:r>
          </w:p>
        </w:tc>
        <w:tc>
          <w:tcPr>
            <w:tcW w:w="100" w:type="dxa"/>
            <w:vAlign w:val="bottom"/>
          </w:tcPr>
          <w:p>
            <w:pPr>
              <w:spacing w:after="0"/>
              <w:rPr>
                <w:sz w:val="13"/>
                <w:szCs w:val="13"/>
                <w:color w:val="auto"/>
              </w:rPr>
            </w:pPr>
          </w:p>
        </w:tc>
        <w:tc>
          <w:tcPr>
            <w:tcW w:w="13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Actual</w:t>
            </w:r>
          </w:p>
        </w:tc>
        <w:tc>
          <w:tcPr>
            <w:tcW w:w="120" w:type="dxa"/>
            <w:vAlign w:val="bottom"/>
            <w:vMerge w:val="restart"/>
          </w:tcPr>
          <w:p>
            <w:pPr>
              <w:spacing w:after="0"/>
              <w:rPr>
                <w:sz w:val="13"/>
                <w:szCs w:val="13"/>
                <w:color w:val="auto"/>
              </w:rPr>
            </w:pPr>
          </w:p>
        </w:tc>
        <w:tc>
          <w:tcPr>
            <w:tcW w:w="152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95"/>
              </w:rPr>
              <w:t>Constant Currency</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
              <w:spacing w:after="0" w:line="209" w:lineRule="exact"/>
              <w:rPr>
                <w:sz w:val="20"/>
                <w:szCs w:val="20"/>
                <w:color w:val="auto"/>
              </w:rPr>
            </w:pPr>
            <w:r>
              <w:rPr>
                <w:rFonts w:ascii="Arial" w:cs="Arial" w:eastAsia="Arial" w:hAnsi="Arial"/>
                <w:sz w:val="16"/>
                <w:szCs w:val="16"/>
                <w:b w:val="1"/>
                <w:bCs w:val="1"/>
                <w:color w:val="auto"/>
                <w:w w:val="87"/>
              </w:rPr>
              <w:t xml:space="preserve">Translation </w:t>
            </w:r>
            <w:r>
              <w:rPr>
                <w:rFonts w:ascii="Arial" w:cs="Arial" w:eastAsia="Arial" w:hAnsi="Arial"/>
                <w:sz w:val="20"/>
                <w:szCs w:val="20"/>
                <w:b w:val="1"/>
                <w:bCs w:val="1"/>
                <w:color w:val="auto"/>
                <w:w w:val="87"/>
                <w:vertAlign w:val="superscript"/>
              </w:rPr>
              <w:t>(a)</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Constant Currency</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Multicloud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Arial" w:cs="Arial" w:eastAsia="Arial" w:hAnsi="Arial"/>
                <w:sz w:val="16"/>
                <w:szCs w:val="16"/>
                <w:color w:val="auto"/>
              </w:rPr>
              <w:t>Apps &amp; Cross Platform</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OpenStack Public Cloud</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5"/>
        </w:trPr>
        <w:tc>
          <w:tcPr>
            <w:tcW w:w="2180" w:type="dxa"/>
            <w:vAlign w:val="bottom"/>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2,232.2</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60" w:hanging="438"/>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foreign currency is calculated by translating current period results using the average exchange rate from the prior comparative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6" w:lineRule="exact"/>
        <w:rPr>
          <w:rFonts w:ascii="Arial" w:cs="Arial" w:eastAsia="Arial" w:hAnsi="Arial"/>
          <w:sz w:val="16"/>
          <w:szCs w:val="16"/>
          <w:color w:val="auto"/>
        </w:rPr>
      </w:pPr>
    </w:p>
    <w:p>
      <w:pPr>
        <w:ind w:left="5540" w:hanging="105"/>
        <w:spacing w:after="0"/>
        <w:tabs>
          <w:tab w:leader="none" w:pos="5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Gross Profit</w:t>
      </w:r>
    </w:p>
    <w:p>
      <w:pPr>
        <w:spacing w:after="0" w:line="236"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Our principal measure of segment profitability is segment non-GAAP gross profit. We also present Non-GAAP Gross Profit in this MD&amp;A, which is the aggregate of segment non-GAAP gross profit, because we believe the measure is useful in analyzing trends in our underlying, recurring gross margins. We define Non-GAAP Gross Profit as our consolidated gross profit, adjusted to exclude the impact of share-based compensation expense and other non-recurring or unusual compensation items, purchase accounting-related effects, and certain business transformation-related costs. For a reconciliation of our Non-GAAP Gross Profit to our total consolidated gross profit, see “G</w:t>
      </w:r>
      <w:r>
        <w:rPr>
          <w:rFonts w:ascii="Arial" w:cs="Arial" w:eastAsia="Arial" w:hAnsi="Arial"/>
          <w:sz w:val="17"/>
          <w:szCs w:val="17"/>
          <w:i w:val="1"/>
          <w:iCs w:val="1"/>
          <w:color w:val="auto"/>
        </w:rPr>
        <w:t>ross Profit and Non-GAAP Gross Profit</w:t>
      </w:r>
      <w:r>
        <w:rPr>
          <w:rFonts w:ascii="Arial" w:cs="Arial" w:eastAsia="Arial" w:hAnsi="Arial"/>
          <w:sz w:val="17"/>
          <w:szCs w:val="17"/>
          <w:color w:val="auto"/>
        </w:rPr>
        <w:t>” above.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Net Income (Loss), Non-GAAP Operating Profit and Adjusted EBITDA</w:t>
      </w:r>
    </w:p>
    <w:p>
      <w:pPr>
        <w:spacing w:after="0" w:line="236" w:lineRule="exact"/>
        <w:rPr>
          <w:sz w:val="20"/>
          <w:szCs w:val="20"/>
          <w:color w:val="auto"/>
        </w:rPr>
      </w:pPr>
    </w:p>
    <w:p>
      <w:pPr>
        <w:ind w:right="80" w:firstLine="470"/>
        <w:spacing w:after="0" w:line="267" w:lineRule="auto"/>
        <w:rPr>
          <w:sz w:val="20"/>
          <w:szCs w:val="20"/>
          <w:color w:val="auto"/>
        </w:rPr>
      </w:pPr>
      <w:r>
        <w:rPr>
          <w:rFonts w:ascii="Arial" w:cs="Arial" w:eastAsia="Arial" w:hAnsi="Arial"/>
          <w:sz w:val="17"/>
          <w:szCs w:val="17"/>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2" w:lineRule="exact"/>
        <w:rPr>
          <w:sz w:val="20"/>
          <w:szCs w:val="20"/>
          <w:color w:val="auto"/>
        </w:rPr>
      </w:pPr>
    </w:p>
    <w:p>
      <w:pPr>
        <w:ind w:firstLine="470"/>
        <w:spacing w:after="0" w:line="277" w:lineRule="auto"/>
        <w:rPr>
          <w:sz w:val="20"/>
          <w:szCs w:val="20"/>
          <w:color w:val="auto"/>
        </w:rPr>
      </w:pPr>
      <w:r>
        <w:rPr>
          <w:rFonts w:ascii="Arial" w:cs="Arial" w:eastAsia="Arial" w:hAnsi="Arial"/>
          <w:sz w:val="16"/>
          <w:szCs w:val="16"/>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196" w:lineRule="exact"/>
        <w:rPr>
          <w:sz w:val="20"/>
          <w:szCs w:val="20"/>
          <w:color w:val="auto"/>
        </w:rPr>
      </w:pPr>
    </w:p>
    <w:p>
      <w:pPr>
        <w:ind w:right="120" w:firstLine="470"/>
        <w:spacing w:after="0" w:line="267" w:lineRule="auto"/>
        <w:rPr>
          <w:sz w:val="20"/>
          <w:szCs w:val="20"/>
          <w:color w:val="auto"/>
        </w:rPr>
      </w:pPr>
      <w:r>
        <w:rPr>
          <w:rFonts w:ascii="Arial" w:cs="Arial" w:eastAsia="Arial" w:hAnsi="Arial"/>
          <w:sz w:val="17"/>
          <w:szCs w:val="17"/>
          <w:color w:val="auto"/>
        </w:rPr>
        <w:t>We define Non-GAAP Net Income (Loss) as net income (loss) adjusted to exclude the impact of non-cash charges for share-based compensation, special bonuses and other compensation expense, transaction-related costs and adjustments, restructuring and transformation charges, management fees, the amortization of acquired intangible assets and certain other non-operating, non-recurring or non-core gains and losses, as well as the tax effects of these non-GAAP adjustments.</w:t>
      </w:r>
    </w:p>
    <w:p>
      <w:pPr>
        <w:spacing w:after="0" w:line="202" w:lineRule="exact"/>
        <w:rPr>
          <w:sz w:val="20"/>
          <w:szCs w:val="20"/>
          <w:color w:val="auto"/>
        </w:rPr>
      </w:pPr>
    </w:p>
    <w:p>
      <w:pPr>
        <w:ind w:right="200" w:firstLine="470"/>
        <w:spacing w:after="0" w:line="267" w:lineRule="auto"/>
        <w:rPr>
          <w:sz w:val="20"/>
          <w:szCs w:val="20"/>
          <w:color w:val="auto"/>
        </w:rPr>
      </w:pPr>
      <w:r>
        <w:rPr>
          <w:rFonts w:ascii="Arial" w:cs="Arial" w:eastAsia="Arial" w:hAnsi="Arial"/>
          <w:sz w:val="17"/>
          <w:szCs w:val="17"/>
          <w:color w:val="auto"/>
        </w:rPr>
        <w:t>We define Non-GAAP Operating Profit as net income (loss), plus interest expense and income taxes, further adjusted to exclude the impact of non-cash charges for share-based compensation, special bonuses and other compensation expense, transaction-related costs and adjustments, restructuring and transformation charges, management fees, the amortization of acquired intangible assets and certain other non-operating, non-recurring or non-core gains and losses.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define Adjusted EBITDA as Non-GAAP Operating Profit plus depreciation and amortization.</w:t>
      </w:r>
    </w:p>
    <w:p>
      <w:pPr>
        <w:spacing w:after="0" w:line="249"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Non-GAAP Operating Profit and Adjusted EBITDA are management’s principal metrics for measuring our underlying financial performance. Adjusted EBITDA, along with other quantitative and qualitative information, is also the principal financial measure used by management and our board of directors in determining performance-based compensation for our management and key employees.</w:t>
      </w:r>
    </w:p>
    <w:p>
      <w:pPr>
        <w:spacing w:after="0" w:line="198" w:lineRule="exact"/>
        <w:rPr>
          <w:sz w:val="20"/>
          <w:szCs w:val="20"/>
          <w:color w:val="auto"/>
        </w:rPr>
      </w:pPr>
    </w:p>
    <w:p>
      <w:pPr>
        <w:ind w:right="20" w:firstLine="470"/>
        <w:spacing w:after="0" w:line="282" w:lineRule="auto"/>
        <w:rPr>
          <w:sz w:val="20"/>
          <w:szCs w:val="20"/>
          <w:color w:val="auto"/>
        </w:rPr>
      </w:pPr>
      <w:r>
        <w:rPr>
          <w:rFonts w:ascii="Arial" w:cs="Arial" w:eastAsia="Arial" w:hAnsi="Arial"/>
          <w:sz w:val="16"/>
          <w:szCs w:val="16"/>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firstLine="470"/>
        <w:spacing w:after="0" w:line="288" w:lineRule="auto"/>
        <w:rPr>
          <w:sz w:val="20"/>
          <w:szCs w:val="20"/>
          <w:color w:val="auto"/>
        </w:rPr>
      </w:pPr>
      <w:r>
        <w:rPr>
          <w:rFonts w:ascii="Arial" w:cs="Arial" w:eastAsia="Arial" w:hAnsi="Arial"/>
          <w:sz w:val="17"/>
          <w:szCs w:val="17"/>
          <w:color w:val="auto"/>
        </w:rPr>
        <w:t>The following table presents a reconciliation of Non-GAAP Net Income (Loss), Non-GAAP Operating Profit and Adjusted EBITDA to our net loss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0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(101.2)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212"/>
        </w:trPr>
        <w:tc>
          <w:tcPr>
            <w:tcW w:w="460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Special bonuses and other compensation expense </w:t>
            </w:r>
            <w:r>
              <w:rPr>
                <w:rFonts w:ascii="Arial" w:cs="Arial" w:eastAsia="Arial" w:hAnsi="Arial"/>
                <w:sz w:val="20"/>
                <w:szCs w:val="20"/>
                <w:color w:val="auto"/>
                <w:vertAlign w:val="superscript"/>
              </w:rPr>
              <w:t>(a)</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Transaction-related adjustments, net </w:t>
            </w:r>
            <w:r>
              <w:rPr>
                <w:rFonts w:ascii="Arial" w:cs="Arial" w:eastAsia="Arial" w:hAnsi="Arial"/>
                <w:sz w:val="20"/>
                <w:szCs w:val="20"/>
                <w:color w:val="auto"/>
                <w:vertAlign w:val="superscript"/>
              </w:rPr>
              <w:t>(b)</w:t>
            </w:r>
          </w:p>
        </w:tc>
        <w:tc>
          <w:tcPr>
            <w:tcW w:w="10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09"/>
        </w:trPr>
        <w:tc>
          <w:tcPr>
            <w:tcW w:w="4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Restructuring and transformation expenses </w:t>
            </w:r>
            <w:r>
              <w:rPr>
                <w:rFonts w:ascii="Arial" w:cs="Arial" w:eastAsia="Arial" w:hAnsi="Arial"/>
                <w:sz w:val="20"/>
                <w:szCs w:val="20"/>
                <w:color w:val="auto"/>
                <w:vertAlign w:val="superscript"/>
              </w:rPr>
              <w:t>(c)</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Management fees </w:t>
            </w:r>
            <w:r>
              <w:rPr>
                <w:rFonts w:ascii="Arial" w:cs="Arial" w:eastAsia="Arial" w:hAnsi="Arial"/>
                <w:sz w:val="20"/>
                <w:szCs w:val="20"/>
                <w:color w:val="auto"/>
                <w:vertAlign w:val="superscript"/>
              </w:rPr>
              <w:t>(d)</w:t>
            </w:r>
          </w:p>
        </w:tc>
        <w:tc>
          <w:tcPr>
            <w:tcW w:w="10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land</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Net (gain) loss on divestiture and investments </w:t>
            </w:r>
            <w:r>
              <w:rPr>
                <w:rFonts w:ascii="Arial" w:cs="Arial" w:eastAsia="Arial" w:hAnsi="Arial"/>
                <w:sz w:val="20"/>
                <w:szCs w:val="20"/>
                <w:color w:val="auto"/>
                <w:vertAlign w:val="superscript"/>
              </w:rPr>
              <w:t>(e)</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4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Debt modification and extinguishment costs </w:t>
            </w:r>
            <w:r>
              <w:rPr>
                <w:rFonts w:ascii="Arial" w:cs="Arial" w:eastAsia="Arial" w:hAnsi="Arial"/>
                <w:sz w:val="20"/>
                <w:szCs w:val="20"/>
                <w:color w:val="auto"/>
                <w:vertAlign w:val="superscript"/>
              </w:rPr>
              <w:t>(f)</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9"/>
        </w:trPr>
        <w:tc>
          <w:tcPr>
            <w:tcW w:w="460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0"/>
                <w:szCs w:val="20"/>
                <w:color w:val="auto"/>
                <w:vertAlign w:val="superscript"/>
              </w:rPr>
              <w:t>(g)</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460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0"/>
                <w:szCs w:val="20"/>
                <w:color w:val="auto"/>
                <w:vertAlign w:val="superscript"/>
              </w:rPr>
              <w:t>(h)</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r>
      <w:tr>
        <w:trPr>
          <w:trHeight w:val="209"/>
        </w:trPr>
        <w:tc>
          <w:tcPr>
            <w:tcW w:w="460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0"/>
                <w:szCs w:val="20"/>
                <w:color w:val="auto"/>
                <w:vertAlign w:val="superscript"/>
              </w:rPr>
              <w:t>(i)</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202"/>
        </w:trPr>
        <w:tc>
          <w:tcPr>
            <w:tcW w:w="4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Net Income</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r>
      <w:tr>
        <w:trPr>
          <w:trHeight w:val="206"/>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154.6</w:t>
            </w:r>
          </w:p>
        </w:tc>
      </w:tr>
      <w:tr>
        <w:trPr>
          <w:trHeight w:val="212"/>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9"/>
        </w:trPr>
        <w:tc>
          <w:tcPr>
            <w:tcW w:w="460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Tax effect of non-GAAP adjustments </w:t>
            </w:r>
            <w:r>
              <w:rPr>
                <w:rFonts w:ascii="Arial" w:cs="Arial" w:eastAsia="Arial" w:hAnsi="Arial"/>
                <w:sz w:val="20"/>
                <w:szCs w:val="20"/>
                <w:color w:val="auto"/>
                <w:vertAlign w:val="superscript"/>
              </w:rPr>
              <w:t>(i)</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202"/>
        </w:trPr>
        <w:tc>
          <w:tcPr>
            <w:tcW w:w="4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Non-GAAP Operating Profit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123.9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r>
      <w:tr>
        <w:trPr>
          <w:trHeight w:val="209"/>
        </w:trPr>
        <w:tc>
          <w:tcPr>
            <w:tcW w:w="4600" w:type="dxa"/>
            <w:vAlign w:val="bottom"/>
            <w:tcBorders>
              <w:bottom w:val="single" w:sz="8" w:color="CCEEFF"/>
            </w:tcBorders>
          </w:tcPr>
          <w:p>
            <w:pPr>
              <w:ind w:left="20"/>
              <w:spacing w:after="0" w:line="209" w:lineRule="exact"/>
              <w:rPr>
                <w:sz w:val="20"/>
                <w:szCs w:val="20"/>
                <w:color w:val="auto"/>
              </w:rPr>
            </w:pPr>
            <w:r>
              <w:rPr>
                <w:rFonts w:ascii="Arial" w:cs="Arial" w:eastAsia="Arial" w:hAnsi="Arial"/>
                <w:sz w:val="16"/>
                <w:szCs w:val="16"/>
                <w:color w:val="auto"/>
              </w:rPr>
              <w:t xml:space="preserve">Depreciation </w:t>
            </w:r>
            <w:r>
              <w:rPr>
                <w:rFonts w:ascii="Arial" w:cs="Arial" w:eastAsia="Arial" w:hAnsi="Arial"/>
                <w:sz w:val="20"/>
                <w:szCs w:val="20"/>
                <w:color w:val="auto"/>
                <w:vertAlign w:val="superscript"/>
              </w:rPr>
              <w:t>(j)</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r>
      <w:tr>
        <w:trPr>
          <w:trHeight w:val="227"/>
        </w:trPr>
        <w:tc>
          <w:tcPr>
            <w:tcW w:w="4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EBITDA</w:t>
            </w:r>
          </w:p>
        </w:tc>
        <w:tc>
          <w:tcPr>
            <w:tcW w:w="102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183.1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240" w:hanging="334"/>
        <w:spacing w:after="0" w:line="242"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expense related to retention bonuses, mainly relating to restructuring and integration projects, and the related payroll tax, senior executive signing bonuses and relocation costs, and payroll taxes associated with the exercise of stock options and vesting of restricted stock.</w:t>
      </w:r>
    </w:p>
    <w:p>
      <w:pPr>
        <w:spacing w:after="0" w:line="21" w:lineRule="exact"/>
        <w:rPr>
          <w:rFonts w:ascii="Arial" w:cs="Arial" w:eastAsia="Arial" w:hAnsi="Arial"/>
          <w:sz w:val="16"/>
          <w:szCs w:val="16"/>
          <w:color w:val="auto"/>
        </w:rPr>
      </w:pPr>
    </w:p>
    <w:p>
      <w:pPr>
        <w:ind w:left="480" w:right="220" w:hanging="338"/>
        <w:spacing w:after="0" w:line="300" w:lineRule="auto"/>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legal, professional, accounting and other advisory fees related to the acquisition of Onica in the fourth quarter of 2019 and the IPO in the third quarter of 2020, integration costs of acquired businesses, purchase accounting adjustments (including deferred revenue fair value discount), payroll costs for employees that dedicate significant time to supporting these projects and exploratory acquisition and divestiture costs and expenses related to financing activities.</w:t>
      </w:r>
    </w:p>
    <w:p>
      <w:pPr>
        <w:spacing w:after="0" w:line="1" w:lineRule="exact"/>
        <w:rPr>
          <w:rFonts w:ascii="Arial" w:cs="Arial" w:eastAsia="Arial" w:hAnsi="Arial"/>
          <w:sz w:val="13"/>
          <w:szCs w:val="13"/>
          <w:color w:val="auto"/>
        </w:rPr>
      </w:pPr>
    </w:p>
    <w:p>
      <w:pPr>
        <w:ind w:left="480" w:right="40" w:hanging="334"/>
        <w:spacing w:after="0" w:line="245"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consulting and advisory fees related to business transformation and optimization activities, payroll costs for employees that dedicate significant time to these projects, as well as associated severance, facility closure costs, and lease termination expenses. This amount also includes employee related costs and other costs related to the July 2021 Restructuring Plan of $16.1 million and $22.5 million, respectively, for the three and nine months ended September 30, 2021, which are accounted for as exit and disposal costs under ASC 420. In addition, it includes certain costs associated with the July 2021 Restructuring Plan which are not accounted for as exit and disposal costs under ASC 420, including one-time offshore build out costs.</w:t>
      </w:r>
    </w:p>
    <w:p>
      <w:pPr>
        <w:spacing w:after="0" w:line="21" w:lineRule="exact"/>
        <w:rPr>
          <w:rFonts w:ascii="Arial" w:cs="Arial" w:eastAsia="Arial" w:hAnsi="Arial"/>
          <w:sz w:val="15"/>
          <w:szCs w:val="15"/>
          <w:color w:val="auto"/>
        </w:rPr>
      </w:pPr>
    </w:p>
    <w:p>
      <w:pPr>
        <w:ind w:left="480" w:right="400" w:hanging="338"/>
        <w:spacing w:after="0" w:line="242"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historical management fees pursuant to management consulting agreements. The management consulting agreements were terminated effective August 4, 2020, and therefore no management fees have accrued or will be payable for periods after August 4, 2020.</w:t>
      </w:r>
    </w:p>
    <w:p>
      <w:pPr>
        <w:spacing w:after="0" w:line="21" w:lineRule="exact"/>
        <w:rPr>
          <w:rFonts w:ascii="Arial" w:cs="Arial" w:eastAsia="Arial" w:hAnsi="Arial"/>
          <w:sz w:val="16"/>
          <w:szCs w:val="16"/>
          <w:color w:val="auto"/>
        </w:rPr>
      </w:pPr>
    </w:p>
    <w:p>
      <w:pPr>
        <w:ind w:left="480" w:hanging="334"/>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gains and losses on investment and from dispositions.</w:t>
      </w:r>
    </w:p>
    <w:p>
      <w:pPr>
        <w:spacing w:after="0" w:line="38" w:lineRule="exact"/>
        <w:rPr>
          <w:rFonts w:ascii="Arial" w:cs="Arial" w:eastAsia="Arial" w:hAnsi="Arial"/>
          <w:sz w:val="16"/>
          <w:szCs w:val="16"/>
          <w:color w:val="auto"/>
        </w:rPr>
      </w:pPr>
    </w:p>
    <w:p>
      <w:pPr>
        <w:ind w:left="480" w:hanging="325"/>
        <w:spacing w:after="0"/>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expenses related to repurchases of 8.625% Senior Notes, the February 2021 Refinancing Transaction and termination of the Receivables Financing Facility.</w:t>
      </w:r>
    </w:p>
    <w:p>
      <w:pPr>
        <w:spacing w:after="0" w:line="72" w:lineRule="exact"/>
        <w:rPr>
          <w:rFonts w:ascii="Arial" w:cs="Arial" w:eastAsia="Arial" w:hAnsi="Arial"/>
          <w:sz w:val="13"/>
          <w:szCs w:val="13"/>
          <w:color w:val="auto"/>
        </w:rPr>
      </w:pPr>
    </w:p>
    <w:p>
      <w:pPr>
        <w:ind w:left="480" w:hanging="338"/>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mainly changes in the fair value of foreign currency derivatives.</w:t>
      </w:r>
    </w:p>
    <w:p>
      <w:pPr>
        <w:spacing w:after="0" w:line="38" w:lineRule="exact"/>
        <w:rPr>
          <w:rFonts w:ascii="Arial" w:cs="Arial" w:eastAsia="Arial" w:hAnsi="Arial"/>
          <w:sz w:val="16"/>
          <w:szCs w:val="16"/>
          <w:color w:val="auto"/>
        </w:rPr>
      </w:pPr>
    </w:p>
    <w:p>
      <w:pPr>
        <w:ind w:left="480" w:hanging="338"/>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our intangible assets are attributable to acquisitions, including the Rackspace Acquisition in 2016.</w:t>
      </w:r>
    </w:p>
    <w:p>
      <w:pPr>
        <w:spacing w:after="0" w:line="38" w:lineRule="exact"/>
        <w:rPr>
          <w:sz w:val="20"/>
          <w:szCs w:val="20"/>
          <w:color w:val="auto"/>
        </w:rPr>
      </w:pPr>
    </w:p>
    <w:p>
      <w:pPr>
        <w:ind w:left="480" w:right="40" w:hanging="321"/>
        <w:spacing w:after="0" w:line="241" w:lineRule="auto"/>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2020 and 2021 interim periods, we based it on an average of the 2019 and estimated 2020 tax rates and 2020 and estimated 2021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25" w:lineRule="exact"/>
        <w:rPr>
          <w:rFonts w:ascii="Arial" w:cs="Arial" w:eastAsia="Arial" w:hAnsi="Arial"/>
          <w:sz w:val="15"/>
          <w:szCs w:val="15"/>
          <w:color w:val="auto"/>
        </w:rPr>
      </w:pPr>
    </w:p>
    <w:p>
      <w:pPr>
        <w:ind w:left="480" w:hanging="321"/>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accelerated depreciation expense related to facility closures.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9" w:lineRule="exact"/>
        <w:rPr>
          <w:rFonts w:ascii="Arial" w:cs="Arial" w:eastAsia="Arial" w:hAnsi="Arial"/>
          <w:sz w:val="16"/>
          <w:szCs w:val="16"/>
          <w:color w:val="auto"/>
        </w:rPr>
      </w:pPr>
    </w:p>
    <w:p>
      <w:pPr>
        <w:ind w:left="5540" w:hanging="105"/>
        <w:spacing w:after="0"/>
        <w:tabs>
          <w:tab w:leader="none" w:pos="55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Earnings Per Share (EPS)</w:t>
      </w:r>
    </w:p>
    <w:p>
      <w:pPr>
        <w:spacing w:after="0" w:line="249" w:lineRule="exact"/>
        <w:rPr>
          <w:sz w:val="20"/>
          <w:szCs w:val="20"/>
          <w:color w:val="auto"/>
        </w:rPr>
      </w:pPr>
    </w:p>
    <w:p>
      <w:pPr>
        <w:ind w:right="120" w:firstLine="470"/>
        <w:spacing w:after="0" w:line="264" w:lineRule="auto"/>
        <w:rPr>
          <w:sz w:val="20"/>
          <w:szCs w:val="20"/>
          <w:color w:val="auto"/>
        </w:rPr>
      </w:pPr>
      <w:r>
        <w:rPr>
          <w:rFonts w:ascii="Arial" w:cs="Arial" w:eastAsia="Arial" w:hAnsi="Arial"/>
          <w:sz w:val="17"/>
          <w:szCs w:val="17"/>
          <w:color w:val="auto"/>
        </w:rPr>
        <w:t>We define Non-GAAP EPS as Non-GAAP Net Income divided by our GAAP weighted average number of shares outstanding for the period on a diluted basis and further adjusted for the weighted average number of shares associated with securities which are anti-dilutive to GAAP earnings per share but dilutive to Non-GAAP EPS. Management uses Non-GAAP EPS to evaluate the performance of our business on a comparable basis from period to period, including by adjusting for the impact of the issuance of shares that would be dilutive to Non-GAAP EPS. The following table reconciles Non-GAAP EPS to our GAAP net loss per share on a diluted basis: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7"/>
                <w:szCs w:val="17"/>
                <w:color w:val="auto"/>
              </w:rPr>
            </w:pPr>
          </w:p>
        </w:tc>
        <w:tc>
          <w:tcPr>
            <w:tcW w:w="298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amounts)</w:t>
            </w:r>
          </w:p>
        </w:tc>
        <w:tc>
          <w:tcPr>
            <w:tcW w:w="2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r>
      <w:tr>
        <w:trPr>
          <w:trHeight w:val="205"/>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r>
      <w:tr>
        <w:trPr>
          <w:trHeight w:val="206"/>
        </w:trPr>
        <w:tc>
          <w:tcPr>
            <w:tcW w:w="462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212"/>
        </w:trPr>
        <w:tc>
          <w:tcPr>
            <w:tcW w:w="4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6"/>
        </w:trPr>
        <w:tc>
          <w:tcPr>
            <w:tcW w:w="4620" w:type="dxa"/>
            <w:vAlign w:val="bottom"/>
          </w:tcPr>
          <w:p>
            <w:pPr>
              <w:ind w:left="20"/>
              <w:spacing w:after="0"/>
              <w:rPr>
                <w:sz w:val="20"/>
                <w:szCs w:val="20"/>
                <w:color w:val="auto"/>
              </w:rPr>
            </w:pPr>
            <w:r>
              <w:rPr>
                <w:rFonts w:ascii="Arial" w:cs="Arial" w:eastAsia="Arial" w:hAnsi="Arial"/>
                <w:sz w:val="16"/>
                <w:szCs w:val="16"/>
                <w:color w:val="auto"/>
              </w:rPr>
              <w:t>Weighted average number of shares - Diluted</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207.3</w:t>
            </w:r>
          </w:p>
        </w:tc>
      </w:tr>
      <w:tr>
        <w:trPr>
          <w:trHeight w:val="212"/>
        </w:trPr>
        <w:tc>
          <w:tcPr>
            <w:tcW w:w="462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0"/>
                <w:szCs w:val="20"/>
                <w:color w:val="auto"/>
                <w:vertAlign w:val="superscript"/>
              </w:rPr>
              <w:t>(a)</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2"/>
        </w:trPr>
        <w:tc>
          <w:tcPr>
            <w:tcW w:w="4620" w:type="dxa"/>
            <w:vAlign w:val="bottom"/>
          </w:tcPr>
          <w:p>
            <w:pPr>
              <w:ind w:left="240"/>
              <w:spacing w:after="0"/>
              <w:rPr>
                <w:sz w:val="20"/>
                <w:szCs w:val="20"/>
                <w:color w:val="auto"/>
              </w:rPr>
            </w:pPr>
            <w:r>
              <w:rPr>
                <w:rFonts w:ascii="Arial" w:cs="Arial" w:eastAsia="Arial" w:hAnsi="Arial"/>
                <w:sz w:val="16"/>
                <w:szCs w:val="16"/>
                <w:color w:val="auto"/>
              </w:rPr>
              <w:t>Non-GAAP weighted average number of shares - Diluted</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212.1</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4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6"/>
        </w:trPr>
        <w:tc>
          <w:tcPr>
            <w:tcW w:w="4620" w:type="dxa"/>
            <w:vAlign w:val="bottom"/>
          </w:tcPr>
          <w:p>
            <w:pPr>
              <w:ind w:left="20"/>
              <w:spacing w:after="0"/>
              <w:rPr>
                <w:sz w:val="20"/>
                <w:szCs w:val="20"/>
                <w:color w:val="auto"/>
              </w:rPr>
            </w:pPr>
            <w:r>
              <w:rPr>
                <w:rFonts w:ascii="Arial" w:cs="Arial" w:eastAsia="Arial" w:hAnsi="Arial"/>
                <w:sz w:val="16"/>
                <w:szCs w:val="16"/>
                <w:color w:val="auto"/>
              </w:rPr>
              <w:t>Net loss per share - Diluted</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212"/>
        </w:trPr>
        <w:tc>
          <w:tcPr>
            <w:tcW w:w="462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Per share impacts of adjustments to net loss </w:t>
            </w:r>
            <w:r>
              <w:rPr>
                <w:rFonts w:ascii="Arial" w:cs="Arial" w:eastAsia="Arial" w:hAnsi="Arial"/>
                <w:sz w:val="20"/>
                <w:szCs w:val="20"/>
                <w:color w:val="auto"/>
                <w:vertAlign w:val="superscript"/>
              </w:rPr>
              <w:t>(b)</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22"/>
        </w:trPr>
        <w:tc>
          <w:tcPr>
            <w:tcW w:w="4620" w:type="dxa"/>
            <w:vAlign w:val="bottom"/>
            <w:tcBorders>
              <w:bottom w:val="single" w:sz="8" w:color="CCEEFF"/>
            </w:tcBorders>
          </w:tcPr>
          <w:p>
            <w:pPr>
              <w:ind w:left="20"/>
              <w:spacing w:after="0" w:line="222" w:lineRule="exact"/>
              <w:rPr>
                <w:sz w:val="20"/>
                <w:szCs w:val="20"/>
                <w:color w:val="auto"/>
              </w:rPr>
            </w:pPr>
            <w:r>
              <w:rPr>
                <w:rFonts w:ascii="Arial" w:cs="Arial" w:eastAsia="Arial" w:hAnsi="Arial"/>
                <w:sz w:val="16"/>
                <w:szCs w:val="16"/>
                <w:color w:val="auto"/>
                <w:w w:val="95"/>
              </w:rPr>
              <w:t xml:space="preserve">Per share impacts of shares dilutive after adjustments to net loss </w:t>
            </w:r>
            <w:r>
              <w:rPr>
                <w:rFonts w:ascii="Arial" w:cs="Arial" w:eastAsia="Arial" w:hAnsi="Arial"/>
                <w:sz w:val="20"/>
                <w:szCs w:val="20"/>
                <w:color w:val="auto"/>
                <w:w w:val="95"/>
                <w:vertAlign w:val="superscript"/>
              </w:rPr>
              <w:t>(a)</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r>
      <w:tr>
        <w:trPr>
          <w:trHeight w:val="22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Non-GAAP EPS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20" w:hanging="458"/>
        <w:spacing w:after="0" w:line="248" w:lineRule="auto"/>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Reflects impact of awards that would have been anti-dilutive to Net loss per share, and therefore not included in the calculation, but would be dilutive to Non-GAAP EPS and are therefore included in the share count for purposes of this non-GAAP measure. Potential common share equivalents consist of shares issuable upon the exercise of stock options, vesting of restricted stock or purchase under the Employee Stock Purchase Plan (the "ESPP"), as well as contingent shares associated with our acquisition of Datapipe Parent, Inc. Certain of our potential common share equivalents are contingent on Apollo achieving pre-established performance targets based on a multiple of their invested capital ("MOI</w:t>
      </w:r>
      <w:r>
        <w:rPr>
          <w:rFonts w:ascii="Arial" w:cs="Arial" w:eastAsia="Arial" w:hAnsi="Arial"/>
          <w:sz w:val="16"/>
          <w:szCs w:val="16"/>
          <w:color w:val="auto"/>
        </w:rPr>
        <w:t>C")</w:t>
      </w:r>
      <w:r>
        <w:rPr>
          <w:rFonts w:ascii="Arial" w:cs="Arial" w:eastAsia="Arial" w:hAnsi="Arial"/>
          <w:sz w:val="15"/>
          <w:szCs w:val="15"/>
          <w:color w:val="auto"/>
        </w:rPr>
        <w:t>, which are included in the denominator for the entire period if such shares would be issuable as of the end of the reporting period assuming the end of the reporting period was the end of the contingency period.</w:t>
      </w:r>
    </w:p>
    <w:p>
      <w:pPr>
        <w:spacing w:after="0" w:line="16" w:lineRule="exact"/>
        <w:rPr>
          <w:rFonts w:ascii="Arial" w:cs="Arial" w:eastAsia="Arial" w:hAnsi="Arial"/>
          <w:sz w:val="15"/>
          <w:szCs w:val="15"/>
          <w:color w:val="auto"/>
        </w:rPr>
      </w:pPr>
    </w:p>
    <w:p>
      <w:pPr>
        <w:ind w:left="480" w:right="160" w:hanging="458"/>
        <w:spacing w:after="0" w:line="242"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aggregate adjustments made to reconcile Non-GAAP Net Income to our net loss, as noted in the above table, divided by the GAAP diluted number of shares outstanding for the relevant period.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hanging="105"/>
        <w:spacing w:after="0"/>
        <w:tabs>
          <w:tab w:leader="none" w:pos="55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49" w:lineRule="exact"/>
        <w:rPr>
          <w:sz w:val="20"/>
          <w:szCs w:val="20"/>
          <w:color w:val="auto"/>
        </w:rPr>
      </w:pPr>
    </w:p>
    <w:p>
      <w:pPr>
        <w:ind w:firstLine="470"/>
        <w:spacing w:after="0" w:line="276" w:lineRule="auto"/>
        <w:rPr>
          <w:sz w:val="20"/>
          <w:szCs w:val="20"/>
          <w:color w:val="auto"/>
        </w:rPr>
      </w:pPr>
      <w:r>
        <w:rPr>
          <w:rFonts w:ascii="Arial" w:cs="Arial" w:eastAsia="Arial" w:hAnsi="Arial"/>
          <w:sz w:val="16"/>
          <w:szCs w:val="16"/>
          <w:color w:val="auto"/>
        </w:rPr>
        <w:t>We primarily finance our operations and capital expenditures with internally-generated cash from operations and hardware leases, and if necessary, borrowings under the Revolving Credit Facility. As of September 30, 2021, the Revolving Credit Facility provided for up to $375 million of borrowings, none of which was drawn as of September 30, 2021. On June 29, 2021, as part of our on-going efforts to reduce debt, we entered into an agreement to voluntarily prepay and terminate the Receivables Financing Facility. As of September 30, 2021, we had no remaining outstanding balance under the Receivables Financing Facility. We believe our Revolving Credit Facility will provide sufficient liquidity, if needed, to cover amounts that we may have previously drawn upon under the terminated facility.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including the Senior Facilities, the 5.375% Senior Notes, and the 3.50% Senior Secured Notes (see discussion below),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00"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5.375% Senior Notes (the "5.375% Notes Indenture") or the indenture governing the 3.50% Senior Secured Notes (the "3.50% Notes Indenture" and, together with the 5.375% Notes Indenture, the "Indentures"), if applicable), for cash or other consideration.</w:t>
      </w:r>
    </w:p>
    <w:p>
      <w:pPr>
        <w:spacing w:after="0" w:line="192" w:lineRule="exact"/>
        <w:rPr>
          <w:sz w:val="20"/>
          <w:szCs w:val="20"/>
          <w:color w:val="auto"/>
        </w:rPr>
      </w:pPr>
    </w:p>
    <w:p>
      <w:pPr>
        <w:ind w:right="180" w:firstLine="470"/>
        <w:spacing w:after="0" w:line="288" w:lineRule="auto"/>
        <w:rPr>
          <w:sz w:val="20"/>
          <w:szCs w:val="20"/>
          <w:color w:val="auto"/>
        </w:rPr>
      </w:pPr>
      <w:r>
        <w:rPr>
          <w:rFonts w:ascii="Arial" w:cs="Arial" w:eastAsia="Arial" w:hAnsi="Arial"/>
          <w:sz w:val="17"/>
          <w:szCs w:val="17"/>
          <w:color w:val="auto"/>
        </w:rPr>
        <w:t>At September 30, 2021, we held $260 million in cash and cash equivalents (not including $3 million in restricted cash, which is included in "Other non-current assets"), of which $119 million was held by foreign entities.</w:t>
      </w:r>
    </w:p>
    <w:p>
      <w:pPr>
        <w:spacing w:after="0" w:line="184" w:lineRule="exact"/>
        <w:rPr>
          <w:sz w:val="20"/>
          <w:szCs w:val="20"/>
          <w:color w:val="auto"/>
        </w:rPr>
      </w:pPr>
    </w:p>
    <w:p>
      <w:pPr>
        <w:jc w:val="both"/>
        <w:ind w:right="480" w:firstLine="470"/>
        <w:spacing w:after="0" w:line="272" w:lineRule="auto"/>
        <w:rPr>
          <w:sz w:val="20"/>
          <w:szCs w:val="20"/>
          <w:color w:val="auto"/>
        </w:rPr>
      </w:pPr>
      <w:r>
        <w:rPr>
          <w:rFonts w:ascii="Arial" w:cs="Arial" w:eastAsia="Arial" w:hAnsi="Arial"/>
          <w:sz w:val="17"/>
          <w:szCs w:val="17"/>
          <w:color w:val="auto"/>
        </w:rPr>
        <w:t>We have entered into installment payment arrangements with certain equipment and software vendors, along with sale-leaseback arrangements for equipment and certain property leases that are considered financing obligations. We had $124 million outstanding with respect to these arrangements as of September 30, 2021. We may choose to utilize these various sources of funding in future periods.</w:t>
      </w:r>
    </w:p>
    <w:p>
      <w:pPr>
        <w:spacing w:after="0" w:line="198" w:lineRule="exact"/>
        <w:rPr>
          <w:sz w:val="20"/>
          <w:szCs w:val="20"/>
          <w:color w:val="auto"/>
        </w:rPr>
      </w:pPr>
    </w:p>
    <w:p>
      <w:pPr>
        <w:ind w:right="80" w:firstLine="470"/>
        <w:spacing w:after="0" w:line="321" w:lineRule="auto"/>
        <w:rPr>
          <w:sz w:val="20"/>
          <w:szCs w:val="20"/>
          <w:color w:val="auto"/>
        </w:rPr>
      </w:pPr>
      <w:r>
        <w:rPr>
          <w:rFonts w:ascii="Arial" w:cs="Arial" w:eastAsia="Arial" w:hAnsi="Arial"/>
          <w:sz w:val="16"/>
          <w:szCs w:val="16"/>
          <w:color w:val="auto"/>
        </w:rPr>
        <w:t>We also lease certain equipment and real estate under operating and finance lease agreements. We had $572 million outstanding with respect to operating and finance lease agreements as of September 30, 2021. We may choose to utilize such leasing arrangements in future periods.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September 30, 2021, we had $3,389 million aggregate principal amount outstanding under our Term Loan Facility, 5.375% Senior Notes, and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3.50% Senior Secured Notes, with $375 million of borrowing capacity available under the Revolving Credit Facility. Our liquidity requirements are significant,</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debt service requirements.</w:t>
      </w:r>
    </w:p>
    <w:p>
      <w:pPr>
        <w:spacing w:after="0" w:line="237" w:lineRule="exact"/>
        <w:rPr>
          <w:sz w:val="20"/>
          <w:szCs w:val="20"/>
          <w:color w:val="auto"/>
        </w:rPr>
      </w:pPr>
    </w:p>
    <w:p>
      <w:pPr>
        <w:ind w:right="100" w:firstLine="470"/>
        <w:spacing w:after="0" w:line="284" w:lineRule="auto"/>
        <w:rPr>
          <w:sz w:val="20"/>
          <w:szCs w:val="20"/>
          <w:color w:val="auto"/>
        </w:rPr>
      </w:pPr>
      <w:r>
        <w:rPr>
          <w:rFonts w:ascii="Arial" w:cs="Arial" w:eastAsia="Arial" w:hAnsi="Arial"/>
          <w:sz w:val="16"/>
          <w:szCs w:val="16"/>
          <w:color w:val="auto"/>
        </w:rPr>
        <w:t>On February 2, 2021, we issued 2,665,935 shares of common stock to DPH 123, LLC, an ABRY affiliate, for no additional consideration pursuant to the Agreement and Plan of Merger, dated as of September 6, 2017, (the "Datapipe Merger Agreement") in connection with our November 15, 2017 acquisition of Datapipe Parent, Inc. We will be required to issue additional shares of our common stock to DPH 123, LLC based on the MOIC exceeding certain thresholds as defined in the Datapipe Merger Agreement. If the MOIC exceeds 3.0x, which is indicated by a volume weighted average trading price ("VWAP") of our common stock over 30 consecutive trading days of more than $25.00, we will be required to issue an additional 2,665,935 shares.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Facilitie</w:t>
      </w:r>
      <w:r>
        <w:rPr>
          <w:rFonts w:ascii="Arial" w:cs="Arial" w:eastAsia="Arial" w:hAnsi="Arial"/>
          <w:sz w:val="17"/>
          <w:szCs w:val="17"/>
          <w:b w:val="1"/>
          <w:bCs w:val="1"/>
          <w:i w:val="1"/>
          <w:iCs w:val="1"/>
          <w:color w:val="auto"/>
        </w:rPr>
        <w:t>s</w:t>
      </w:r>
    </w:p>
    <w:p>
      <w:pPr>
        <w:spacing w:after="0" w:line="249" w:lineRule="exact"/>
        <w:rPr>
          <w:sz w:val="20"/>
          <w:szCs w:val="20"/>
          <w:color w:val="auto"/>
        </w:rPr>
      </w:pPr>
    </w:p>
    <w:p>
      <w:pPr>
        <w:ind w:right="40" w:firstLine="470"/>
        <w:spacing w:after="0" w:line="260" w:lineRule="auto"/>
        <w:rPr>
          <w:sz w:val="20"/>
          <w:szCs w:val="20"/>
          <w:color w:val="auto"/>
        </w:rPr>
      </w:pPr>
      <w:r>
        <w:rPr>
          <w:rFonts w:ascii="Arial" w:cs="Arial" w:eastAsia="Arial" w:hAnsi="Arial"/>
          <w:sz w:val="17"/>
          <w:szCs w:val="17"/>
          <w:color w:val="auto"/>
        </w:rPr>
        <w:t>On February 9, 2021, we amended and restated the credit agreement (the "First Lien Credit Agreement") governing our senior secured credit facilities, which included a new seven-year $2,300 million senior secured first lien term loan facility (the "Term Loan Facility") and the Revolving Credit Facility (together, the "Senior Facilities"). We used the borrowings under the Term Loan Facility, together with the proceeds from the issuance of the 3.50% Senior Secured Notes described below (together, the "February 2021 Refinancing Transaction"), to repay all borrowings under the prior term loan facility (the "Prior Term Loan Facility"), to pay related fees and expenses and for general corporate purposes. The Term Loan Facility will mature on February 15, 2028 and the Revolving Credit Facility will mature on August 7, 2025. We may request one or more incremental term loan facilities, one or more incremental revolving credit facilities and/or increase the commitments under the Revolving Credit Facility in an amount equal to the greater of $860 million and 1.0x Pro Forma Adjusted EBITDA (as defined in the amended First Lien Credit Agreement), plus additional amounts, subject to compliance with applicable leverage ratios and certain terms and conditions.</w:t>
      </w:r>
    </w:p>
    <w:p>
      <w:pPr>
        <w:spacing w:after="0" w:line="211" w:lineRule="exact"/>
        <w:rPr>
          <w:sz w:val="20"/>
          <w:szCs w:val="20"/>
          <w:color w:val="auto"/>
        </w:rPr>
      </w:pPr>
    </w:p>
    <w:p>
      <w:pPr>
        <w:ind w:right="60" w:firstLine="470"/>
        <w:spacing w:after="0" w:line="263" w:lineRule="auto"/>
        <w:rPr>
          <w:sz w:val="20"/>
          <w:szCs w:val="20"/>
          <w:color w:val="auto"/>
        </w:rPr>
      </w:pPr>
      <w:r>
        <w:rPr>
          <w:rFonts w:ascii="Arial" w:cs="Arial" w:eastAsia="Arial" w:hAnsi="Arial"/>
          <w:sz w:val="17"/>
          <w:szCs w:val="17"/>
          <w:color w:val="auto"/>
        </w:rPr>
        <w:t>Interest on the Term Loan Facility is due at the end of each interest period elected, not exceeding 90 days, for LIBOR loans and at the end of every calendar quarter for base rate loans. As of September 30, 2021, the interest rate on the Term Loan Facility was 3.50%. Beginning June 30, 2021, we are required to make quarterly amortization payments on the Term Loan Facility in an annual amount equal to 1.0% of the original principal amount of the Term Loan Facility, with the balance due at maturity. The Revolving Credit Facility includes a commitment fee equal to 0.50% per annum in respect of the unused commitments that is due quarterly. This fee is subject to one step-down based on the net first lien leverage ratio. The Senior Facilities require us to make certain mandatory prepayments under certain conditions defined in the credit agreement.</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Rackspace Technology Global, our wholly-owned subsidiary, is the borrower under the Senior Facilities, and all obligations under the Senior Facilities are</w:t>
      </w:r>
    </w:p>
    <w:p>
      <w:pPr>
        <w:spacing w:after="0" w:line="49" w:lineRule="exact"/>
        <w:rPr>
          <w:sz w:val="20"/>
          <w:szCs w:val="20"/>
          <w:color w:val="auto"/>
        </w:rPr>
      </w:pPr>
    </w:p>
    <w:p>
      <w:pPr>
        <w:ind w:right="20" w:firstLine="5"/>
        <w:spacing w:after="0" w:line="262" w:lineRule="auto"/>
        <w:tabs>
          <w:tab w:leader="none" w:pos="2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guaranteed by Inception Parent, Rackspace Technology Global’s immediate parent company, on a limited recourse basis and secured by the equity interests of Rackspace Technology Global held by Inception Parent and (ii) guaranteed by Rackspace Technology Global’s wholly-owned domestic restricted subsidiaries and secured by substantially all material owned assets of Rackspace Technology Global and the subsidiary guarantors, including the equity interests held by each, in each case subject to certain exceptions.</w:t>
      </w:r>
    </w:p>
    <w:p>
      <w:pPr>
        <w:spacing w:after="0" w:line="206" w:lineRule="exact"/>
        <w:rPr>
          <w:sz w:val="20"/>
          <w:szCs w:val="20"/>
          <w:color w:val="auto"/>
        </w:rPr>
      </w:pPr>
    </w:p>
    <w:p>
      <w:pPr>
        <w:ind w:right="320" w:firstLine="470"/>
        <w:spacing w:after="0" w:line="288" w:lineRule="auto"/>
        <w:rPr>
          <w:sz w:val="20"/>
          <w:szCs w:val="20"/>
          <w:color w:val="auto"/>
        </w:rPr>
      </w:pPr>
      <w:r>
        <w:rPr>
          <w:rFonts w:ascii="Arial" w:cs="Arial" w:eastAsia="Arial" w:hAnsi="Arial"/>
          <w:sz w:val="17"/>
          <w:szCs w:val="17"/>
          <w:color w:val="auto"/>
        </w:rPr>
        <w:t>As of September 30, 2021, $2,289 million aggregate principal amount of the Term Loan Facility remained outstanding. See Item 1 of Part I, Financial Statements - Note 6, "Debt," for more information regarding our Senior Facilities and the February 2021 Refinancing Transaction.</w:t>
      </w:r>
    </w:p>
    <w:p>
      <w:pPr>
        <w:spacing w:after="0" w:line="184" w:lineRule="exact"/>
        <w:rPr>
          <w:sz w:val="20"/>
          <w:szCs w:val="20"/>
          <w:color w:val="auto"/>
        </w:rPr>
      </w:pPr>
    </w:p>
    <w:p>
      <w:pPr>
        <w:ind w:right="40" w:firstLine="470"/>
        <w:spacing w:after="0" w:line="272" w:lineRule="auto"/>
        <w:rPr>
          <w:sz w:val="20"/>
          <w:szCs w:val="20"/>
          <w:color w:val="auto"/>
        </w:rPr>
      </w:pPr>
      <w:r>
        <w:rPr>
          <w:rFonts w:ascii="Arial" w:cs="Arial" w:eastAsia="Arial" w:hAnsi="Arial"/>
          <w:sz w:val="17"/>
          <w:szCs w:val="17"/>
          <w:color w:val="auto"/>
        </w:rPr>
        <w:t>We have entered into interest rate swap agreements to manage the interest rate risk associated with interest payments on the Term Loan Facility that result from fluctuations in the LIBOR rate. See Item 1 of Part I, Financial Statements - Note 11, "Derivatives," for more information on the interest rate swap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5.375% Senior Notes due 2028</w:t>
      </w:r>
    </w:p>
    <w:p>
      <w:pPr>
        <w:spacing w:after="0" w:line="249" w:lineRule="exact"/>
        <w:rPr>
          <w:sz w:val="20"/>
          <w:szCs w:val="20"/>
          <w:color w:val="auto"/>
        </w:rPr>
      </w:pPr>
    </w:p>
    <w:p>
      <w:pPr>
        <w:ind w:right="180" w:firstLine="470"/>
        <w:spacing w:after="0" w:line="267" w:lineRule="auto"/>
        <w:rPr>
          <w:sz w:val="20"/>
          <w:szCs w:val="20"/>
          <w:color w:val="auto"/>
        </w:rPr>
      </w:pPr>
      <w:r>
        <w:rPr>
          <w:rFonts w:ascii="Arial" w:cs="Arial" w:eastAsia="Arial" w:hAnsi="Arial"/>
          <w:sz w:val="17"/>
          <w:szCs w:val="17"/>
          <w:color w:val="auto"/>
        </w:rPr>
        <w:t>Rackspace Technology Global issued $550 million aggregate principal amount of the 5.375% Senior Notes on December 1, 2020. The 5.375% Senior Notes will mature on December 1, 2028 and bear interest at a fixed rate of 5.375% per year, payable semi-annually on each June 1 and December 1, commencing on June 1, 2021 through maturity. The 5.375% Senior Notes are guaranteed on a senior unsecured basis by all of Rackspace Technology Global’s wholly-owned domestic restricted subsidiaries that guarantee the Senior Facilities.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$550 million aggregate principal amount of the 5.375% Senior Notes remained outstanding.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3.50% Senior Secured Notes due 2028</w:t>
      </w:r>
    </w:p>
    <w:p>
      <w:pPr>
        <w:spacing w:after="0" w:line="249"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each February 15 and August 15, commencing on August 15, 2021. We may redeem some or all of the 3.50% Senior Secured Notes at our option prior to February 15, 2024 subject to certain limitations and conditions outlined in the 3.50% Notes Indenture.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60" w:firstLine="427"/>
        <w:spacing w:after="0" w:line="321" w:lineRule="auto"/>
        <w:rPr>
          <w:sz w:val="20"/>
          <w:szCs w:val="20"/>
          <w:color w:val="auto"/>
        </w:rPr>
      </w:pPr>
      <w:r>
        <w:rPr>
          <w:rFonts w:ascii="Arial" w:cs="Arial" w:eastAsia="Arial" w:hAnsi="Arial"/>
          <w:sz w:val="16"/>
          <w:szCs w:val="16"/>
          <w:color w:val="auto"/>
        </w:rPr>
        <w:t>The 3.50% Senior Secured Notes are secured by first-priority security interests in substantially all material owned assets of Rackspace Technology Global and the subsidiary guarantors, including the equity interest held by each, subject to certain exceptions, which assets also secure the Senior Facilities.</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$550 million aggregate principal amount of the 3.50% Senior Secured Notes remained outstanding.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249" w:lineRule="exact"/>
        <w:rPr>
          <w:sz w:val="20"/>
          <w:szCs w:val="20"/>
          <w:color w:val="auto"/>
        </w:rPr>
      </w:pPr>
    </w:p>
    <w:p>
      <w:pPr>
        <w:ind w:right="20" w:firstLine="470"/>
        <w:spacing w:after="0" w:line="278" w:lineRule="auto"/>
        <w:rPr>
          <w:sz w:val="20"/>
          <w:szCs w:val="20"/>
          <w:color w:val="auto"/>
        </w:rPr>
      </w:pPr>
      <w:r>
        <w:rPr>
          <w:rFonts w:ascii="Arial" w:cs="Arial" w:eastAsia="Arial" w:hAnsi="Arial"/>
          <w:sz w:val="16"/>
          <w:szCs w:val="16"/>
          <w:color w:val="auto"/>
        </w:rPr>
        <w:t>Our Term Loan Facility is not subject to a financial maintenance covenant. As of September 30, 2021, our Revolving Credit Facility included a financial maintenance covenant that limits the borrower's net first lien leverage ratio to a maximum of 5.00 to 1.00. The net first lien leverage ratio is calculated as the ratio of (x) the total amount of the borrower’s first lien debt for borrowed money (which is currently identical to the total amount outstanding under the Senior Facilities), less the borrower’s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equal to or greater than 35% of the Revolving Credit Facility commitments as of the last day of such fiscal quarter. Additional covenants in the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199" w:lineRule="exact"/>
        <w:rPr>
          <w:sz w:val="20"/>
          <w:szCs w:val="20"/>
          <w:color w:val="auto"/>
        </w:rPr>
      </w:pPr>
    </w:p>
    <w:p>
      <w:pPr>
        <w:ind w:firstLine="470"/>
        <w:spacing w:after="0" w:line="263" w:lineRule="auto"/>
        <w:rPr>
          <w:sz w:val="20"/>
          <w:szCs w:val="20"/>
          <w:color w:val="auto"/>
        </w:rPr>
      </w:pPr>
      <w:r>
        <w:rPr>
          <w:rFonts w:ascii="Arial" w:cs="Arial" w:eastAsia="Arial" w:hAnsi="Arial"/>
          <w:sz w:val="17"/>
          <w:szCs w:val="17"/>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5.375% Senior Notes and 3.50% Senior Secured Notes, respectively, at a price in cash equal to 101% of the aggregate principal amount, plus accrued and unpaid interest, if any, to, but not including the purchase date.</w:t>
      </w:r>
    </w:p>
    <w:p>
      <w:pPr>
        <w:spacing w:after="0" w:line="205" w:lineRule="exact"/>
        <w:rPr>
          <w:sz w:val="20"/>
          <w:szCs w:val="20"/>
          <w:color w:val="auto"/>
        </w:rPr>
      </w:pPr>
    </w:p>
    <w:p>
      <w:pPr>
        <w:ind w:right="140" w:firstLine="470"/>
        <w:spacing w:after="0" w:line="307" w:lineRule="auto"/>
        <w:rPr>
          <w:sz w:val="20"/>
          <w:szCs w:val="20"/>
          <w:color w:val="auto"/>
        </w:rPr>
      </w:pPr>
      <w:r>
        <w:rPr>
          <w:rFonts w:ascii="Arial" w:cs="Arial" w:eastAsia="Arial" w:hAnsi="Arial"/>
          <w:sz w:val="15"/>
          <w:szCs w:val="15"/>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Senior Facilities the calculation of consolidated EBITDA takes into account the impact of certain changes in GAAP subsequent to the original closing date other than with respect to capital leases.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September 30, 2021, we were in compliance with all covenants under the Senior Facilities and the Indentures.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a summary of our capital expenditures for the periods indicated:</w:t>
      </w:r>
    </w:p>
    <w:p>
      <w:pPr>
        <w:spacing w:after="0" w:line="14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2021</w:t>
            </w:r>
          </w:p>
        </w:tc>
      </w:tr>
      <w:tr>
        <w:trPr>
          <w:trHeight w:val="205"/>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gear</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06"/>
        </w:trPr>
        <w:tc>
          <w:tcPr>
            <w:tcW w:w="7540" w:type="dxa"/>
            <w:vAlign w:val="bottom"/>
          </w:tcPr>
          <w:p>
            <w:pPr>
              <w:ind w:left="140"/>
              <w:spacing w:after="0"/>
              <w:rPr>
                <w:sz w:val="20"/>
                <w:szCs w:val="20"/>
                <w:color w:val="auto"/>
              </w:rPr>
            </w:pPr>
            <w:r>
              <w:rPr>
                <w:rFonts w:ascii="Arial" w:cs="Arial" w:eastAsia="Arial" w:hAnsi="Arial"/>
                <w:sz w:val="16"/>
                <w:szCs w:val="16"/>
                <w:color w:val="auto"/>
              </w:rPr>
              <w:t>Data center build outs</w:t>
            </w: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2"/>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build outs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6"/>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Capitalized software and other projects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3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capital expenditures</w:t>
            </w: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0" w:firstLine="470"/>
        <w:spacing w:after="0" w:line="272" w:lineRule="auto"/>
        <w:rPr>
          <w:sz w:val="20"/>
          <w:szCs w:val="20"/>
          <w:color w:val="auto"/>
        </w:rPr>
      </w:pPr>
      <w:r>
        <w:rPr>
          <w:rFonts w:ascii="Arial" w:cs="Arial" w:eastAsia="Arial" w:hAnsi="Arial"/>
          <w:sz w:val="17"/>
          <w:szCs w:val="17"/>
          <w:color w:val="auto"/>
        </w:rPr>
        <w:t>Capital expenditures were relatively flat year-over-year, at $176 million in the nine months ended September 30, 2021, compared to $174 million in the nine months ended September 30,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a summary of certain cash flow information for the periods indicated:</w:t>
      </w:r>
    </w:p>
    <w:p>
      <w:pPr>
        <w:spacing w:after="0" w:line="143"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2021</w:t>
            </w:r>
          </w:p>
        </w:tc>
      </w:tr>
      <w:tr>
        <w:trPr>
          <w:trHeight w:val="205"/>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132.7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w:t>
            </w:r>
          </w:p>
        </w:tc>
      </w:tr>
      <w:tr>
        <w:trPr>
          <w:trHeight w:val="206"/>
        </w:trPr>
        <w:tc>
          <w:tcPr>
            <w:tcW w:w="75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220" w:type="dxa"/>
            <w:vAlign w:val="bottom"/>
          </w:tcPr>
          <w:p>
            <w:pPr>
              <w:jc w:val="right"/>
              <w:ind w:right="1066"/>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180"/>
              <w:spacing w:after="0"/>
              <w:rPr>
                <w:sz w:val="20"/>
                <w:szCs w:val="20"/>
                <w:color w:val="auto"/>
              </w:rPr>
            </w:pPr>
            <w:r>
              <w:rPr>
                <w:rFonts w:ascii="Arial" w:cs="Arial" w:eastAsia="Arial" w:hAnsi="Arial"/>
                <w:sz w:val="16"/>
                <w:szCs w:val="16"/>
                <w:color w:val="auto"/>
                <w:w w:val="90"/>
              </w:rPr>
              <w:t>(92.2)</w:t>
            </w:r>
          </w:p>
        </w:tc>
        <w:tc>
          <w:tcPr>
            <w:tcW w:w="10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220" w:type="dxa"/>
            <w:vAlign w:val="bottom"/>
            <w:shd w:val="clear" w:color="auto" w:fill="CCEEFF"/>
          </w:tcPr>
          <w:p>
            <w:pPr>
              <w:jc w:val="right"/>
              <w:ind w:right="106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128.5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Operating Activities</w:t>
      </w:r>
    </w:p>
    <w:p>
      <w:pPr>
        <w:spacing w:after="0" w:line="249" w:lineRule="exact"/>
        <w:rPr>
          <w:sz w:val="20"/>
          <w:szCs w:val="20"/>
          <w:color w:val="auto"/>
        </w:rPr>
      </w:pPr>
    </w:p>
    <w:p>
      <w:pPr>
        <w:ind w:right="20" w:firstLine="470"/>
        <w:spacing w:after="0" w:line="272" w:lineRule="auto"/>
        <w:rPr>
          <w:sz w:val="20"/>
          <w:szCs w:val="20"/>
          <w:color w:val="auto"/>
        </w:rPr>
      </w:pPr>
      <w:r>
        <w:rPr>
          <w:rFonts w:ascii="Arial" w:cs="Arial" w:eastAsia="Arial" w:hAnsi="Arial"/>
          <w:sz w:val="17"/>
          <w:szCs w:val="17"/>
          <w:color w:val="auto"/>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198" w:lineRule="exact"/>
        <w:rPr>
          <w:sz w:val="20"/>
          <w:szCs w:val="20"/>
          <w:color w:val="auto"/>
        </w:rPr>
      </w:pPr>
    </w:p>
    <w:p>
      <w:pPr>
        <w:ind w:right="160" w:firstLine="470"/>
        <w:spacing w:after="0" w:line="282" w:lineRule="auto"/>
        <w:rPr>
          <w:sz w:val="20"/>
          <w:szCs w:val="20"/>
          <w:color w:val="auto"/>
        </w:rPr>
      </w:pPr>
      <w:r>
        <w:rPr>
          <w:rFonts w:ascii="Arial" w:cs="Arial" w:eastAsia="Arial" w:hAnsi="Arial"/>
          <w:sz w:val="16"/>
          <w:szCs w:val="16"/>
          <w:color w:val="auto"/>
        </w:rPr>
        <w:t>Net cash provided by operating activities increased $179 million, or 135%, in the nine months ended September 30, 2021 compared to the nine months ended September 30, 2020. This increase was primarily driven by a $321 million increase in cash collections, primarily reflecting higher revenue levels and an increased focus on collection efforts with customers, and to a lesser extent, timing of collections. In addition, there was a $61 million decrease in debt interest payments due to lower interest rates on our long-term debt following various debt repurchase and refinancing transactions during the second half of 2020 and early 2021, and a $39 million decrease in employee-related payments due to a shift in headcount to our offshore service centers. These operating cash flow increases were partially offset by a $230 million increase in operating expense payments, largely for third-party infrastructure costs.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Investing Activities</w:t>
      </w:r>
    </w:p>
    <w:p>
      <w:pPr>
        <w:spacing w:after="0" w:line="249" w:lineRule="exact"/>
        <w:rPr>
          <w:sz w:val="20"/>
          <w:szCs w:val="20"/>
          <w:color w:val="auto"/>
        </w:rPr>
      </w:pPr>
    </w:p>
    <w:p>
      <w:pPr>
        <w:ind w:right="80" w:firstLine="470"/>
        <w:spacing w:after="0" w:line="272" w:lineRule="auto"/>
        <w:rPr>
          <w:sz w:val="20"/>
          <w:szCs w:val="20"/>
          <w:color w:val="auto"/>
        </w:rPr>
      </w:pPr>
      <w:r>
        <w:rPr>
          <w:rFonts w:ascii="Arial" w:cs="Arial" w:eastAsia="Arial" w:hAnsi="Arial"/>
          <w:sz w:val="17"/>
          <w:szCs w:val="17"/>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198" w:lineRule="exact"/>
        <w:rPr>
          <w:sz w:val="20"/>
          <w:szCs w:val="20"/>
          <w:color w:val="auto"/>
        </w:rPr>
      </w:pPr>
    </w:p>
    <w:p>
      <w:pPr>
        <w:ind w:right="280" w:firstLine="470"/>
        <w:spacing w:after="0" w:line="324" w:lineRule="auto"/>
        <w:rPr>
          <w:sz w:val="20"/>
          <w:szCs w:val="20"/>
          <w:color w:val="auto"/>
        </w:rPr>
      </w:pPr>
      <w:r>
        <w:rPr>
          <w:rFonts w:ascii="Arial" w:cs="Arial" w:eastAsia="Arial" w:hAnsi="Arial"/>
          <w:sz w:val="15"/>
          <w:szCs w:val="15"/>
          <w:color w:val="auto"/>
        </w:rPr>
        <w:t>Net cash used in investing activities decreased $40 million, or 43%, in the nine months ended September 30, 2021 compared to the nine months ended September 30, 2020. This decrease was mainly due to net proceeds of $31 million from the January 2021 sale of a parcel of undeveloped land in the United Kingdom adjacent to one of our existing data centers. There was also a $10 million decrease in purchases of property, equipment, and software.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or Used in Financing Activities</w:t>
      </w:r>
    </w:p>
    <w:p>
      <w:pPr>
        <w:spacing w:after="0" w:line="249" w:lineRule="exact"/>
        <w:rPr>
          <w:sz w:val="20"/>
          <w:szCs w:val="20"/>
          <w:color w:val="auto"/>
        </w:rPr>
      </w:pPr>
    </w:p>
    <w:p>
      <w:pPr>
        <w:ind w:right="40" w:firstLine="470"/>
        <w:spacing w:after="0" w:line="321" w:lineRule="auto"/>
        <w:rPr>
          <w:sz w:val="20"/>
          <w:szCs w:val="20"/>
          <w:color w:val="auto"/>
        </w:rPr>
      </w:pPr>
      <w:r>
        <w:rPr>
          <w:rFonts w:ascii="Arial" w:cs="Arial" w:eastAsia="Arial" w:hAnsi="Arial"/>
          <w:sz w:val="16"/>
          <w:szCs w:val="16"/>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161" w:lineRule="exact"/>
        <w:rPr>
          <w:sz w:val="20"/>
          <w:szCs w:val="20"/>
          <w:color w:val="auto"/>
        </w:rPr>
      </w:pPr>
    </w:p>
    <w:p>
      <w:pPr>
        <w:ind w:right="20" w:firstLine="470"/>
        <w:spacing w:after="0" w:line="259" w:lineRule="auto"/>
        <w:rPr>
          <w:sz w:val="20"/>
          <w:szCs w:val="20"/>
          <w:color w:val="auto"/>
        </w:rPr>
      </w:pPr>
      <w:r>
        <w:rPr>
          <w:rFonts w:ascii="Arial" w:cs="Arial" w:eastAsia="Arial" w:hAnsi="Arial"/>
          <w:sz w:val="17"/>
          <w:szCs w:val="17"/>
          <w:color w:val="auto"/>
        </w:rPr>
        <w:t>Net cash used in financing activities was $102 million for the nine months ended September 30, 2021 and net cash provided by financing activities was $129 million for the nine months ended September 30, 2020. The change was primarily driven by $667 million in proceeds from the issuance of common stock in the IPO, not including $8 million in fees paid, for the nine months ended September 30, 2020, partially offset by a $435 million decrease in net debt activity. Net payments for long-term debt activity of $503 million during the nine months ended September 30, 2020, which included $545 million of repayments on our 8.625% Senior Notes, $22 million of repayments on our Prior Term Loan Facility, and $1 million in debt issuance costs paid, offset by borrowings of $65 million under the Receivables Financing Facility that remained outstanding at quarter-end. Net payments for long-term debt activity were $68 million during the nine months ended September 30, 2021, reflecting the refinancing of our Prior Term Loan Facility, a $65 million repayment related to the termination of our Receivables Financing Facility, and $34 million in debt issuance costs paid. In addition, there was a $40 million increase in proceeds from employee stock plans, a $21 million increase in payments for finance leases and the first two payments for the financing component of our interest rate swaps totaling $9 million during the nine months ended September 30, 2021, offset by proceeds from financing obligations of $21 million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9" w:lineRule="exact"/>
        <w:rPr>
          <w:sz w:val="20"/>
          <w:szCs w:val="20"/>
          <w:color w:val="auto"/>
        </w:rPr>
      </w:pPr>
    </w:p>
    <w:p>
      <w:pPr>
        <w:ind w:firstLine="470"/>
        <w:spacing w:after="0" w:line="267" w:lineRule="auto"/>
        <w:rPr>
          <w:sz w:val="20"/>
          <w:szCs w:val="20"/>
          <w:color w:val="auto"/>
        </w:rPr>
      </w:pPr>
      <w:r>
        <w:rPr>
          <w:rFonts w:ascii="Arial" w:cs="Arial" w:eastAsia="Arial" w:hAnsi="Arial"/>
          <w:sz w:val="17"/>
          <w:szCs w:val="17"/>
          <w:color w:val="auto"/>
        </w:rPr>
        <w:t>Our critical accounting policies and estimates have not changed from those described in our Annual Report on Form 10-K under "Management's Discussion and Analysis of Financial Condition and Results of Operations - Critical Accounting Policies and Estimates." For a description of accounting pronouncements recently adopted and issued,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 QUANTITATIVE AND QUALITATIVE DISCLOSURES ABOUT MARKET RISK</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Rates</w:t>
      </w:r>
    </w:p>
    <w:p>
      <w:pPr>
        <w:spacing w:after="0" w:line="249" w:lineRule="exact"/>
        <w:rPr>
          <w:sz w:val="20"/>
          <w:szCs w:val="20"/>
          <w:color w:val="auto"/>
        </w:rPr>
      </w:pPr>
    </w:p>
    <w:p>
      <w:pPr>
        <w:ind w:right="40" w:firstLine="470"/>
        <w:spacing w:after="0" w:line="264" w:lineRule="auto"/>
        <w:rPr>
          <w:sz w:val="20"/>
          <w:szCs w:val="20"/>
          <w:color w:val="auto"/>
        </w:rPr>
      </w:pPr>
      <w:r>
        <w:rPr>
          <w:rFonts w:ascii="Arial" w:cs="Arial" w:eastAsia="Arial" w:hAnsi="Arial"/>
          <w:sz w:val="17"/>
          <w:szCs w:val="17"/>
          <w:color w:val="auto"/>
        </w:rPr>
        <w:t>We are exposed to interest rate risk associated with fluctuations in interest rates on our floating-rate debt under our Senior Facilities, which includes our $375 million Revolving Credit Facility and $2,289 million outstanding under the Term Loan Facility. As of September 30, 2021, there were no outstanding borrowings under the Revolving Credit Facility and therefore our only variable-rate debt outstanding was the $2,289 million outstanding under the Term Loan Facility. As of September 30, 2021, assuming the Revolving Credit Facility was fully drawn, each 0.125% change in assumed blended interest rates would result in a $3 million change in annual interest expense on indebtedness under the Senior Facilities.</w:t>
      </w:r>
    </w:p>
    <w:p>
      <w:pPr>
        <w:spacing w:after="0" w:line="206" w:lineRule="exact"/>
        <w:rPr>
          <w:sz w:val="20"/>
          <w:szCs w:val="20"/>
          <w:color w:val="auto"/>
        </w:rPr>
      </w:pPr>
    </w:p>
    <w:p>
      <w:pPr>
        <w:ind w:right="60" w:firstLine="470"/>
        <w:spacing w:after="0" w:line="267" w:lineRule="auto"/>
        <w:rPr>
          <w:sz w:val="20"/>
          <w:szCs w:val="20"/>
          <w:color w:val="auto"/>
        </w:rPr>
      </w:pPr>
      <w:r>
        <w:rPr>
          <w:rFonts w:ascii="Arial" w:cs="Arial" w:eastAsia="Arial" w:hAnsi="Arial"/>
          <w:sz w:val="17"/>
          <w:szCs w:val="17"/>
          <w:color w:val="auto"/>
        </w:rPr>
        <w:t>Our Term Loan Facility bears interest at an annual rate equal to an applicable margin plus three-month LIBOR, subject to a 0.75% floor. We have entered into interest rate swap agreements indexed to three-month LIBOR in order to manage our risk from fluctuations in three-month LIBOR above the 0.75% floor. The fixed rates for each swap agreement are presented in the table below. As of September 30, 2021, the interest rate on the Term Loan Facility was 3.50%, equal to an applicable margin of 2.75% plus the 0.75% three-month LIBOR floor.</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key terms of the swaps outstanding as of September 30, 2021 are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Transaction Date</w:t>
            </w:r>
          </w:p>
        </w:tc>
        <w:tc>
          <w:tcPr>
            <w:tcW w:w="100" w:type="dxa"/>
            <w:vAlign w:val="bottom"/>
            <w:vMerge w:val="restart"/>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Effective Date</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102"/>
              <w:spacing w:after="0"/>
              <w:rPr>
                <w:sz w:val="20"/>
                <w:szCs w:val="20"/>
                <w:color w:val="auto"/>
              </w:rPr>
            </w:pPr>
            <w:r>
              <w:rPr>
                <w:rFonts w:ascii="Arial" w:cs="Arial" w:eastAsia="Arial" w:hAnsi="Arial"/>
                <w:sz w:val="16"/>
                <w:szCs w:val="16"/>
                <w:b w:val="1"/>
                <w:bCs w:val="1"/>
                <w:color w:val="auto"/>
                <w:w w:val="90"/>
              </w:rPr>
              <w:t>Notional Amount (in</w:t>
            </w:r>
          </w:p>
        </w:tc>
        <w:tc>
          <w:tcPr>
            <w:tcW w:w="100" w:type="dxa"/>
            <w:vAlign w:val="bottom"/>
          </w:tcPr>
          <w:p>
            <w:pPr>
              <w:spacing w:after="0"/>
              <w:rPr>
                <w:sz w:val="16"/>
                <w:szCs w:val="16"/>
                <w:color w:val="auto"/>
              </w:rPr>
            </w:pPr>
          </w:p>
        </w:tc>
        <w:tc>
          <w:tcPr>
            <w:tcW w:w="1820" w:type="dxa"/>
            <w:vAlign w:val="bottom"/>
            <w:gridSpan w:val="2"/>
          </w:tcPr>
          <w:p>
            <w:pPr>
              <w:ind w:left="320"/>
              <w:spacing w:after="0"/>
              <w:rPr>
                <w:sz w:val="20"/>
                <w:szCs w:val="20"/>
                <w:color w:val="auto"/>
              </w:rPr>
            </w:pPr>
            <w:r>
              <w:rPr>
                <w:rFonts w:ascii="Arial" w:cs="Arial" w:eastAsia="Arial" w:hAnsi="Arial"/>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 Date</w:t>
            </w:r>
          </w:p>
        </w:tc>
        <w:tc>
          <w:tcPr>
            <w:tcW w:w="0" w:type="dxa"/>
            <w:vAlign w:val="bottom"/>
          </w:tcPr>
          <w:p>
            <w:pPr>
              <w:spacing w:after="0"/>
              <w:rPr>
                <w:sz w:val="1"/>
                <w:szCs w:val="1"/>
                <w:color w:val="auto"/>
              </w:rPr>
            </w:pPr>
          </w:p>
        </w:tc>
      </w:tr>
      <w:tr>
        <w:trPr>
          <w:trHeight w:val="206"/>
        </w:trPr>
        <w:tc>
          <w:tcPr>
            <w:tcW w:w="2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(Received)</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December 2016</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February 3, 2017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450.0</w:t>
            </w:r>
          </w:p>
        </w:tc>
        <w:tc>
          <w:tcPr>
            <w:tcW w:w="1820" w:type="dxa"/>
            <w:vAlign w:val="bottom"/>
            <w:gridSpan w:val="2"/>
            <w:shd w:val="clear" w:color="auto" w:fill="CCEEFF"/>
          </w:tcPr>
          <w:p>
            <w:pPr>
              <w:jc w:val="right"/>
              <w:ind w:right="50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5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December 2016</w:t>
            </w:r>
          </w:p>
        </w:tc>
        <w:tc>
          <w:tcPr>
            <w:tcW w:w="25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February 3, 2017</w:t>
            </w:r>
          </w:p>
        </w:tc>
        <w:tc>
          <w:tcPr>
            <w:tcW w:w="14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450.0</w:t>
            </w:r>
          </w:p>
        </w:tc>
        <w:tc>
          <w:tcPr>
            <w:tcW w:w="1820" w:type="dxa"/>
            <w:vAlign w:val="bottom"/>
            <w:gridSpan w:val="2"/>
          </w:tcPr>
          <w:p>
            <w:pPr>
              <w:jc w:val="right"/>
              <w:ind w:right="502"/>
              <w:spacing w:after="0"/>
              <w:rPr>
                <w:sz w:val="20"/>
                <w:szCs w:val="20"/>
                <w:color w:val="auto"/>
              </w:rPr>
            </w:pPr>
            <w:r>
              <w:rPr>
                <w:rFonts w:ascii="Arial" w:cs="Arial" w:eastAsia="Arial" w:hAnsi="Arial"/>
                <w:sz w:val="16"/>
                <w:szCs w:val="16"/>
                <w:color w:val="auto"/>
              </w:rPr>
              <w:t>1.9040%</w:t>
            </w:r>
          </w:p>
        </w:tc>
        <w:tc>
          <w:tcPr>
            <w:tcW w:w="10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February 2021</w:t>
            </w:r>
          </w:p>
        </w:tc>
        <w:tc>
          <w:tcPr>
            <w:tcW w:w="2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February 3, 2021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82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(1.9040)%</w:t>
            </w:r>
          </w:p>
        </w:tc>
        <w:tc>
          <w:tcPr>
            <w:tcW w:w="10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3, 2022</w:t>
            </w:r>
          </w:p>
        </w:tc>
        <w:tc>
          <w:tcPr>
            <w:tcW w:w="0" w:type="dxa"/>
            <w:vAlign w:val="bottom"/>
          </w:tcPr>
          <w:p>
            <w:pPr>
              <w:spacing w:after="0"/>
              <w:rPr>
                <w:sz w:val="1"/>
                <w:szCs w:val="1"/>
                <w:color w:val="auto"/>
              </w:rPr>
            </w:pPr>
          </w:p>
        </w:tc>
      </w:tr>
      <w:tr>
        <w:trPr>
          <w:trHeight w:val="206"/>
        </w:trPr>
        <w:tc>
          <w:tcPr>
            <w:tcW w:w="2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8"/>
              </w:rPr>
              <w:t>February 2021</w:t>
            </w:r>
          </w:p>
        </w:tc>
        <w:tc>
          <w:tcPr>
            <w:tcW w:w="2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8"/>
              </w:rPr>
              <w:t>February 9, 2021</w:t>
            </w: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1,350.0</w:t>
            </w:r>
          </w:p>
        </w:tc>
        <w:tc>
          <w:tcPr>
            <w:tcW w:w="1820" w:type="dxa"/>
            <w:vAlign w:val="bottom"/>
            <w:tcBorders>
              <w:bottom w:val="single" w:sz="8" w:color="CCEEFF"/>
            </w:tcBorders>
            <w:gridSpan w:val="2"/>
          </w:tcPr>
          <w:p>
            <w:pPr>
              <w:jc w:val="right"/>
              <w:ind w:right="502"/>
              <w:spacing w:after="0"/>
              <w:rPr>
                <w:sz w:val="20"/>
                <w:szCs w:val="20"/>
                <w:color w:val="auto"/>
              </w:rPr>
            </w:pPr>
            <w:r>
              <w:rPr>
                <w:rFonts w:ascii="Arial" w:cs="Arial" w:eastAsia="Arial" w:hAnsi="Arial"/>
                <w:sz w:val="16"/>
                <w:szCs w:val="16"/>
                <w:color w:val="auto"/>
              </w:rPr>
              <w:t>2.3820%</w:t>
            </w:r>
          </w:p>
        </w:tc>
        <w:tc>
          <w:tcPr>
            <w:tcW w:w="10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8"/>
              </w:rPr>
              <w:t>February 9, 2026</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Item 1 of Part I, Financial Statements - Note 11, "Derivatives," for more information on interest rate swaps.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249" w:lineRule="exact"/>
        <w:rPr>
          <w:sz w:val="20"/>
          <w:szCs w:val="20"/>
          <w:color w:val="auto"/>
        </w:rPr>
      </w:pPr>
    </w:p>
    <w:p>
      <w:pPr>
        <w:ind w:right="40" w:firstLine="470"/>
        <w:spacing w:after="0" w:line="261" w:lineRule="auto"/>
        <w:rPr>
          <w:sz w:val="20"/>
          <w:szCs w:val="20"/>
          <w:color w:val="auto"/>
        </w:rPr>
      </w:pPr>
      <w:r>
        <w:rPr>
          <w:rFonts w:ascii="Arial" w:cs="Arial" w:eastAsia="Arial" w:hAnsi="Arial"/>
          <w:sz w:val="17"/>
          <w:szCs w:val="17"/>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Arial" w:cs="Arial" w:eastAsia="Arial" w:hAnsi="Arial"/>
          <w:sz w:val="17"/>
          <w:szCs w:val="17"/>
          <w:i w:val="1"/>
          <w:iCs w:val="1"/>
          <w:color w:val="auto"/>
        </w:rPr>
        <w:t>Constant Currency Revenue</w:t>
      </w:r>
      <w:r>
        <w:rPr>
          <w:rFonts w:ascii="Arial" w:cs="Arial" w:eastAsia="Arial" w:hAnsi="Arial"/>
          <w:sz w:val="17"/>
          <w:szCs w:val="17"/>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nine months ended September 30, 2021, we recognized foreign currency transaction losses of $2 million within “Other income (expense), net” in our Consolidated Statements of Comprehensive Loss. As we grow our international operations, our exposure to foreign currency translation and transaction risk could become more significant.</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in the past and may in the future enter into foreign currency hedging instruments to limit our exposure to foreign currency risk.</w:t>
      </w:r>
    </w:p>
    <w:p>
      <w:pPr>
        <w:spacing w:after="0" w:line="249" w:lineRule="exact"/>
        <w:rPr>
          <w:sz w:val="20"/>
          <w:szCs w:val="20"/>
          <w:color w:val="auto"/>
        </w:rPr>
      </w:pPr>
    </w:p>
    <w:p>
      <w:pPr>
        <w:ind w:right="40" w:firstLine="470"/>
        <w:spacing w:after="0" w:line="288" w:lineRule="auto"/>
        <w:rPr>
          <w:sz w:val="20"/>
          <w:szCs w:val="20"/>
          <w:color w:val="auto"/>
        </w:rPr>
      </w:pPr>
      <w:r>
        <w:rPr>
          <w:rFonts w:ascii="Arial" w:cs="Arial" w:eastAsia="Arial" w:hAnsi="Arial"/>
          <w:sz w:val="16"/>
          <w:szCs w:val="16"/>
          <w:color w:val="auto"/>
        </w:rPr>
        <w:t>In November 2019, we entered into two foreign currency net-zero cost collar contracts with an aggregate notional amount of £100 million and a maturity date of November 30, 2020. Under the terms of the contracts, the British pound sterling to U.S. dollar exchange rate floats between 1.2375 and 1.3475. On March 26, 2020, we settled one of these contracts, with an aggregate notional amount of £50 million, and we received a final net payment of $1.9 million and on November 19, 2020, we settled the remaining contract, with an aggregate notional amount of £50 million, and we made a final net payment of $0.2 million.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right="320" w:firstLine="470"/>
        <w:spacing w:after="0" w:line="267" w:lineRule="auto"/>
        <w:rPr>
          <w:sz w:val="20"/>
          <w:szCs w:val="20"/>
          <w:color w:val="auto"/>
        </w:rPr>
      </w:pPr>
      <w:r>
        <w:rPr>
          <w:rFonts w:ascii="Arial" w:cs="Arial" w:eastAsia="Arial" w:hAnsi="Arial"/>
          <w:sz w:val="17"/>
          <w:szCs w:val="17"/>
          <w:color w:val="auto"/>
        </w:rPr>
        <w:t>During 2020, we entered into a series of foreign currency contracts to manage our exposure to movements in the British pound sterling, Euro, and Mexican peso. These contracts had three-month terms and settlement dates throughout the year. The June 30, 2020 and September 30, 2020 settlement dates resulted in us making final net payments of $1.7 million and $1.6 million, respectively. As of December 31, 2020, there was no notional amount outstanding related to these contracts.</w:t>
      </w:r>
    </w:p>
    <w:p>
      <w:pPr>
        <w:spacing w:after="0" w:line="202" w:lineRule="exact"/>
        <w:rPr>
          <w:sz w:val="20"/>
          <w:szCs w:val="20"/>
          <w:color w:val="auto"/>
        </w:rPr>
      </w:pPr>
    </w:p>
    <w:p>
      <w:pPr>
        <w:ind w:right="20" w:firstLine="470"/>
        <w:spacing w:after="0" w:line="288" w:lineRule="auto"/>
        <w:rPr>
          <w:sz w:val="20"/>
          <w:szCs w:val="20"/>
          <w:color w:val="auto"/>
        </w:rPr>
      </w:pPr>
      <w:r>
        <w:rPr>
          <w:rFonts w:ascii="Arial" w:cs="Arial" w:eastAsia="Arial" w:hAnsi="Arial"/>
          <w:sz w:val="17"/>
          <w:szCs w:val="17"/>
          <w:color w:val="auto"/>
        </w:rPr>
        <w:t>During the fourth quarter of 2020, we entered into two foreign currency forward contracts. Under the terms of these contracts, on November 30, 2021, we will sell a total of £80 million at an average rate of 1.3388 British pound sterling to U.S. dollar and receive $107.1 million.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Item 1 of Part I, Financial Statements - Note 11, "Derivatives," for more information on foreign currency hedging contracts.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Power Prices</w:t>
      </w:r>
    </w:p>
    <w:p>
      <w:pPr>
        <w:spacing w:after="0" w:line="236" w:lineRule="exact"/>
        <w:rPr>
          <w:sz w:val="20"/>
          <w:szCs w:val="20"/>
          <w:color w:val="auto"/>
        </w:rPr>
      </w:pPr>
    </w:p>
    <w:p>
      <w:pPr>
        <w:ind w:right="40" w:firstLine="470"/>
        <w:spacing w:after="0" w:line="313" w:lineRule="auto"/>
        <w:rPr>
          <w:sz w:val="20"/>
          <w:szCs w:val="20"/>
          <w:color w:val="auto"/>
        </w:rPr>
      </w:pPr>
      <w:r>
        <w:rPr>
          <w:rFonts w:ascii="Arial" w:cs="Arial" w:eastAsia="Arial" w:hAnsi="Arial"/>
          <w:sz w:val="15"/>
          <w:szCs w:val="15"/>
          <w:color w:val="auto"/>
        </w:rPr>
        <w:t>We are a large consumer of power. In the nine months ended September 30, 2021, we expensed approximately $33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fixed price power contracts for data centers in the Dallas-Fort Worth, San Jose, Somerset, New Jersey and London areas that allow us to procure power either on a fixed price or on a variable price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4 – CONTROLS AND PROCEDURES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49" w:lineRule="exact"/>
        <w:rPr>
          <w:sz w:val="20"/>
          <w:szCs w:val="20"/>
          <w:color w:val="auto"/>
        </w:rPr>
      </w:pPr>
    </w:p>
    <w:p>
      <w:pPr>
        <w:ind w:right="40" w:firstLine="470"/>
        <w:spacing w:after="0" w:line="294" w:lineRule="auto"/>
        <w:rPr>
          <w:sz w:val="20"/>
          <w:szCs w:val="20"/>
          <w:color w:val="auto"/>
        </w:rPr>
      </w:pPr>
      <w:r>
        <w:rPr>
          <w:rFonts w:ascii="Arial" w:cs="Arial" w:eastAsia="Arial" w:hAnsi="Arial"/>
          <w:sz w:val="15"/>
          <w:szCs w:val="15"/>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w:t>
      </w:r>
    </w:p>
    <w:p>
      <w:pPr>
        <w:spacing w:after="0" w:line="1" w:lineRule="exact"/>
        <w:rPr>
          <w:sz w:val="20"/>
          <w:szCs w:val="20"/>
          <w:color w:val="auto"/>
        </w:rPr>
      </w:pPr>
    </w:p>
    <w:p>
      <w:pPr>
        <w:ind w:right="120" w:firstLine="5"/>
        <w:spacing w:after="0" w:line="305" w:lineRule="auto"/>
        <w:tabs>
          <w:tab w:leader="none" w:pos="2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w:t>
      </w:r>
    </w:p>
    <w:p>
      <w:pPr>
        <w:spacing w:after="0" w:line="249" w:lineRule="exact"/>
        <w:rPr>
          <w:sz w:val="20"/>
          <w:szCs w:val="20"/>
          <w:color w:val="auto"/>
        </w:rPr>
      </w:pPr>
    </w:p>
    <w:p>
      <w:pPr>
        <w:ind w:firstLine="470"/>
        <w:spacing w:after="0" w:line="321" w:lineRule="auto"/>
        <w:rPr>
          <w:sz w:val="20"/>
          <w:szCs w:val="20"/>
          <w:color w:val="auto"/>
        </w:rPr>
      </w:pPr>
      <w:r>
        <w:rPr>
          <w:rFonts w:ascii="Arial" w:cs="Arial" w:eastAsia="Arial" w:hAnsi="Arial"/>
          <w:sz w:val="16"/>
          <w:szCs w:val="16"/>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of Internal Controls</w:t>
      </w:r>
    </w:p>
    <w:p>
      <w:pPr>
        <w:spacing w:after="0" w:line="249" w:lineRule="exact"/>
        <w:rPr>
          <w:sz w:val="20"/>
          <w:szCs w:val="20"/>
          <w:color w:val="auto"/>
        </w:rPr>
      </w:pPr>
    </w:p>
    <w:p>
      <w:pPr>
        <w:ind w:firstLine="470"/>
        <w:spacing w:after="0" w:line="26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 – OTHER INFORMATION</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1 – LEGAL PROCEEDINGS</w:t>
      </w:r>
    </w:p>
    <w:p>
      <w:pPr>
        <w:spacing w:after="0" w:line="255" w:lineRule="exact"/>
        <w:rPr>
          <w:sz w:val="20"/>
          <w:szCs w:val="20"/>
          <w:color w:val="auto"/>
        </w:rPr>
      </w:pPr>
    </w:p>
    <w:p>
      <w:pPr>
        <w:ind w:firstLine="470"/>
        <w:spacing w:after="0" w:line="272" w:lineRule="auto"/>
        <w:rPr>
          <w:sz w:val="20"/>
          <w:szCs w:val="20"/>
          <w:color w:val="auto"/>
        </w:rPr>
      </w:pPr>
      <w:r>
        <w:rPr>
          <w:rFonts w:ascii="Arial" w:cs="Arial" w:eastAsia="Arial" w:hAnsi="Arial"/>
          <w:sz w:val="17"/>
          <w:szCs w:val="17"/>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198" w:lineRule="exact"/>
        <w:rPr>
          <w:sz w:val="20"/>
          <w:szCs w:val="20"/>
          <w:color w:val="auto"/>
        </w:rPr>
      </w:pPr>
    </w:p>
    <w:p>
      <w:pPr>
        <w:jc w:val="both"/>
        <w:ind w:right="120" w:firstLine="470"/>
        <w:spacing w:after="0" w:line="272" w:lineRule="auto"/>
        <w:rPr>
          <w:sz w:val="20"/>
          <w:szCs w:val="20"/>
          <w:color w:val="auto"/>
        </w:rPr>
      </w:pPr>
      <w:r>
        <w:rPr>
          <w:rFonts w:ascii="Arial" w:cs="Arial" w:eastAsia="Arial" w:hAnsi="Arial"/>
          <w:sz w:val="17"/>
          <w:szCs w:val="17"/>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198"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1A – RISK FACTORS</w:t>
      </w:r>
    </w:p>
    <w:p>
      <w:pPr>
        <w:spacing w:after="0" w:line="255" w:lineRule="exact"/>
        <w:rPr>
          <w:sz w:val="20"/>
          <w:szCs w:val="20"/>
          <w:color w:val="auto"/>
        </w:rPr>
      </w:pPr>
    </w:p>
    <w:p>
      <w:pPr>
        <w:ind w:right="20" w:firstLine="470"/>
        <w:spacing w:after="0" w:line="284" w:lineRule="auto"/>
        <w:rPr>
          <w:sz w:val="20"/>
          <w:szCs w:val="20"/>
          <w:color w:val="auto"/>
        </w:rPr>
      </w:pPr>
      <w:r>
        <w:rPr>
          <w:rFonts w:ascii="Arial" w:cs="Arial" w:eastAsia="Arial" w:hAnsi="Arial"/>
          <w:sz w:val="16"/>
          <w:szCs w:val="16"/>
          <w:color w:val="auto"/>
        </w:rPr>
        <w:t>We have disclosed under the heading “Risk Factors” in our Annual Report on Form 10-K the risk factors which materially affect our business, financial condition or results of operations. There have been no material changes from the risk factors previously disclosed. You should carefully consider the risk factors set forth in our Annual Report on Form 10-K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6" w:lineRule="exact"/>
        <w:rPr>
          <w:sz w:val="20"/>
          <w:szCs w:val="20"/>
          <w:color w:val="auto"/>
        </w:rPr>
      </w:pPr>
    </w:p>
    <w:p>
      <w:pPr>
        <w:ind w:right="2080" w:firstLine="2142"/>
        <w:spacing w:after="0" w:line="549" w:lineRule="auto"/>
        <w:rPr>
          <w:sz w:val="20"/>
          <w:szCs w:val="20"/>
          <w:color w:val="auto"/>
        </w:rPr>
      </w:pPr>
      <w:r>
        <w:rPr>
          <w:rFonts w:ascii="Arial" w:cs="Arial" w:eastAsia="Arial" w:hAnsi="Arial"/>
          <w:sz w:val="17"/>
          <w:szCs w:val="17"/>
          <w:b w:val="1"/>
          <w:bCs w:val="1"/>
          <w:color w:val="auto"/>
        </w:rPr>
        <w:t>ITEM 2 – UNREGISTERED SALES OF EQUITY SECURITIES AND USE OF PROCEEDS Unregistered Sales of Equity Securities</w:t>
      </w:r>
    </w:p>
    <w:p>
      <w:pPr>
        <w:ind w:left="48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3 – DEFAULTS UPON SENIOR SECURITIES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4 – MINE SAFETY DISCLOSURES</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ITEM 5 – OTHER INFORMATION</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302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124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3980" w:type="dxa"/>
            <w:vAlign w:val="bottom"/>
          </w:tcPr>
          <w:p>
            <w:pPr>
              <w:ind w:left="1800"/>
              <w:spacing w:after="0"/>
              <w:rPr>
                <w:sz w:val="20"/>
                <w:szCs w:val="20"/>
                <w:color w:val="auto"/>
              </w:rPr>
            </w:pPr>
            <w:r>
              <w:rPr>
                <w:rFonts w:ascii="Arial" w:cs="Arial" w:eastAsia="Arial" w:hAnsi="Arial"/>
                <w:sz w:val="17"/>
                <w:szCs w:val="17"/>
                <w:b w:val="1"/>
                <w:bCs w:val="1"/>
                <w:color w:val="auto"/>
              </w:rPr>
              <w:t>ITEM 6 – EXHIBITS</w:t>
            </w:r>
          </w:p>
        </w:tc>
        <w:tc>
          <w:tcPr>
            <w:tcW w:w="0" w:type="dxa"/>
            <w:vAlign w:val="bottom"/>
          </w:tcPr>
          <w:p>
            <w:pPr>
              <w:spacing w:after="0"/>
              <w:rPr>
                <w:sz w:val="1"/>
                <w:szCs w:val="1"/>
                <w:color w:val="auto"/>
              </w:rPr>
            </w:pPr>
          </w:p>
        </w:tc>
      </w:tr>
      <w:tr>
        <w:trPr>
          <w:trHeight w:val="432"/>
        </w:trPr>
        <w:tc>
          <w:tcPr>
            <w:tcW w:w="3020" w:type="dxa"/>
            <w:vAlign w:val="bottom"/>
            <w:gridSpan w:val="2"/>
          </w:tcPr>
          <w:p>
            <w:pPr>
              <w:jc w:val="center"/>
              <w:ind w:right="1840"/>
              <w:spacing w:after="0"/>
              <w:rPr>
                <w:sz w:val="20"/>
                <w:szCs w:val="20"/>
                <w:color w:val="auto"/>
              </w:rPr>
            </w:pPr>
            <w:r>
              <w:rPr>
                <w:rFonts w:ascii="Arial" w:cs="Arial" w:eastAsia="Arial" w:hAnsi="Arial"/>
                <w:sz w:val="17"/>
                <w:szCs w:val="17"/>
                <w:b w:val="1"/>
                <w:bCs w:val="1"/>
                <w:color w:val="auto"/>
                <w:w w:val="95"/>
              </w:rPr>
              <w:t>Exhibit</w:t>
            </w:r>
          </w:p>
        </w:tc>
        <w:tc>
          <w:tcPr>
            <w:tcW w:w="3980" w:type="dxa"/>
            <w:vAlign w:val="bottom"/>
            <w:vMerge w:val="restart"/>
          </w:tcPr>
          <w:p>
            <w:pPr>
              <w:ind w:left="2520"/>
              <w:spacing w:after="0"/>
              <w:rPr>
                <w:sz w:val="20"/>
                <w:szCs w:val="20"/>
                <w:color w:val="auto"/>
              </w:rPr>
            </w:pPr>
            <w:r>
              <w:rPr>
                <w:rFonts w:ascii="Arial" w:cs="Arial" w:eastAsia="Arial" w:hAnsi="Arial"/>
                <w:sz w:val="17"/>
                <w:szCs w:val="17"/>
                <w:b w:val="1"/>
                <w:bCs w:val="1"/>
                <w:color w:val="auto"/>
                <w:w w:val="92"/>
              </w:rPr>
              <w:t>Exhibit Description</w:t>
            </w:r>
          </w:p>
        </w:tc>
        <w:tc>
          <w:tcPr>
            <w:tcW w:w="0" w:type="dxa"/>
            <w:vAlign w:val="bottom"/>
          </w:tcPr>
          <w:p>
            <w:pPr>
              <w:spacing w:after="0"/>
              <w:rPr>
                <w:sz w:val="1"/>
                <w:szCs w:val="1"/>
                <w:color w:val="auto"/>
              </w:rPr>
            </w:pPr>
          </w:p>
        </w:tc>
      </w:tr>
      <w:tr>
        <w:trPr>
          <w:trHeight w:val="227"/>
        </w:trPr>
        <w:tc>
          <w:tcPr>
            <w:tcW w:w="3020" w:type="dxa"/>
            <w:vAlign w:val="bottom"/>
            <w:gridSpan w:val="2"/>
          </w:tcPr>
          <w:p>
            <w:pPr>
              <w:jc w:val="center"/>
              <w:ind w:right="1840"/>
              <w:spacing w:after="0"/>
              <w:rPr>
                <w:sz w:val="20"/>
                <w:szCs w:val="20"/>
                <w:color w:val="auto"/>
              </w:rPr>
            </w:pPr>
            <w:r>
              <w:rPr>
                <w:rFonts w:ascii="Arial" w:cs="Arial" w:eastAsia="Arial" w:hAnsi="Arial"/>
                <w:sz w:val="17"/>
                <w:szCs w:val="17"/>
                <w:b w:val="1"/>
                <w:bCs w:val="1"/>
                <w:color w:val="auto"/>
                <w:w w:val="96"/>
              </w:rPr>
              <w:t>Number</w:t>
            </w:r>
          </w:p>
        </w:tc>
        <w:tc>
          <w:tcPr>
            <w:tcW w:w="3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6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95"/>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1"/>
              </w:rPr>
              <w:t>10.1</w:t>
            </w:r>
            <w:r>
              <w:rPr>
                <w:rFonts w:ascii="Arial" w:cs="Arial" w:eastAsia="Arial" w:hAnsi="Arial"/>
                <w:sz w:val="15"/>
                <w:szCs w:val="15"/>
                <w:color w:val="auto"/>
                <w:w w:val="91"/>
              </w:rPr>
              <w:t>†</w:t>
            </w:r>
          </w:p>
        </w:tc>
        <w:tc>
          <w:tcPr>
            <w:tcW w:w="9140" w:type="dxa"/>
            <w:vAlign w:val="bottom"/>
            <w:tcBorders>
              <w:bottom w:val="single" w:sz="8" w:color="0000FF"/>
            </w:tcBorders>
            <w:gridSpan w:val="4"/>
          </w:tcPr>
          <w:p>
            <w:pPr>
              <w:spacing w:after="0"/>
              <w:rPr>
                <w:rFonts w:ascii="Arial" w:cs="Arial" w:eastAsia="Arial" w:hAnsi="Arial"/>
                <w:sz w:val="17"/>
                <w:szCs w:val="17"/>
                <w:color w:val="0000FF"/>
                <w:w w:val="93"/>
              </w:rPr>
            </w:pPr>
            <w:hyperlink r:id="rId64">
              <w:r>
                <w:rPr>
                  <w:rFonts w:ascii="Arial" w:cs="Arial" w:eastAsia="Arial" w:hAnsi="Arial"/>
                  <w:sz w:val="17"/>
                  <w:szCs w:val="17"/>
                  <w:color w:val="0000FF"/>
                  <w:w w:val="93"/>
                </w:rPr>
                <w:t>Form of Restricted Stock Unit Award Agreement between Rackspace Technology, Inc. and the Company's Chief Executive Officer</w:t>
              </w:r>
            </w:hyperlink>
          </w:p>
        </w:tc>
        <w:tc>
          <w:tcPr>
            <w:tcW w:w="660" w:type="dxa"/>
            <w:vAlign w:val="bottom"/>
            <w:gridSpan w:val="2"/>
          </w:tcPr>
          <w:p>
            <w:pPr>
              <w:spacing w:after="0"/>
              <w:rPr>
                <w:sz w:val="16"/>
                <w:szCs w:val="16"/>
                <w:color w:val="auto"/>
              </w:rPr>
            </w:pPr>
          </w:p>
        </w:tc>
      </w:tr>
      <w:tr>
        <w:trPr>
          <w:trHeight w:val="176"/>
        </w:trPr>
        <w:tc>
          <w:tcPr>
            <w:tcW w:w="1080" w:type="dxa"/>
            <w:vAlign w:val="bottom"/>
          </w:tcPr>
          <w:p>
            <w:pPr>
              <w:spacing w:after="0"/>
              <w:rPr>
                <w:sz w:val="15"/>
                <w:szCs w:val="15"/>
                <w:color w:val="auto"/>
              </w:rPr>
            </w:pPr>
          </w:p>
        </w:tc>
        <w:tc>
          <w:tcPr>
            <w:tcW w:w="9800" w:type="dxa"/>
            <w:vAlign w:val="bottom"/>
            <w:gridSpan w:val="6"/>
          </w:tcPr>
          <w:p>
            <w:pPr>
              <w:spacing w:after="0" w:line="176" w:lineRule="exact"/>
              <w:rPr>
                <w:rFonts w:ascii="Arial" w:cs="Arial" w:eastAsia="Arial" w:hAnsi="Arial"/>
                <w:sz w:val="17"/>
                <w:szCs w:val="17"/>
                <w:color w:val="0000FF"/>
                <w:w w:val="98"/>
              </w:rPr>
            </w:pPr>
            <w:hyperlink r:id="rId64">
              <w:r>
                <w:rPr>
                  <w:rFonts w:ascii="Arial" w:cs="Arial" w:eastAsia="Arial" w:hAnsi="Arial"/>
                  <w:sz w:val="17"/>
                  <w:szCs w:val="17"/>
                  <w:color w:val="0000FF"/>
                  <w:w w:val="98"/>
                </w:rPr>
                <w:t>(incorporated by reference from Exhibit 10.1 to Rackspace Technology, Inc.’s Current Report on Form 8-K filed on August 25, 2021)</w:t>
              </w:r>
            </w:hyperlink>
          </w:p>
        </w:tc>
      </w:tr>
      <w:tr>
        <w:trPr>
          <w:trHeight w:val="20"/>
        </w:trPr>
        <w:tc>
          <w:tcPr>
            <w:tcW w:w="108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8"/>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1"/>
              </w:rPr>
              <w:t>10.2</w:t>
            </w:r>
            <w:r>
              <w:rPr>
                <w:rFonts w:ascii="Arial" w:cs="Arial" w:eastAsia="Arial" w:hAnsi="Arial"/>
                <w:sz w:val="15"/>
                <w:szCs w:val="15"/>
                <w:color w:val="auto"/>
                <w:w w:val="91"/>
              </w:rPr>
              <w:t>†</w:t>
            </w:r>
          </w:p>
        </w:tc>
        <w:tc>
          <w:tcPr>
            <w:tcW w:w="9800" w:type="dxa"/>
            <w:vAlign w:val="bottom"/>
            <w:tcBorders>
              <w:bottom w:val="single" w:sz="8" w:color="0000FF"/>
            </w:tcBorders>
            <w:gridSpan w:val="6"/>
          </w:tcPr>
          <w:p>
            <w:pPr>
              <w:spacing w:after="0"/>
              <w:rPr>
                <w:rFonts w:ascii="Arial" w:cs="Arial" w:eastAsia="Arial" w:hAnsi="Arial"/>
                <w:sz w:val="17"/>
                <w:szCs w:val="17"/>
                <w:color w:val="0000FF"/>
                <w:w w:val="93"/>
              </w:rPr>
            </w:pPr>
            <w:hyperlink r:id="rId65">
              <w:r>
                <w:rPr>
                  <w:rFonts w:ascii="Arial" w:cs="Arial" w:eastAsia="Arial" w:hAnsi="Arial"/>
                  <w:sz w:val="17"/>
                  <w:szCs w:val="17"/>
                  <w:color w:val="0000FF"/>
                  <w:w w:val="93"/>
                </w:rPr>
                <w:t>Form of Performance Stock Unit Agreement between Rackspace Technology, Inc. and the Company's Chief Executive Officer (incorporated</w:t>
              </w:r>
            </w:hyperlink>
          </w:p>
        </w:tc>
      </w:tr>
      <w:tr>
        <w:trPr>
          <w:trHeight w:val="176"/>
        </w:trPr>
        <w:tc>
          <w:tcPr>
            <w:tcW w:w="1080" w:type="dxa"/>
            <w:vAlign w:val="bottom"/>
          </w:tcPr>
          <w:p>
            <w:pPr>
              <w:spacing w:after="0"/>
              <w:rPr>
                <w:sz w:val="15"/>
                <w:szCs w:val="15"/>
                <w:color w:val="auto"/>
              </w:rPr>
            </w:pPr>
          </w:p>
        </w:tc>
        <w:tc>
          <w:tcPr>
            <w:tcW w:w="9800" w:type="dxa"/>
            <w:vAlign w:val="bottom"/>
            <w:gridSpan w:val="6"/>
          </w:tcPr>
          <w:p>
            <w:pPr>
              <w:spacing w:after="0" w:line="176" w:lineRule="exact"/>
              <w:rPr>
                <w:rFonts w:ascii="Arial" w:cs="Arial" w:eastAsia="Arial" w:hAnsi="Arial"/>
                <w:sz w:val="17"/>
                <w:szCs w:val="17"/>
                <w:color w:val="0000FF"/>
              </w:rPr>
            </w:pPr>
            <w:hyperlink r:id="rId65">
              <w:r>
                <w:rPr>
                  <w:rFonts w:ascii="Arial" w:cs="Arial" w:eastAsia="Arial" w:hAnsi="Arial"/>
                  <w:sz w:val="17"/>
                  <w:szCs w:val="17"/>
                  <w:color w:val="0000FF"/>
                </w:rPr>
                <w:t>by reference from Exhibit 10.2 to Rackspace Technology, Inc.’s Current Report on Form 8-K filed on August 25, 2021)</w:t>
              </w:r>
            </w:hyperlink>
          </w:p>
        </w:tc>
      </w:tr>
      <w:tr>
        <w:trPr>
          <w:trHeight w:val="228"/>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5"/>
              </w:rPr>
              <w:t>31.1*</w:t>
            </w:r>
          </w:p>
        </w:tc>
        <w:tc>
          <w:tcPr>
            <w:tcW w:w="722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4"/>
              </w:rPr>
            </w:pPr>
            <w:hyperlink w:anchor="page56">
              <w:r>
                <w:rPr>
                  <w:rFonts w:ascii="Arial" w:cs="Arial" w:eastAsia="Arial" w:hAnsi="Arial"/>
                  <w:sz w:val="17"/>
                  <w:szCs w:val="17"/>
                  <w:color w:val="0000FF"/>
                  <w:w w:val="94"/>
                </w:rPr>
                <w:t>Certification of the Chief Executive Officer pursuant to Section 302 of the Sarbanes-Oxley Act of 2002</w:t>
              </w:r>
            </w:hyperlink>
          </w:p>
        </w:tc>
        <w:tc>
          <w:tcPr>
            <w:tcW w:w="1100" w:type="dxa"/>
            <w:vAlign w:val="bottom"/>
            <w:tcBorders>
              <w:top w:val="single" w:sz="8" w:color="0000FF"/>
            </w:tcBorders>
          </w:tcPr>
          <w:p>
            <w:pPr>
              <w:spacing w:after="0"/>
              <w:rPr>
                <w:sz w:val="19"/>
                <w:szCs w:val="19"/>
                <w:color w:val="auto"/>
              </w:rPr>
            </w:pPr>
          </w:p>
        </w:tc>
        <w:tc>
          <w:tcPr>
            <w:tcW w:w="1480" w:type="dxa"/>
            <w:vAlign w:val="bottom"/>
            <w:gridSpan w:val="3"/>
          </w:tcPr>
          <w:p>
            <w:pPr>
              <w:spacing w:after="0"/>
              <w:rPr>
                <w:sz w:val="19"/>
                <w:szCs w:val="19"/>
                <w:color w:val="auto"/>
              </w:rPr>
            </w:pPr>
          </w:p>
        </w:tc>
      </w:tr>
      <w:tr>
        <w:trPr>
          <w:trHeight w:val="228"/>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5"/>
              </w:rPr>
              <w:t>31.2*</w:t>
            </w:r>
          </w:p>
        </w:tc>
        <w:tc>
          <w:tcPr>
            <w:tcW w:w="9800" w:type="dxa"/>
            <w:vAlign w:val="bottom"/>
            <w:gridSpan w:val="6"/>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Certification of the Chief Financial Officer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r>
      <w:tr>
        <w:trPr>
          <w:trHeight w:val="228"/>
        </w:trPr>
        <w:tc>
          <w:tcPr>
            <w:tcW w:w="1080" w:type="dxa"/>
            <w:vAlign w:val="bottom"/>
          </w:tcPr>
          <w:p>
            <w:pPr>
              <w:jc w:val="center"/>
              <w:ind w:right="233"/>
              <w:spacing w:after="0"/>
              <w:rPr>
                <w:sz w:val="20"/>
                <w:szCs w:val="20"/>
                <w:color w:val="auto"/>
              </w:rPr>
            </w:pPr>
            <w:r>
              <w:rPr>
                <w:rFonts w:ascii="Arial" w:cs="Arial" w:eastAsia="Arial" w:hAnsi="Arial"/>
                <w:sz w:val="17"/>
                <w:szCs w:val="17"/>
                <w:color w:val="auto"/>
              </w:rPr>
              <w:t>32.1**</w:t>
            </w:r>
          </w:p>
        </w:tc>
        <w:tc>
          <w:tcPr>
            <w:tcW w:w="7220" w:type="dxa"/>
            <w:vAlign w:val="bottom"/>
            <w:tcBorders>
              <w:bottom w:val="single" w:sz="8" w:color="0000FF"/>
            </w:tcBorders>
            <w:gridSpan w:val="2"/>
          </w:tcPr>
          <w:p>
            <w:pPr>
              <w:spacing w:after="0"/>
              <w:rPr>
                <w:rFonts w:ascii="Arial" w:cs="Arial" w:eastAsia="Arial" w:hAnsi="Arial"/>
                <w:sz w:val="17"/>
                <w:szCs w:val="17"/>
                <w:color w:val="0000FF"/>
                <w:w w:val="94"/>
              </w:rPr>
            </w:pPr>
            <w:hyperlink w:anchor="page58">
              <w:r>
                <w:rPr>
                  <w:rFonts w:ascii="Arial" w:cs="Arial" w:eastAsia="Arial" w:hAnsi="Arial"/>
                  <w:sz w:val="17"/>
                  <w:szCs w:val="17"/>
                  <w:color w:val="0000FF"/>
                  <w:w w:val="94"/>
                </w:rPr>
                <w:t>Certification of the Chief Executive Officer pursuant to Section 906 of the Sarbanes-Oxley Act of 2002</w:t>
              </w:r>
            </w:hyperlink>
          </w:p>
        </w:tc>
        <w:tc>
          <w:tcPr>
            <w:tcW w:w="2580" w:type="dxa"/>
            <w:vAlign w:val="bottom"/>
            <w:gridSpan w:val="4"/>
          </w:tcPr>
          <w:p>
            <w:pPr>
              <w:spacing w:after="0"/>
              <w:rPr>
                <w:sz w:val="19"/>
                <w:szCs w:val="19"/>
                <w:color w:val="auto"/>
              </w:rPr>
            </w:pPr>
          </w:p>
        </w:tc>
      </w:tr>
      <w:tr>
        <w:trPr>
          <w:trHeight w:val="228"/>
        </w:trPr>
        <w:tc>
          <w:tcPr>
            <w:tcW w:w="1080" w:type="dxa"/>
            <w:vAlign w:val="bottom"/>
          </w:tcPr>
          <w:p>
            <w:pPr>
              <w:jc w:val="center"/>
              <w:ind w:right="233"/>
              <w:spacing w:after="0"/>
              <w:rPr>
                <w:sz w:val="20"/>
                <w:szCs w:val="20"/>
                <w:color w:val="auto"/>
              </w:rPr>
            </w:pPr>
            <w:r>
              <w:rPr>
                <w:rFonts w:ascii="Arial" w:cs="Arial" w:eastAsia="Arial" w:hAnsi="Arial"/>
                <w:sz w:val="17"/>
                <w:szCs w:val="17"/>
                <w:color w:val="auto"/>
              </w:rPr>
              <w:t>32.2**</w:t>
            </w:r>
          </w:p>
        </w:tc>
        <w:tc>
          <w:tcPr>
            <w:tcW w:w="9800" w:type="dxa"/>
            <w:vAlign w:val="bottom"/>
            <w:gridSpan w:val="6"/>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Certification of the Chief Financial Officer pursuant to 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7160" w:type="dxa"/>
            <w:vAlign w:val="bottom"/>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r>
      <w:tr>
        <w:trPr>
          <w:trHeight w:val="242"/>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6"/>
              </w:rPr>
              <w:t>101.INS*</w:t>
            </w:r>
          </w:p>
        </w:tc>
        <w:tc>
          <w:tcPr>
            <w:tcW w:w="9800" w:type="dxa"/>
            <w:vAlign w:val="bottom"/>
            <w:gridSpan w:val="6"/>
          </w:tcPr>
          <w:p>
            <w:pPr>
              <w:spacing w:after="0"/>
              <w:rPr>
                <w:sz w:val="20"/>
                <w:szCs w:val="20"/>
                <w:color w:val="auto"/>
              </w:rPr>
            </w:pPr>
            <w:r>
              <w:rPr>
                <w:rFonts w:ascii="Arial" w:cs="Arial" w:eastAsia="Arial" w:hAnsi="Arial"/>
                <w:sz w:val="17"/>
                <w:szCs w:val="17"/>
                <w:color w:val="auto"/>
                <w:w w:val="93"/>
              </w:rPr>
              <w:t>Inline XBRL Instance Document (the instance document does not appear in the Interactive Data File because its XBRL tags are embedded</w:t>
            </w:r>
          </w:p>
        </w:tc>
      </w:tr>
      <w:tr>
        <w:trPr>
          <w:trHeight w:val="221"/>
        </w:trPr>
        <w:tc>
          <w:tcPr>
            <w:tcW w:w="1080" w:type="dxa"/>
            <w:vAlign w:val="bottom"/>
          </w:tcPr>
          <w:p>
            <w:pPr>
              <w:spacing w:after="0"/>
              <w:rPr>
                <w:sz w:val="19"/>
                <w:szCs w:val="19"/>
                <w:color w:val="auto"/>
              </w:rPr>
            </w:pPr>
          </w:p>
        </w:tc>
        <w:tc>
          <w:tcPr>
            <w:tcW w:w="9800" w:type="dxa"/>
            <w:vAlign w:val="bottom"/>
            <w:gridSpan w:val="6"/>
          </w:tcPr>
          <w:p>
            <w:pPr>
              <w:spacing w:after="0"/>
              <w:rPr>
                <w:sz w:val="20"/>
                <w:szCs w:val="20"/>
                <w:color w:val="auto"/>
              </w:rPr>
            </w:pPr>
            <w:r>
              <w:rPr>
                <w:rFonts w:ascii="Arial" w:cs="Arial" w:eastAsia="Arial" w:hAnsi="Arial"/>
                <w:sz w:val="17"/>
                <w:szCs w:val="17"/>
                <w:color w:val="auto"/>
              </w:rPr>
              <w:t>within the Inline XBRL document)</w:t>
            </w:r>
          </w:p>
        </w:tc>
      </w:tr>
      <w:tr>
        <w:trPr>
          <w:trHeight w:val="248"/>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7"/>
              </w:rPr>
              <w:t>101.SCH*</w:t>
            </w:r>
          </w:p>
        </w:tc>
        <w:tc>
          <w:tcPr>
            <w:tcW w:w="980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48"/>
        </w:trPr>
        <w:tc>
          <w:tcPr>
            <w:tcW w:w="1080" w:type="dxa"/>
            <w:vAlign w:val="bottom"/>
          </w:tcPr>
          <w:p>
            <w:pPr>
              <w:jc w:val="center"/>
              <w:ind w:right="253"/>
              <w:spacing w:after="0"/>
              <w:rPr>
                <w:sz w:val="20"/>
                <w:szCs w:val="20"/>
                <w:color w:val="auto"/>
              </w:rPr>
            </w:pPr>
            <w:r>
              <w:rPr>
                <w:rFonts w:ascii="Arial" w:cs="Arial" w:eastAsia="Arial" w:hAnsi="Arial"/>
                <w:sz w:val="17"/>
                <w:szCs w:val="17"/>
                <w:color w:val="auto"/>
              </w:rPr>
              <w:t>101.CAL*</w:t>
            </w:r>
          </w:p>
        </w:tc>
        <w:tc>
          <w:tcPr>
            <w:tcW w:w="9800" w:type="dxa"/>
            <w:vAlign w:val="bottom"/>
            <w:gridSpan w:val="6"/>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8"/>
        </w:trPr>
        <w:tc>
          <w:tcPr>
            <w:tcW w:w="1080" w:type="dxa"/>
            <w:vAlign w:val="bottom"/>
          </w:tcPr>
          <w:p>
            <w:pPr>
              <w:jc w:val="center"/>
              <w:ind w:right="233"/>
              <w:spacing w:after="0"/>
              <w:rPr>
                <w:sz w:val="20"/>
                <w:szCs w:val="20"/>
                <w:color w:val="auto"/>
              </w:rPr>
            </w:pPr>
            <w:r>
              <w:rPr>
                <w:rFonts w:ascii="Arial" w:cs="Arial" w:eastAsia="Arial" w:hAnsi="Arial"/>
                <w:sz w:val="17"/>
                <w:szCs w:val="17"/>
                <w:color w:val="auto"/>
                <w:w w:val="97"/>
              </w:rPr>
              <w:t>101.DEF*</w:t>
            </w:r>
          </w:p>
        </w:tc>
        <w:tc>
          <w:tcPr>
            <w:tcW w:w="9800" w:type="dxa"/>
            <w:vAlign w:val="bottom"/>
            <w:gridSpan w:val="6"/>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8"/>
        </w:trPr>
        <w:tc>
          <w:tcPr>
            <w:tcW w:w="1080" w:type="dxa"/>
            <w:vAlign w:val="bottom"/>
          </w:tcPr>
          <w:p>
            <w:pPr>
              <w:jc w:val="center"/>
              <w:ind w:right="253"/>
              <w:spacing w:after="0"/>
              <w:rPr>
                <w:sz w:val="20"/>
                <w:szCs w:val="20"/>
                <w:color w:val="auto"/>
              </w:rPr>
            </w:pPr>
            <w:r>
              <w:rPr>
                <w:rFonts w:ascii="Arial" w:cs="Arial" w:eastAsia="Arial" w:hAnsi="Arial"/>
                <w:sz w:val="17"/>
                <w:szCs w:val="17"/>
                <w:color w:val="auto"/>
              </w:rPr>
              <w:t>101.LAB*</w:t>
            </w:r>
          </w:p>
        </w:tc>
        <w:tc>
          <w:tcPr>
            <w:tcW w:w="9800" w:type="dxa"/>
            <w:vAlign w:val="bottom"/>
            <w:gridSpan w:val="6"/>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8"/>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3"/>
              </w:rPr>
              <w:t>101.PRE*</w:t>
            </w:r>
          </w:p>
        </w:tc>
        <w:tc>
          <w:tcPr>
            <w:tcW w:w="980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48"/>
        </w:trPr>
        <w:tc>
          <w:tcPr>
            <w:tcW w:w="1080" w:type="dxa"/>
            <w:vAlign w:val="bottom"/>
          </w:tcPr>
          <w:p>
            <w:pPr>
              <w:jc w:val="center"/>
              <w:ind w:right="253"/>
              <w:spacing w:after="0"/>
              <w:rPr>
                <w:sz w:val="20"/>
                <w:szCs w:val="20"/>
                <w:color w:val="auto"/>
              </w:rPr>
            </w:pPr>
            <w:r>
              <w:rPr>
                <w:rFonts w:ascii="Arial" w:cs="Arial" w:eastAsia="Arial" w:hAnsi="Arial"/>
                <w:sz w:val="17"/>
                <w:szCs w:val="17"/>
                <w:color w:val="auto"/>
                <w:w w:val="97"/>
              </w:rPr>
              <w:t>104*</w:t>
            </w:r>
          </w:p>
        </w:tc>
        <w:tc>
          <w:tcPr>
            <w:tcW w:w="9800" w:type="dxa"/>
            <w:vAlign w:val="bottom"/>
            <w:gridSpan w:val="6"/>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95" w:lineRule="exact"/>
        <w:rPr>
          <w:sz w:val="20"/>
          <w:szCs w:val="20"/>
          <w:color w:val="auto"/>
        </w:rPr>
      </w:pPr>
    </w:p>
    <w:p>
      <w:pPr>
        <w:ind w:left="400" w:hanging="239"/>
        <w:spacing w:after="0"/>
        <w:tabs>
          <w:tab w:leader="none" w:pos="40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Filed herewith.</w:t>
      </w:r>
    </w:p>
    <w:p>
      <w:pPr>
        <w:ind w:left="160"/>
        <w:spacing w:after="0"/>
        <w:tabs>
          <w:tab w:leader="none" w:pos="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Furnished herewith.</w:t>
      </w:r>
    </w:p>
    <w:p>
      <w:pPr>
        <w:ind w:left="160"/>
        <w:spacing w:after="0"/>
        <w:tabs>
          <w:tab w:leader="none" w:pos="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Indicates management contract or compensatory plan.</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64" w:lineRule="exact"/>
        <w:rPr>
          <w:sz w:val="20"/>
          <w:szCs w:val="20"/>
          <w:color w:val="auto"/>
        </w:rPr>
      </w:pPr>
    </w:p>
    <w:p>
      <w:pPr>
        <w:ind w:right="820"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100" w:type="dxa"/>
            <w:vAlign w:val="bottom"/>
            <w:gridSpan w:val="2"/>
          </w:tcPr>
          <w:p>
            <w:pPr>
              <w:ind w:left="2260"/>
              <w:spacing w:after="0"/>
              <w:rPr>
                <w:sz w:val="20"/>
                <w:szCs w:val="20"/>
                <w:color w:val="auto"/>
              </w:rPr>
            </w:pPr>
            <w:r>
              <w:rPr>
                <w:rFonts w:ascii="Arial" w:cs="Arial" w:eastAsia="Arial" w:hAnsi="Arial"/>
                <w:sz w:val="17"/>
                <w:szCs w:val="17"/>
                <w:color w:val="auto"/>
              </w:rPr>
              <w:t>RACKSPACE TECHNOLOGY, INC.</w:t>
            </w:r>
          </w:p>
        </w:tc>
      </w:tr>
      <w:tr>
        <w:trPr>
          <w:trHeight w:val="745"/>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November 15, 2021</w:t>
            </w:r>
          </w:p>
        </w:tc>
        <w:tc>
          <w:tcPr>
            <w:tcW w:w="2800" w:type="dxa"/>
            <w:vAlign w:val="bottom"/>
          </w:tcPr>
          <w:p>
            <w:pPr>
              <w:ind w:left="2260"/>
              <w:spacing w:after="0"/>
              <w:rPr>
                <w:sz w:val="20"/>
                <w:szCs w:val="20"/>
                <w:color w:val="auto"/>
              </w:rPr>
            </w:pPr>
            <w:r>
              <w:rPr>
                <w:rFonts w:ascii="Arial" w:cs="Arial" w:eastAsia="Arial" w:hAnsi="Arial"/>
                <w:sz w:val="17"/>
                <w:szCs w:val="17"/>
                <w:color w:val="auto"/>
              </w:rPr>
              <w:t>By:</w:t>
            </w:r>
          </w:p>
        </w:tc>
        <w:tc>
          <w:tcPr>
            <w:tcW w:w="43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Amar Maletira</w:t>
            </w:r>
          </w:p>
        </w:tc>
      </w:tr>
      <w:tr>
        <w:trPr>
          <w:trHeight w:val="215"/>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Amar Maletira</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color w:val="auto"/>
              </w:rPr>
              <w:t>President and Chief Financial Officer</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00" w:type="dxa"/>
            <w:vAlign w:val="bottom"/>
          </w:tcPr>
          <w:p>
            <w:pPr>
              <w:ind w:left="120"/>
              <w:spacing w:after="0"/>
              <w:rPr>
                <w:sz w:val="20"/>
                <w:szCs w:val="20"/>
                <w:color w:val="auto"/>
              </w:rPr>
            </w:pPr>
            <w:r>
              <w:rPr>
                <w:rFonts w:ascii="Arial" w:cs="Arial" w:eastAsia="Arial" w:hAnsi="Arial"/>
                <w:sz w:val="17"/>
                <w:szCs w:val="17"/>
                <w:i w:val="1"/>
                <w:iCs w:val="1"/>
                <w:color w:val="auto"/>
              </w:rPr>
              <w:t>(Principal Financial Officer)</w:t>
            </w:r>
          </w:p>
        </w:tc>
      </w:tr>
      <w:tr>
        <w:trPr>
          <w:trHeight w:val="876"/>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0" w:type="dxa"/>
            <w:vAlign w:val="bottom"/>
          </w:tcPr>
          <w:p>
            <w:pPr>
              <w:jc w:val="right"/>
              <w:ind w:right="1033"/>
              <w:spacing w:after="0"/>
              <w:rPr>
                <w:sz w:val="20"/>
                <w:szCs w:val="20"/>
                <w:color w:val="auto"/>
              </w:rPr>
            </w:pPr>
            <w:r>
              <w:rPr>
                <w:rFonts w:ascii="Arial" w:cs="Arial" w:eastAsia="Arial" w:hAnsi="Arial"/>
                <w:sz w:val="17"/>
                <w:szCs w:val="17"/>
                <w:color w:val="auto"/>
              </w:rPr>
              <w:t>- 53 -</w:t>
            </w:r>
          </w:p>
        </w:tc>
        <w:tc>
          <w:tcPr>
            <w:tcW w:w="430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Kevin Jones, certify that:</w:t>
      </w:r>
    </w:p>
    <w:p>
      <w:pPr>
        <w:spacing w:after="0" w:line="249" w:lineRule="exact"/>
        <w:rPr>
          <w:sz w:val="20"/>
          <w:szCs w:val="20"/>
          <w:color w:val="auto"/>
        </w:rPr>
      </w:pPr>
    </w:p>
    <w:p>
      <w:pPr>
        <w:ind w:left="860" w:hanging="385"/>
        <w:spacing w:after="0"/>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Rackspace Technology, Inc.;</w:t>
      </w:r>
    </w:p>
    <w:p>
      <w:pPr>
        <w:spacing w:after="0" w:line="118" w:lineRule="exact"/>
        <w:rPr>
          <w:rFonts w:ascii="Arial" w:cs="Arial" w:eastAsia="Arial" w:hAnsi="Arial"/>
          <w:sz w:val="17"/>
          <w:szCs w:val="17"/>
          <w:color w:val="auto"/>
        </w:rPr>
      </w:pPr>
    </w:p>
    <w:p>
      <w:pPr>
        <w:jc w:val="both"/>
        <w:ind w:left="860" w:right="240" w:hanging="385"/>
        <w:spacing w:after="0" w:line="272"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860" w:right="200" w:hanging="385"/>
        <w:spacing w:after="0" w:line="28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860" w:right="440" w:hanging="385"/>
        <w:spacing w:after="0" w:line="288"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500" w:right="60" w:hanging="398"/>
        <w:spacing w:after="0" w:line="272" w:lineRule="auto"/>
        <w:tabs>
          <w:tab w:leader="none" w:pos="14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500" w:right="340" w:hanging="398"/>
        <w:spacing w:after="0" w:line="358" w:lineRule="auto"/>
        <w:tabs>
          <w:tab w:leader="none" w:pos="150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500" w:right="80" w:hanging="398"/>
        <w:spacing w:after="0" w:line="272" w:lineRule="auto"/>
        <w:tabs>
          <w:tab w:leader="none" w:pos="14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860" w:right="140" w:hanging="385"/>
        <w:spacing w:after="0" w:line="321" w:lineRule="auto"/>
        <w:tabs>
          <w:tab w:leader="none" w:pos="8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500" w:right="580" w:hanging="398"/>
        <w:spacing w:after="0" w:line="321" w:lineRule="auto"/>
        <w:tabs>
          <w:tab w:leader="none" w:pos="14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500" w:right="280" w:hanging="398"/>
        <w:spacing w:after="0" w:line="288" w:lineRule="auto"/>
        <w:tabs>
          <w:tab w:leader="none" w:pos="15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November 15, 2021</w:t>
            </w:r>
          </w:p>
        </w:tc>
        <w:tc>
          <w:tcPr>
            <w:tcW w:w="2160" w:type="dxa"/>
            <w:vAlign w:val="bottom"/>
          </w:tcPr>
          <w:p>
            <w:pPr>
              <w:ind w:left="1560"/>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Kevin Jones</w:t>
            </w:r>
          </w:p>
        </w:tc>
      </w:tr>
      <w:tr>
        <w:trPr>
          <w:trHeight w:val="215"/>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Chief Executive Officer; Director</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240"/>
          </w:cols>
          <w:pgMar w:left="320" w:top="35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line="273" w:lineRule="auto"/>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Amar Maletira, certify that:</w:t>
      </w:r>
    </w:p>
    <w:p>
      <w:pPr>
        <w:spacing w:after="0" w:line="249" w:lineRule="exact"/>
        <w:rPr>
          <w:sz w:val="20"/>
          <w:szCs w:val="20"/>
          <w:color w:val="auto"/>
        </w:rPr>
      </w:pPr>
    </w:p>
    <w:p>
      <w:pPr>
        <w:ind w:left="860" w:hanging="385"/>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Rackspace Technology, Inc.;</w:t>
      </w:r>
    </w:p>
    <w:p>
      <w:pPr>
        <w:spacing w:after="0" w:line="118" w:lineRule="exact"/>
        <w:rPr>
          <w:rFonts w:ascii="Arial" w:cs="Arial" w:eastAsia="Arial" w:hAnsi="Arial"/>
          <w:sz w:val="17"/>
          <w:szCs w:val="17"/>
          <w:color w:val="auto"/>
        </w:rPr>
      </w:pPr>
    </w:p>
    <w:p>
      <w:pPr>
        <w:jc w:val="both"/>
        <w:ind w:left="860" w:right="240" w:hanging="385"/>
        <w:spacing w:after="0" w:line="272"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7"/>
          <w:szCs w:val="17"/>
          <w:color w:val="auto"/>
        </w:rPr>
      </w:pPr>
    </w:p>
    <w:p>
      <w:pPr>
        <w:ind w:left="860" w:right="200" w:hanging="385"/>
        <w:spacing w:after="0" w:line="28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Arial" w:cs="Arial" w:eastAsia="Arial" w:hAnsi="Arial"/>
          <w:sz w:val="17"/>
          <w:szCs w:val="17"/>
          <w:color w:val="auto"/>
        </w:rPr>
      </w:pPr>
    </w:p>
    <w:p>
      <w:pPr>
        <w:ind w:left="860" w:right="440" w:hanging="385"/>
        <w:spacing w:after="0" w:line="288"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Arial" w:cs="Arial" w:eastAsia="Arial" w:hAnsi="Arial"/>
          <w:sz w:val="17"/>
          <w:szCs w:val="17"/>
          <w:color w:val="auto"/>
        </w:rPr>
      </w:pPr>
    </w:p>
    <w:p>
      <w:pPr>
        <w:ind w:left="1500" w:right="60" w:hanging="398"/>
        <w:spacing w:after="0" w:line="272" w:lineRule="auto"/>
        <w:tabs>
          <w:tab w:leader="none" w:pos="14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1500" w:right="340" w:hanging="398"/>
        <w:spacing w:after="0" w:line="358" w:lineRule="auto"/>
        <w:tabs>
          <w:tab w:leader="none" w:pos="15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5"/>
          <w:szCs w:val="15"/>
          <w:color w:val="auto"/>
        </w:rPr>
      </w:pPr>
    </w:p>
    <w:p>
      <w:pPr>
        <w:ind w:left="1500" w:right="80" w:hanging="398"/>
        <w:spacing w:after="0" w:line="272" w:lineRule="auto"/>
        <w:tabs>
          <w:tab w:leader="none" w:pos="14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7"/>
          <w:szCs w:val="17"/>
          <w:color w:val="auto"/>
        </w:rPr>
      </w:pPr>
    </w:p>
    <w:p>
      <w:pPr>
        <w:ind w:left="860" w:right="140" w:hanging="385"/>
        <w:spacing w:after="0" w:line="321"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500" w:right="580" w:hanging="398"/>
        <w:spacing w:after="0" w:line="321" w:lineRule="auto"/>
        <w:tabs>
          <w:tab w:leader="none" w:pos="14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500" w:right="280" w:hanging="398"/>
        <w:spacing w:after="0" w:line="288" w:lineRule="auto"/>
        <w:tabs>
          <w:tab w:leader="none" w:pos="15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780" w:type="dxa"/>
            <w:vAlign w:val="bottom"/>
          </w:tcPr>
          <w:p>
            <w:pPr>
              <w:spacing w:after="0"/>
              <w:rPr>
                <w:sz w:val="20"/>
                <w:szCs w:val="20"/>
                <w:color w:val="auto"/>
              </w:rPr>
            </w:pPr>
            <w:r>
              <w:rPr>
                <w:rFonts w:ascii="Arial" w:cs="Arial" w:eastAsia="Arial" w:hAnsi="Arial"/>
                <w:sz w:val="17"/>
                <w:szCs w:val="17"/>
                <w:color w:val="auto"/>
              </w:rPr>
              <w:t>Date:</w:t>
            </w:r>
          </w:p>
        </w:tc>
        <w:tc>
          <w:tcPr>
            <w:tcW w:w="3640" w:type="dxa"/>
            <w:vAlign w:val="bottom"/>
            <w:gridSpan w:val="2"/>
          </w:tcPr>
          <w:p>
            <w:pPr>
              <w:ind w:left="400"/>
              <w:spacing w:after="0"/>
              <w:rPr>
                <w:sz w:val="20"/>
                <w:szCs w:val="20"/>
                <w:color w:val="auto"/>
              </w:rPr>
            </w:pPr>
            <w:r>
              <w:rPr>
                <w:rFonts w:ascii="Arial" w:cs="Arial" w:eastAsia="Arial" w:hAnsi="Arial"/>
                <w:sz w:val="17"/>
                <w:szCs w:val="17"/>
                <w:color w:val="auto"/>
              </w:rPr>
              <w:t>November 15, 2021</w:t>
            </w:r>
          </w:p>
        </w:tc>
        <w:tc>
          <w:tcPr>
            <w:tcW w:w="2100" w:type="dxa"/>
            <w:vAlign w:val="bottom"/>
          </w:tcPr>
          <w:p>
            <w:pPr>
              <w:ind w:left="1440"/>
              <w:spacing w:after="0"/>
              <w:rPr>
                <w:sz w:val="20"/>
                <w:szCs w:val="20"/>
                <w:color w:val="auto"/>
              </w:rPr>
            </w:pPr>
            <w:r>
              <w:rPr>
                <w:rFonts w:ascii="Arial" w:cs="Arial" w:eastAsia="Arial" w:hAnsi="Arial"/>
                <w:sz w:val="17"/>
                <w:szCs w:val="17"/>
                <w:color w:val="auto"/>
              </w:rPr>
              <w:t>By:</w:t>
            </w:r>
          </w:p>
        </w:tc>
        <w:tc>
          <w:tcPr>
            <w:tcW w:w="4540" w:type="dxa"/>
            <w:vAlign w:val="bottom"/>
          </w:tcPr>
          <w:p>
            <w:pPr>
              <w:ind w:left="40"/>
              <w:spacing w:after="0"/>
              <w:rPr>
                <w:sz w:val="20"/>
                <w:szCs w:val="20"/>
                <w:color w:val="auto"/>
              </w:rPr>
            </w:pPr>
            <w:r>
              <w:rPr>
                <w:rFonts w:ascii="Arial" w:cs="Arial" w:eastAsia="Arial" w:hAnsi="Arial"/>
                <w:sz w:val="17"/>
                <w:szCs w:val="17"/>
                <w:color w:val="auto"/>
              </w:rPr>
              <w:t>/s/ Amar Maletira</w:t>
            </w:r>
          </w:p>
        </w:tc>
      </w:tr>
      <w:tr>
        <w:trPr>
          <w:trHeight w:val="215"/>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45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Amar Maletira</w:t>
            </w:r>
          </w:p>
        </w:tc>
      </w:tr>
      <w:tr>
        <w:trPr>
          <w:trHeight w:val="222"/>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540" w:type="dxa"/>
            <w:vAlign w:val="bottom"/>
          </w:tcPr>
          <w:p>
            <w:pPr>
              <w:ind w:left="40"/>
              <w:spacing w:after="0"/>
              <w:rPr>
                <w:sz w:val="20"/>
                <w:szCs w:val="20"/>
                <w:color w:val="auto"/>
              </w:rPr>
            </w:pPr>
            <w:r>
              <w:rPr>
                <w:rFonts w:ascii="Arial" w:cs="Arial" w:eastAsia="Arial" w:hAnsi="Arial"/>
                <w:sz w:val="17"/>
                <w:szCs w:val="17"/>
                <w:color w:val="auto"/>
              </w:rPr>
              <w:t>President and Chief Financial Officer</w:t>
            </w:r>
          </w:p>
        </w:tc>
      </w:tr>
      <w:tr>
        <w:trPr>
          <w:trHeight w:val="222"/>
        </w:trPr>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540" w:type="dxa"/>
            <w:vAlign w:val="bottom"/>
          </w:tcPr>
          <w:p>
            <w:pPr>
              <w:ind w:left="40"/>
              <w:spacing w:after="0"/>
              <w:rPr>
                <w:sz w:val="20"/>
                <w:szCs w:val="20"/>
                <w:color w:val="auto"/>
              </w:rPr>
            </w:pPr>
            <w:r>
              <w:rPr>
                <w:rFonts w:ascii="Arial" w:cs="Arial" w:eastAsia="Arial" w:hAnsi="Arial"/>
                <w:sz w:val="17"/>
                <w:szCs w:val="17"/>
                <w:i w:val="1"/>
                <w:iCs w:val="1"/>
                <w:color w:val="auto"/>
              </w:rPr>
              <w:t>(Principal Financial Officer)</w:t>
            </w:r>
          </w:p>
        </w:tc>
      </w:tr>
    </w:tbl>
    <w:p>
      <w:pPr>
        <w:sectPr>
          <w:pgSz w:w="11900" w:h="16838" w:orient="portrait"/>
          <w:cols w:equalWidth="0" w:num="1">
            <w:col w:w="11240"/>
          </w:cols>
          <w:pgMar w:left="320" w:top="35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 Kevin Jones, Chief Executive Officer of Rackspace Technology, Inc. (the “Company”), certify pursuant to Section 906 of the Sarbanes-Oxley Act of 2002, 18</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U.S.C. Section 1350, that:</w:t>
      </w:r>
    </w:p>
    <w:p>
      <w:pPr>
        <w:spacing w:after="0" w:line="237" w:lineRule="exact"/>
        <w:rPr>
          <w:sz w:val="20"/>
          <w:szCs w:val="20"/>
          <w:color w:val="auto"/>
        </w:rPr>
      </w:pPr>
    </w:p>
    <w:p>
      <w:pPr>
        <w:ind w:left="640" w:right="120" w:hanging="322"/>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2021 (the “Report”) fully complies with the requirements of Section 13(a) or 15(d) of the Securities Exchange Act of 1934; and</w:t>
      </w:r>
    </w:p>
    <w:p>
      <w:pPr>
        <w:spacing w:after="0" w:line="184" w:lineRule="exact"/>
        <w:rPr>
          <w:rFonts w:ascii="Arial" w:cs="Arial" w:eastAsia="Arial" w:hAnsi="Arial"/>
          <w:sz w:val="17"/>
          <w:szCs w:val="17"/>
          <w:color w:val="auto"/>
        </w:rPr>
      </w:pPr>
    </w:p>
    <w:p>
      <w:pPr>
        <w:ind w:left="640" w:right="720" w:hanging="322"/>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November 15, 2021</w:t>
            </w:r>
          </w:p>
        </w:tc>
        <w:tc>
          <w:tcPr>
            <w:tcW w:w="2160" w:type="dxa"/>
            <w:vAlign w:val="bottom"/>
          </w:tcPr>
          <w:p>
            <w:pPr>
              <w:ind w:left="1560"/>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Kevin Jones</w:t>
            </w:r>
          </w:p>
        </w:tc>
      </w:tr>
      <w:tr>
        <w:trPr>
          <w:trHeight w:val="215"/>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Kevin Jones</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Chief Executive Officer; Director</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240"/>
          </w:cols>
          <w:pgMar w:left="320" w:top="35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I, Amar Maletira, President and Chief Financial Officer of Rackspace Technology, Inc. (the “Company”), certify pursuant to Section 906 of the Sarbanes-Oxley Act of 2002, 18 U.S.C. Section 1350, that:</w:t>
      </w:r>
    </w:p>
    <w:p>
      <w:pPr>
        <w:spacing w:after="0" w:line="184" w:lineRule="exact"/>
        <w:rPr>
          <w:sz w:val="20"/>
          <w:szCs w:val="20"/>
          <w:color w:val="auto"/>
        </w:rPr>
      </w:pPr>
    </w:p>
    <w:p>
      <w:pPr>
        <w:ind w:left="640" w:right="120" w:hanging="322"/>
        <w:spacing w:after="0" w:line="28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September 30, 2021 (the “Report”) fully complies with the requirements of Section 13(a) or 15(d) of the Securities Exchange Act of 1934; and</w:t>
      </w:r>
    </w:p>
    <w:p>
      <w:pPr>
        <w:spacing w:after="0" w:line="184" w:lineRule="exact"/>
        <w:rPr>
          <w:rFonts w:ascii="Arial" w:cs="Arial" w:eastAsia="Arial" w:hAnsi="Arial"/>
          <w:sz w:val="17"/>
          <w:szCs w:val="17"/>
          <w:color w:val="auto"/>
        </w:rPr>
      </w:pPr>
    </w:p>
    <w:p>
      <w:pPr>
        <w:ind w:left="640" w:right="720" w:hanging="322"/>
        <w:spacing w:after="0" w:line="288"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November 15, 2021</w:t>
            </w:r>
          </w:p>
        </w:tc>
        <w:tc>
          <w:tcPr>
            <w:tcW w:w="2160" w:type="dxa"/>
            <w:vAlign w:val="bottom"/>
          </w:tcPr>
          <w:p>
            <w:pPr>
              <w:ind w:left="1560"/>
              <w:spacing w:after="0"/>
              <w:rPr>
                <w:sz w:val="20"/>
                <w:szCs w:val="20"/>
                <w:color w:val="auto"/>
              </w:rPr>
            </w:pPr>
            <w:r>
              <w:rPr>
                <w:rFonts w:ascii="Arial" w:cs="Arial" w:eastAsia="Arial" w:hAnsi="Arial"/>
                <w:sz w:val="17"/>
                <w:szCs w:val="17"/>
                <w:color w:val="auto"/>
              </w:rPr>
              <w:t>By:</w:t>
            </w:r>
          </w:p>
        </w:tc>
        <w:tc>
          <w:tcPr>
            <w:tcW w:w="4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Amar Maletira</w:t>
            </w:r>
          </w:p>
        </w:tc>
      </w:tr>
      <w:tr>
        <w:trPr>
          <w:trHeight w:val="215"/>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Amar Maletira</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President and Chief Financial Officer</w:t>
            </w:r>
          </w:p>
        </w:tc>
      </w:tr>
      <w:tr>
        <w:trPr>
          <w:trHeight w:val="222"/>
        </w:trPr>
        <w:tc>
          <w:tcPr>
            <w:tcW w:w="11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lvl w:ilvl="1">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lvl w:ilvl="1">
      <w:lvlJc w:val="left"/>
      <w:lvlText w:val="-"/>
      <w:numFmt w:val="bullet"/>
      <w:start w:val="1"/>
    </w:lvl>
  </w:abstractNum>
  <w:abstractNum w:abstractNumId="8">
    <w:nsid w:val="41A7C4C9"/>
    <w:multiLevelType w:val="hybridMultilevel"/>
    <w:lvl w:ilvl="0">
      <w:lvlJc w:val="left"/>
      <w:lvlText w:val="(%1)"/>
      <w:numFmt w:val="decimal"/>
      <w:start w:val="1"/>
    </w:lvl>
    <w:lvl w:ilvl="1">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lvl w:ilvl="1">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9"/>
    </w:lvl>
    <w:lvl w:ilvl="1">
      <w:lvlJc w:val="left"/>
      <w:lvlText w:val="-"/>
      <w:numFmt w:val="bullet"/>
      <w:start w:val="1"/>
    </w:lvl>
  </w:abstractNum>
  <w:abstractNum w:abstractNumId="14">
    <w:nsid w:val="3F2DBA31"/>
    <w:multiLevelType w:val="hybridMultilevel"/>
    <w:lvl w:ilvl="0">
      <w:lvlJc w:val="left"/>
      <w:lvlText w:val="(%1)"/>
      <w:numFmt w:val="lowerLetter"/>
      <w:start w:val="1"/>
    </w:lvl>
    <w:lvl w:ilvl="1">
      <w:lvlJc w:val="left"/>
      <w:lvlText w:val="-"/>
      <w:numFmt w:val="bullet"/>
      <w:start w:val="1"/>
    </w:lvl>
  </w:abstractNum>
  <w:abstractNum w:abstractNumId="15">
    <w:nsid w:val="7C83E458"/>
    <w:multiLevelType w:val="hybridMultilevel"/>
    <w:lvl w:ilvl="0">
      <w:lvlJc w:val="left"/>
      <w:lvlText w:val="(%1)"/>
      <w:numFmt w:val="lowerRoman"/>
      <w:start w:val="1"/>
    </w:lvl>
  </w:abstractNum>
  <w:abstractNum w:abstractNumId="16">
    <w:nsid w:val="257130A3"/>
    <w:multiLevelType w:val="hybridMultilevel"/>
    <w:lvl w:ilvl="0">
      <w:lvlJc w:val="left"/>
      <w:lvlText w:val="(%1)"/>
      <w:numFmt w:val="lowerRoman"/>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4" Type="http://schemas.openxmlformats.org/officeDocument/2006/relationships/hyperlink" Target="https://www.sec.gov/Archives/edgar/data/1810019/000181001921000156/rxt10182521.htm" TargetMode="External"/><Relationship Id="rId65" Type="http://schemas.openxmlformats.org/officeDocument/2006/relationships/hyperlink" Target="https://www.sec.gov/Archives/edgar/data/1810019/000181001921000156/rxt102825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2021-11-15T16:26:53Z</dcterms:created>
  <dcterms:modified xsi:type="dcterms:W3CDTF">2021-11-15T16:26:53Z</dcterms:modified>
</cp:coreProperties>
</file>