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6"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8"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5"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001-39420</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RACKSPACE TECHNOLOGY,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81-3369925</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101" w:lineRule="exact"/>
        <w:rPr>
          <w:sz w:val="24"/>
          <w:szCs w:val="24"/>
          <w:color w:val="auto"/>
        </w:rPr>
      </w:pPr>
    </w:p>
    <w:p>
      <w:pPr>
        <w:sectPr>
          <w:pgSz w:w="11900" w:h="16838" w:orient="portrait"/>
          <w:cols w:equalWidth="0" w:num="2">
            <w:col w:w="6680" w:space="720"/>
            <w:col w:w="3840"/>
          </w:cols>
          <w:pgMar w:left="320" w:top="126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 Fanatical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 312-4000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4" w:lineRule="exact"/>
        <w:rPr>
          <w:sz w:val="24"/>
          <w:szCs w:val="24"/>
          <w:color w:val="auto"/>
        </w:rPr>
      </w:pPr>
    </w:p>
    <w:p>
      <w:pPr>
        <w:ind w:right="6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ind w:right="6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type w:val="continuous"/>
        </w:sectPr>
      </w:pPr>
    </w:p>
    <w:bookmarkStart w:id="1" w:name="page2"/>
    <w:bookmarkEnd w:id="1"/>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9" w:lineRule="exact"/>
        <w:rPr>
          <w:sz w:val="20"/>
          <w:szCs w:val="20"/>
          <w:color w:val="auto"/>
        </w:rPr>
      </w:pPr>
    </w:p>
    <w:p>
      <w:pPr>
        <w:ind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2, 2022, 210,584,387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8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Unaudited Consolidated Balance Sheets as of December 31, 2021 and June 30, 2022</w:t>
            </w:r>
          </w:p>
        </w:tc>
        <w:tc>
          <w:tcPr>
            <w:tcW w:w="324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Consolidated Statements of Comprehensive Loss for the Three and Six Months Ended June 30, 2021 and June 30,</w:t>
            </w:r>
          </w:p>
        </w:tc>
        <w:tc>
          <w:tcPr>
            <w:tcW w:w="4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rPr>
              <w:t>4</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2022</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 for the Six Months Ended June 30, 2021 and June 30, 2022</w:t>
            </w:r>
          </w:p>
        </w:tc>
        <w:tc>
          <w:tcPr>
            <w:tcW w:w="4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 for the Three and Six Months Ended June 30, 2021 and June 30,</w:t>
            </w:r>
          </w:p>
        </w:tc>
        <w:tc>
          <w:tcPr>
            <w:tcW w:w="4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rPr>
              <w:t>7</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2022</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the Unaudited Consolidated Financial Statements</w:t>
            </w:r>
          </w:p>
        </w:tc>
        <w:tc>
          <w:tcPr>
            <w:tcW w:w="4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rPr>
              <w:t>9</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80" w:type="dxa"/>
            <w:vAlign w:val="bottom"/>
            <w:gridSpan w:val="4"/>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27</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18"/>
                <w:szCs w:val="18"/>
                <w:color w:val="auto"/>
              </w:rPr>
            </w:pPr>
          </w:p>
        </w:tc>
        <w:tc>
          <w:tcPr>
            <w:tcW w:w="2880" w:type="dxa"/>
            <w:vAlign w:val="bottom"/>
            <w:gridSpan w:val="4"/>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6"/>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52</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5"/>
        </w:trPr>
        <w:tc>
          <w:tcPr>
            <w:tcW w:w="20" w:type="dxa"/>
            <w:vAlign w:val="bottom"/>
          </w:tcPr>
          <w:p>
            <w:pPr>
              <w:spacing w:after="0"/>
              <w:rPr>
                <w:sz w:val="24"/>
                <w:szCs w:val="24"/>
                <w:color w:val="auto"/>
              </w:rPr>
            </w:pPr>
          </w:p>
        </w:tc>
        <w:tc>
          <w:tcPr>
            <w:tcW w:w="10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460" w:type="dxa"/>
            <w:vAlign w:val="bottom"/>
            <w:gridSpan w:val="2"/>
          </w:tcPr>
          <w:p>
            <w:pPr>
              <w:jc w:val="center"/>
              <w:ind w:left="190"/>
              <w:spacing w:after="0" w:line="194" w:lineRule="exact"/>
              <w:rPr>
                <w:sz w:val="20"/>
                <w:szCs w:val="20"/>
                <w:color w:val="auto"/>
              </w:rPr>
            </w:pPr>
            <w:r>
              <w:rPr>
                <w:rFonts w:ascii="Times New Roman" w:cs="Times New Roman" w:eastAsia="Times New Roman" w:hAnsi="Times New Roman"/>
                <w:sz w:val="18"/>
                <w:szCs w:val="18"/>
                <w:color w:val="0000FF"/>
                <w:w w:val="99"/>
              </w:rPr>
              <w:t>53</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8"/>
                <w:szCs w:val="18"/>
                <w:color w:val="auto"/>
              </w:rPr>
            </w:pPr>
          </w:p>
        </w:tc>
        <w:tc>
          <w:tcPr>
            <w:tcW w:w="8020" w:type="dxa"/>
            <w:vAlign w:val="bottom"/>
            <w:gridSpan w:val="10"/>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53</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4980" w:type="dxa"/>
            <w:vAlign w:val="bottom"/>
            <w:gridSpan w:val="6"/>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53</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2"/>
          </w:tcPr>
          <w:p>
            <w:pPr>
              <w:spacing w:after="0"/>
              <w:rPr>
                <w:sz w:val="18"/>
                <w:szCs w:val="18"/>
                <w:color w:val="auto"/>
              </w:rPr>
            </w:pPr>
          </w:p>
        </w:tc>
        <w:tc>
          <w:tcPr>
            <w:tcW w:w="4980" w:type="dxa"/>
            <w:vAlign w:val="bottom"/>
            <w:gridSpan w:val="6"/>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53</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8"/>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53</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60" w:type="dxa"/>
            <w:vAlign w:val="bottom"/>
            <w:gridSpan w:val="9"/>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54</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20" w:type="dxa"/>
            <w:vAlign w:val="bottom"/>
            <w:gridSpan w:val="10"/>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8"/>
                <w:szCs w:val="18"/>
                <w:color w:val="auto"/>
              </w:rPr>
            </w:pPr>
          </w:p>
        </w:tc>
        <w:tc>
          <w:tcPr>
            <w:tcW w:w="8020" w:type="dxa"/>
            <w:vAlign w:val="bottom"/>
            <w:gridSpan w:val="10"/>
          </w:tcPr>
          <w:p>
            <w:pPr>
              <w:spacing w:after="0"/>
              <w:rPr>
                <w:sz w:val="18"/>
                <w:szCs w:val="18"/>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55</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56</w:t>
            </w:r>
          </w:p>
        </w:tc>
        <w:tc>
          <w:tcPr>
            <w:tcW w:w="320" w:type="dxa"/>
            <w:vAlign w:val="bottom"/>
          </w:tcPr>
          <w:p>
            <w:pPr>
              <w:spacing w:after="0"/>
              <w:rPr>
                <w:sz w:val="24"/>
                <w:szCs w:val="24"/>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for the quarterly period ended June 30, 2022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18"/>
          <w:szCs w:val="18"/>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under the heading “Risk Factors” in our Annual Report on Form 10-K for the year ended December 31, 2021.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“Rackspace,” “Rackspace Technology,” “Fanatical,” “Rackspace Fabric,” "Rackspace Data Freedom," "Rackspace Services for VMware</w:t>
      </w:r>
    </w:p>
    <w:p>
      <w:pPr>
        <w:spacing w:after="0" w:line="234" w:lineRule="auto"/>
        <w:rPr>
          <w:sz w:val="20"/>
          <w:szCs w:val="20"/>
          <w:color w:val="auto"/>
        </w:rPr>
      </w:pPr>
      <w:r>
        <w:rPr>
          <w:rFonts w:ascii="Times New Roman" w:cs="Times New Roman" w:eastAsia="Times New Roman" w:hAnsi="Times New Roman"/>
          <w:sz w:val="17"/>
          <w:szCs w:val="17"/>
          <w:i w:val="1"/>
          <w:iCs w:val="1"/>
          <w:color w:val="auto"/>
        </w:rPr>
        <w:t>Cloud</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and "My Rackspace" are registered or unregistered trademarks of Rackspace US, Inc. in the United States and/or other countries. OpenStack</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is</w:t>
      </w:r>
    </w:p>
    <w:p>
      <w:pPr>
        <w:spacing w:after="0"/>
        <w:rPr>
          <w:sz w:val="20"/>
          <w:szCs w:val="20"/>
          <w:color w:val="auto"/>
        </w:rPr>
      </w:pPr>
      <w:r>
        <w:rPr>
          <w:rFonts w:ascii="Times New Roman" w:cs="Times New Roman" w:eastAsia="Times New Roman" w:hAnsi="Times New Roman"/>
          <w:sz w:val="18"/>
          <w:szCs w:val="18"/>
          <w:i w:val="1"/>
          <w:iCs w:val="1"/>
          <w:color w:val="auto"/>
        </w:rPr>
        <w:t>a registered trademark of OpenStack, LLC and OpenStack Foundation in the United States. Solely for convenience, trademarks, trade names and service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marks referred to in this Quarterly Report may appear without the ® or ™ symbols, but such references are not intended to indicate, in any way, that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 not assert, to the fullest extent under applicable law, our rights or the rights of the applicable licensor to these trademarks, trade names and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marks. Other trademarks, trade names and service marks appearing in this Quarterly Report are the property of their respective holders. We do not intend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use or display of other companies’ trade names, trademarks or service marks to imply a relationship with, or endorsement or sponsorship of us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and accrued customer credits of $18.4 and $18.8,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4,909.8</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$0.01 par value per share: 1,495.0 shares authorized; 211.2 and 213.5 shares issued; 211.2 and 210.4</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zero and 3.1 shares held, respectively</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(1,097.7)</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213"/>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land</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investments, net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modification and extinguishment costs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7"/>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(loss) on derivative contracts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162"/>
        </w:trPr>
        <w:tc>
          <w:tcPr>
            <w:tcW w:w="4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other comprehensive</w:t>
            </w: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(loss) to earnings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2"/>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per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modification and extinguishment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loss on derivative contracts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bad debts and accrued customer credits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and debt discount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7"/>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equipment and software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32"/>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land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of common stock repurchased</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long-term debt arrangements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financing component of interest rate swap</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finance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financing obligations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2"/>
        </w:trPr>
        <w:tc>
          <w:tcPr>
            <w:tcW w:w="79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13"/>
        </w:trPr>
        <w:tc>
          <w:tcPr>
            <w:tcW w:w="7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w:t>
            </w:r>
          </w:p>
        </w:tc>
      </w:tr>
      <w:tr>
        <w:trPr>
          <w:trHeight w:val="237"/>
        </w:trPr>
        <w:tc>
          <w:tcPr>
            <w:tcW w:w="7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net of amount capitalized</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income taxes, net of refunds</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finance leases</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financing obligations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Increase (decrease) in property, equipment and software accrued in liabilities</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2"/>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purchases of property, equipment and software</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64"/>
        </w:trPr>
        <w:tc>
          <w:tcPr>
            <w:tcW w:w="7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non-cash investing and financing activities</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2"/>
                <w:szCs w:val="22"/>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of such amounts shown on the Consolidated Statements of Cash Flows.</w:t>
      </w:r>
    </w:p>
    <w:p>
      <w:pPr>
        <w:spacing w:after="0" w:line="232"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7"/>
        </w:trPr>
        <w:tc>
          <w:tcPr>
            <w:tcW w:w="7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release of stock awards</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(1,220.1)</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Employee Stock Purchase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Plans</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2"/>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(1,260.7)</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1,327.4</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Employee Stock Purchase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Plans</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2"/>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(1,260.7)</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 Basis of Presentation,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Basis of Presentation</w:t>
      </w:r>
    </w:p>
    <w:p>
      <w:pPr>
        <w:spacing w:after="0" w:line="256"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7"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For ease of reference, the terms “we,” “our company,” “the company,” “us,” or “our” as used in this report refer to Rackspace Technology and its consolidated subsidiaries.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January 18, 2022, we acquired 100% of Just Analytics Pte. Ltd. ("Just Analytics"), a leading provider of cloud-based data, analytics, and artificial intelligence services based in the Asia, Pacific and Japan region. The acquisition was completed for $7.7 million in cash consideration, net of cash acquired, together with future deferred payments that are considered post-combination compensation costs and will be recognized over the next three years. The acquisition of Just Analytics was not material to the unaudited consolidated financial statements.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unaudited consolidated financial statements include the accounts of Rackspace Technology, Inc. and our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consolidation.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unaudited consolidated financial statements as of June 30, 2022, and for the three and six months ended June 30, 2021 and 2022,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prepared in accordance with accounting principles generally accepted in the United States of America (“GAAP”) for interim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Accordingly, certain financial information and disclosures required for financial statements prepared under GAAP have been omitted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Securities and Exchange Commission ("SEC") disclosure rules and regulations that permit reduced disclosure for interim</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periods. These unaudited interim consolidated financial statements should be read in conjunction with the audited consolidated financial statements and the related notes thereto included in our Annual Report on Form 10-K for the year ended December 31, 2021 ("Annual Report"). The unaudited interim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June 30, 2022, our results of operations and stockholders' equity for the three and six months ended June 30, 2021 and 2022, and our cash flows for the six months ended June 30, 2021 and 2022.</w:t>
      </w:r>
    </w:p>
    <w:p>
      <w:pPr>
        <w:spacing w:after="0" w:line="217"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2022 are not necessarily indicative of the results of operations to be expected for the year ending December 31, 2022, or for any other interim period, or for any other future year.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56"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effects of COVID-19 (and any variations thereof) continue to evolve, and the full impact and duration of the virus are unknown. Currently, COVID-19 has not had a significant impact on our operations or financial performance; however, there are remaining uncertainties as a result of COVID-19, particularly the possibility of new variant strain(s) of the virus, the potential resurgence in the spread of the virus and the pace of economic recovery, which continue to impact the estimates and assumptions needed to prepare our consolidated financial statements and footnotes.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Russia and Ukraine Conflict</w:t>
      </w:r>
    </w:p>
    <w:p>
      <w:pPr>
        <w:spacing w:after="0" w:line="25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Political and economic uncertainty surrounding the Russian conflict in Ukraine could have a material adverse effect on our business. Currently, the conflict has not had a significant impact on our operations or financial performance. However, our overall performance depends in part on worldwide economic and geopolitical conditions. We are monitoring the situation and the potential for the conflict to spread to other countries which could adversely impact our customers and operations, and we may take actions that modify our business operations as may be required by federal, state or local authorities, or that we determine are in the best interests of our employees, customers, partners, suppliers and stockholders.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256" w:lineRule="exact"/>
        <w:rPr>
          <w:sz w:val="20"/>
          <w:szCs w:val="20"/>
          <w:color w:val="auto"/>
        </w:rPr>
      </w:pPr>
    </w:p>
    <w:p>
      <w:pPr>
        <w:ind w:right="100" w:firstLine="486"/>
        <w:spacing w:after="0" w:line="312" w:lineRule="auto"/>
        <w:rPr>
          <w:sz w:val="20"/>
          <w:szCs w:val="20"/>
          <w:color w:val="auto"/>
        </w:rPr>
      </w:pPr>
      <w:r>
        <w:rPr>
          <w:rFonts w:ascii="Times New Roman" w:cs="Times New Roman" w:eastAsia="Times New Roman" w:hAnsi="Times New Roman"/>
          <w:sz w:val="17"/>
          <w:szCs w:val="17"/>
          <w:color w:val="auto"/>
        </w:rPr>
        <w:t>Our Annual Report includes an additional discussion of the significant accounting policies and estimates used in the preparation of our consolidated financial statements. There were no material changes to our significant accounting policies and estimates during the six months ended June 30,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256" w:lineRule="exact"/>
        <w:rPr>
          <w:sz w:val="20"/>
          <w:szCs w:val="20"/>
          <w:color w:val="auto"/>
        </w:rPr>
      </w:pPr>
    </w:p>
    <w:p>
      <w:pPr>
        <w:ind w:right="300"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if any, and (iii) declines in our market capitalization below our book value, and the magnitude and duration of those declines, if any.</w:t>
      </w:r>
    </w:p>
    <w:p>
      <w:pPr>
        <w:spacing w:after="0" w:line="2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of June 30, 2022, we determined that there were no indicators of impairment that more likely than not reduced the fair value of our reporting units or our indefinite-lived intangible asset to less than their respective carrying values. In reaching this conclusion, we noted that while our market capitalization has declined, it remained in excess of our book value as of June 30, 2022 and took this factor into consideration together with the other qualitative factors noted above. We will continue to evaluate whether circumstances indicate an impairment may exist each reporting period. If there are significant changes in events or circumstances, including (i) further declines in our market capitalization or deterioration in the equity and debt markets, and (ii) impacts to our forecasted results due to macroeconomic factors such as foreign currency exchange rate fluctuations, increased inflation rates, global supply chain constraints, and increases in the weighted-average cost of capital due to increases in interest rates, it is possible that an impairment charge may be recorded in the future,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50"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Accounting Standards Update ("ASU") No. 2021-08,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(ASC 805) - Accounting for Contract Assets and Contract Liabilities from Contracts with Customers</w:t>
      </w:r>
      <w:r>
        <w:rPr>
          <w:rFonts w:ascii="Times New Roman" w:cs="Times New Roman" w:eastAsia="Times New Roman" w:hAnsi="Times New Roman"/>
          <w:sz w:val="18"/>
          <w:szCs w:val="18"/>
          <w:color w:val="auto"/>
        </w:rPr>
        <w:t>. ASU 2021-08 requires that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(acquirer) recognize and measure contract assets and contract liabilities acquired in a business combination in accordance with Accounting Standards Codification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This standard allows the company a practical expedient to remove the requirement to measure and recognize such contracts in accordance with ASC 606. The guidance is applied prospectively upon adoption. We early adopted this guidance on January 1, 2022 and applied the practical expedient to our accounting for the acquisition of Just Analytics. The adoption of the guidance did not have a material impact on our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Reference Rate Reform</w:t>
      </w:r>
    </w:p>
    <w:p>
      <w:pPr>
        <w:spacing w:after="0" w:line="25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United Kingdom's Financial Conduct Authority, which regulates the London Interbank Offered Rate ("LIBOR"), announced that it will not compel panel banks to contribute to the overnight 1, 3, 6 and 12 months U.S. dollar LIBOR tenors after June 30, 2023 and all other tenors after December 31, 2021. U.S. dollar LIBOR may be replaced by the Secured Overnight Financing Rate or other benchmark rates over the next several years. In March 2020, the FASB issued ASU No. 2020-04, </w:t>
      </w:r>
      <w:r>
        <w:rPr>
          <w:rFonts w:ascii="Times New Roman" w:cs="Times New Roman" w:eastAsia="Times New Roman" w:hAnsi="Times New Roman"/>
          <w:sz w:val="18"/>
          <w:szCs w:val="18"/>
          <w:i w:val="1"/>
          <w:iCs w:val="1"/>
          <w:color w:val="auto"/>
        </w:rPr>
        <w:t>Reference Rate Reform (ASC 848) - Facilitation of the Effects of Reference Rate Reform on Financial Reporting</w:t>
      </w:r>
      <w:r>
        <w:rPr>
          <w:rFonts w:ascii="Times New Roman" w:cs="Times New Roman" w:eastAsia="Times New Roman" w:hAnsi="Times New Roman"/>
          <w:sz w:val="18"/>
          <w:szCs w:val="18"/>
          <w:color w:val="auto"/>
        </w:rPr>
        <w:t xml:space="preserve"> containing practical expedients for reference rate reform related activities that impact debt, leases, derivatives and other contracts. The guidance in ASU 2020-04 is optional and may be applied from March 12, 2020 through December 31, 2022 as reference rate reform activities occur. In January 2021, the FASB issued an update that provides supplemental guidance and clarification of the reference rate reform. We have elected to apply certain practical expedients in the past. We continue to evaluate the impact of the guidance and may apply other elections prior to December 31, 2022, as applicable, as additional changes in the market occur. Currently, borrowings under our Senior Facilities use LIBOR as a benchmark for establishing the applicable interest rate, but the First Lien Credit Agreement includes provisions relating to the future discontinuance of LIBOR and sets forth mechanics for establishing the replacement of LIBOR with an alternative benchmark rate.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balances related to customer contracts:</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7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Consolidated Balance Sheets Account</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Pr>
          <w:p>
            <w:pPr>
              <w:spacing w:after="0"/>
              <w:rPr>
                <w:sz w:val="18"/>
                <w:szCs w:val="18"/>
                <w:color w:val="auto"/>
              </w:rPr>
            </w:pPr>
          </w:p>
        </w:tc>
        <w:tc>
          <w:tcPr>
            <w:tcW w:w="1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60" w:type="dxa"/>
            <w:vAlign w:val="bottom"/>
            <w:tcBorders>
              <w:top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contract assets</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contract assets</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deferred revenue</w:t>
            </w: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bl>
    <w:p>
      <w:pPr>
        <w:spacing w:after="0" w:line="3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Allowance for credit losses and accrued customer credits was $18.4 million and $18.8 million as of December 31, 2021 and June 30, 2022, respectively.</w:t>
      </w:r>
    </w:p>
    <w:p>
      <w:pPr>
        <w:spacing w:after="0" w:line="257"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Amounts recognized in revenue for the three months ended June 30, 2021 and 2022, which were included in deferred revenue as of the beginning of each period, totaled $25.2 million and $29.0 million, respectively. Amounts recognized in revenue for the six months ended June 30, 2021 and 2022, which were included in deferred revenue as of the beginning of each period, totaled $46.1 million and $47.0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Incurred to Obtain and Fulfill a Contract</w:t>
      </w:r>
    </w:p>
    <w:p>
      <w:pPr>
        <w:spacing w:after="0" w:line="243"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2021 and June 30, 2022, the balances of capitalized costs to obtain a contract were $58.0 million and $56.8 million, respectively, and the balances of capitalized costs to fulfill a contract were $23.5 million and $20.2 million, respectively. These capitalized costs are included in “Other non-current assets” on the Consolidated Balance Sheets.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capitalized sales commissions and implementation costs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capitalized sales commissions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capitalized implementation costs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of June 30, 2022, the aggregate amount of transaction price allocated to remaining performance obligations was $700.1 million, of which 41% is expected to be recognized as revenue during the remainder of 2022 and the remainder thereafter. These remaining performance obligations primarily relate to our fixed-term arrangements. Our other revenue arrangements are usage-based, and as such, we recognize revenue based on the right to invoice for the services performed.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5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stockholders by the weighted average shares outstanding during the period.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w:t>
            </w:r>
          </w:p>
        </w:tc>
      </w:tr>
      <w:tr>
        <w:trPr>
          <w:trHeight w:val="209"/>
        </w:trPr>
        <w:tc>
          <w:tcPr>
            <w:tcW w:w="4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Number of shares used in per share computations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r>
      <w:tr>
        <w:trPr>
          <w:trHeight w:val="212"/>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loss per share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1"/>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19.4 million and 24.1 million potential common shares from the computation of dilutive loss per share for the three months ended June 30, 2021 and 2022, respectively, and 19.4 million and 24.1 million potential shares for the six months ended June 30, 2021 and 2022, respectively, because the effect would have been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Equipment and Software,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at cost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2,172.7</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(1,424.3)</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January 15, 2021, we completed the sale of a parcel of undeveloped land in the United Kingdom adjacent to one of our existing data centers.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book value of the land prior to the sale was $11.4 million and we received cash proceeds of $32.2 million, less brokerage and professional fees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 million, resulting in net cash proceeds of $31.3 million. Therefore, we recorded a gain on sale of land of $19.9 million to "Gain on sale of land"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Loss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changes in the carrying amounts of goodwill by reportable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Multicloud Services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Apps &amp; Cross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OpenStack Public</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Consolidated</w:t>
            </w:r>
          </w:p>
        </w:tc>
        <w:tc>
          <w:tcPr>
            <w:tcW w:w="0" w:type="dxa"/>
            <w:vAlign w:val="bottom"/>
          </w:tcPr>
          <w:p>
            <w:pPr>
              <w:spacing w:after="0"/>
              <w:rPr>
                <w:sz w:val="1"/>
                <w:szCs w:val="1"/>
                <w:color w:val="auto"/>
              </w:rPr>
            </w:pPr>
          </w:p>
        </w:tc>
      </w:tr>
      <w:tr>
        <w:trPr>
          <w:trHeight w:val="21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Platform</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Cloud</w:t>
            </w: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2,706.8</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Just Analytics acquisition</w:t>
            </w:r>
          </w:p>
        </w:tc>
        <w:tc>
          <w:tcPr>
            <w:tcW w:w="5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2,365.5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3,040.9</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impairment charges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 as of June 30, 2022</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2,365.5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intangible assets other than goodwill: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tax abatement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7"/>
        </w:trPr>
        <w:tc>
          <w:tcPr>
            <w:tcW w:w="2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Trade name (indefinite-lived)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42"/>
        </w:trPr>
        <w:tc>
          <w:tcPr>
            <w:tcW w:w="2740" w:type="dxa"/>
            <w:vAlign w:val="bottom"/>
          </w:tcPr>
          <w:p>
            <w:pPr>
              <w:ind w:left="340"/>
              <w:spacing w:after="0" w:line="142" w:lineRule="exact"/>
              <w:rPr>
                <w:sz w:val="20"/>
                <w:szCs w:val="20"/>
                <w:color w:val="auto"/>
              </w:rPr>
            </w:pPr>
            <w:r>
              <w:rPr>
                <w:rFonts w:ascii="Times New Roman" w:cs="Times New Roman" w:eastAsia="Times New Roman" w:hAnsi="Times New Roman"/>
                <w:sz w:val="16"/>
                <w:szCs w:val="16"/>
                <w:color w:val="auto"/>
              </w:rPr>
              <w:t>Total intangible assets other than</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2,277.2</w:t>
            </w:r>
          </w:p>
        </w:tc>
        <w:tc>
          <w:tcPr>
            <w:tcW w:w="10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1,466.5</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2,270.1</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(891.1)</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1,379.0</w:t>
            </w:r>
          </w:p>
        </w:tc>
        <w:tc>
          <w:tcPr>
            <w:tcW w:w="0" w:type="dxa"/>
            <w:vAlign w:val="bottom"/>
          </w:tcPr>
          <w:p>
            <w:pPr>
              <w:spacing w:after="0"/>
              <w:rPr>
                <w:sz w:val="1"/>
                <w:szCs w:val="1"/>
                <w:color w:val="auto"/>
              </w:rPr>
            </w:pPr>
          </w:p>
        </w:tc>
      </w:tr>
      <w:tr>
        <w:trPr>
          <w:trHeight w:val="194"/>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0" w:type="dxa"/>
            <w:vAlign w:val="bottom"/>
            <w:tcBorders>
              <w:bottom w:val="single" w:sz="8" w:color="auto"/>
            </w:tcBorders>
          </w:tcPr>
          <w:p>
            <w:pPr>
              <w:spacing w:after="0"/>
              <w:rPr>
                <w:sz w:val="18"/>
                <w:szCs w:val="18"/>
                <w:color w:val="auto"/>
              </w:rPr>
            </w:pPr>
          </w:p>
        </w:tc>
      </w:tr>
      <w:tr>
        <w:trPr>
          <w:trHeight w:val="215"/>
        </w:trPr>
        <w:tc>
          <w:tcPr>
            <w:tcW w:w="348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Debt Instrument</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54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b w:val="1"/>
                <w:bCs w:val="1"/>
                <w:color w:val="auto"/>
              </w:rPr>
              <w:t>Interest Rate</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980" w:type="dxa"/>
            <w:vAlign w:val="bottom"/>
            <w:gridSpan w:val="4"/>
          </w:tcPr>
          <w:p>
            <w:pPr>
              <w:jc w:val="right"/>
              <w:ind w:right="659"/>
              <w:spacing w:after="0" w:line="216" w:lineRule="exact"/>
              <w:rPr>
                <w:sz w:val="20"/>
                <w:szCs w:val="20"/>
                <w:color w:val="auto"/>
              </w:rPr>
            </w:pPr>
            <w:r>
              <w:rPr>
                <w:rFonts w:ascii="Times New Roman" w:cs="Times New Roman" w:eastAsia="Times New Roman" w:hAnsi="Times New Roman"/>
                <w:sz w:val="16"/>
                <w:szCs w:val="16"/>
                <w:b w:val="1"/>
                <w:bCs w:val="1"/>
                <w:color w:val="auto"/>
              </w:rPr>
              <w:t>Interest Rate</w:t>
            </w:r>
            <w:r>
              <w:rPr>
                <w:rFonts w:ascii="Times New Roman" w:cs="Times New Roman" w:eastAsia="Times New Roman" w:hAnsi="Times New Roman"/>
                <w:sz w:val="21"/>
                <w:szCs w:val="21"/>
                <w:b w:val="1"/>
                <w:bCs w:val="1"/>
                <w:color w:val="auto"/>
                <w:vertAlign w:val="superscript"/>
              </w:rPr>
              <w:t>(1)</w:t>
            </w: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6"/>
              </w:rPr>
              <w:t>Amount</w:t>
            </w:r>
          </w:p>
        </w:tc>
      </w:tr>
      <w:tr>
        <w:trPr>
          <w:trHeight w:val="209"/>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15, 2028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4.16%</w:t>
            </w: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2,271.3</w:t>
            </w: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7, 2025</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3.50% Senior Secured Notes</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10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3.50%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5.375% Senior Notes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1, 2028</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10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5.375%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2"/>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3,326.1</w:t>
            </w: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37"/>
        </w:trPr>
        <w:tc>
          <w:tcPr>
            <w:tcW w:w="3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3,303.1</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Interest rates are as of each respective balance sheet date.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Facilities</w:t>
      </w:r>
    </w:p>
    <w:p>
      <w:pPr>
        <w:spacing w:after="0" w:line="25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senior secured credit facilities include a first lien term loan facility (the "Term Loan Facility") and a revolving credit facility (the "Revolving Credit Facility" and, together with the Term Loan Facility, the "Senior Facilities").</w:t>
      </w:r>
    </w:p>
    <w:p>
      <w:pPr>
        <w:spacing w:after="0" w:line="18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On February 9, 2021, we amended and restated the credit agreement governing our Senior Facilities (the "First Lien Credit Agreement"), which included a new seven-year $2,300.0 million senior secured first lien term loan facility due on February 15, 2028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our prior term loan facility (the "Prior Term Loan Facility"), to pay related fees and expenses and for general corporate purposes.</w:t>
      </w:r>
    </w:p>
    <w:p>
      <w:pPr>
        <w:spacing w:after="0" w:line="210"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 0.75% floor, in the case of the Term Loan Facility, and a 1.00% floor, in the case of the Revolving Credit Facility, or (b) a base rate determined by reference to the highest of (i) the federal funds rate plus 0.50%, (ii) the prime rate of Citibank, N.A.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1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0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the interest rate on the Term Loan Facility was 4.16%. We are required to make quarterly principal payments of $5.8 million, which began on June 30, 2021. See Note 12, "Derivatives," for information on interest rate swap agreements we utilize to manage the interest rate risk on the Term Loan Facility.</w:t>
      </w:r>
    </w:p>
    <w:p>
      <w:pPr>
        <w:spacing w:after="0" w:line="203"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Term Loan Facility as of June 30, 2022 was $2,098.1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03"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we were in compliance with all covenants under the Senior Facilities.</w:t>
      </w:r>
    </w:p>
    <w:p>
      <w:pPr>
        <w:spacing w:after="0" w:line="252"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Revolving Credit Facility matures on August 7, 2025. As of June 30, 2022, we had total commitments of $375.0 million and no outstanding borrowings under the Revolving Credit Facility or letters of credit issued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3.50% Senior Secured Notes due 2028</w:t>
      </w:r>
    </w:p>
    <w:p>
      <w:pPr>
        <w:spacing w:after="0" w:line="25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February 9, 2021, Rackspace Technology Global issued $550.0 million aggregate principal amount of 3.50% Senior Secured Notes due 2028 (the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21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indenture governing the 3.50% Senior Secured Notes (the "3.50% Notes Indenture") describes certain terms and conditions under which other current and future domestic subsidiaries are required to become guarantors of the 3.50% Senior Secured Notes.</w:t>
      </w:r>
    </w:p>
    <w:p>
      <w:pPr>
        <w:spacing w:after="0" w:line="21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Rackspace Technology Global was in compliance with all covenants under the 3.50% Notes Indenture.</w:t>
      </w:r>
    </w:p>
    <w:p>
      <w:pPr>
        <w:spacing w:after="0" w:line="25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Senior Secured Notes as of June 30, 2022 was $429.0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5.375% Senior Notes due 2028</w:t>
      </w:r>
    </w:p>
    <w:p>
      <w:pPr>
        <w:spacing w:after="0" w:line="25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December 1, 2020, Rackspace Technology Global issued $550.0 million aggregate principal amount of 5.375% Senior Notes due 2028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20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indenture governing the 5.375% Senior Notes (the "5.375% Notes Indenture") describes certain terms and conditions under which other current and future domestic subsidiaries are required to become guarantors of the 5.375% Senior Notes.</w:t>
      </w:r>
    </w:p>
    <w:p>
      <w:pPr>
        <w:spacing w:after="0" w:line="21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21" w:lineRule="exact"/>
        <w:rPr>
          <w:sz w:val="20"/>
          <w:szCs w:val="20"/>
          <w:color w:val="auto"/>
        </w:rPr>
      </w:pPr>
    </w:p>
    <w:p>
      <w:pPr>
        <w:ind w:right="340" w:firstLine="486"/>
        <w:spacing w:after="0" w:line="256" w:lineRule="auto"/>
        <w:rPr>
          <w:sz w:val="20"/>
          <w:szCs w:val="20"/>
          <w:color w:val="auto"/>
        </w:rPr>
      </w:pPr>
      <w:r>
        <w:rPr>
          <w:rFonts w:ascii="Times New Roman" w:cs="Times New Roman" w:eastAsia="Times New Roman" w:hAnsi="Times New Roman"/>
          <w:sz w:val="18"/>
          <w:szCs w:val="18"/>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Rackspace Technology Global was in compliance with all covenants under the 5.375% Notes Indenture.</w:t>
      </w:r>
    </w:p>
    <w:p>
      <w:pPr>
        <w:spacing w:after="0" w:line="25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5.375% Senior Notes as of June 30, 2022 was $358.9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Financing Agreement</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Under the accounts receivable financing agreement (the "Receivables Financing Facility") entered into in 2020, a bankruptcy-remote special purpose vehicle ("SPV") indirectly wholly owned by Rackspace Technology Global granted a security interest in all of its current and future receivables and related assets in exchange for a credit facility permitting borrowings of up to a maximum aggregate amount of $100.0 million from time to time. Rackspace Technology Global was the primary beneficiary of the SPV.</w:t>
      </w:r>
    </w:p>
    <w:p>
      <w:pPr>
        <w:spacing w:after="0" w:line="20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2021, the SPV repaid the outstanding balance of $50.0 million and terminated the Receivables Financing Facility. The termination resulted in expense of $0.5 million recorded within "Debt modification and extinguishment costs" in our Consolidated Statements of Comprehensive Loss for the three and six months ended June 30, 2021. The expense was comprised of the write-off of the unamortized debt issuance costs, as well as third party fees associated with the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2021 Refinancing Transaction</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February 2021 Refinancing Transaction represented an extinguishment and modification of debt. We derecognized $2,795.6 million of the Prior Term Loan Facility and wrote off $9.4 million in unamortized debt issuance costs and debt discount associated with the portion of the Prior Term Loan Facility that was deemed extinguished. We recognized $2,300.0 million borrowed under the Term Loan Facility and $41.0 million of associated debt issuance costs and debt discount, including amounts allocated from the Prior Term Loan Facility, both classified as a direct deduction from the carrying value of non-current debt on our Consolidated Balance Sheets. We recognized $550.0 million aggregate principal amount of the 3.50% Senior Secured Notes due 2028 and $6.8 million of associated debt issuance costs, including amounts allocated from the Prior Term Loan Facility. The February 2021 Refinancing Transaction resulted in expense of $37.0 million recorded within "Debt modification and extinguishment costs" in our Consolidated Statements of Comprehensive Loss for the six months ended June 30, 2021. The expense was comprised of the write-off of unamortized debt issuance costs and debt discount associated with the portion of the Prior Term Loan Facility that was deemed extinguished, as well as $27.6 million in third party fees associated with the modification.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07"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203"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July 2021 Restructuring Plan</w:t>
      </w:r>
    </w:p>
    <w:p>
      <w:pPr>
        <w:spacing w:after="0" w:line="256"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On July 21, 2021, we committed to an internal restructuring plan (the "July 2021 Restructuring Plan") to drive a change in the type and location of certain positions that was expected to result in the termination of approximately 10% of our workforce. Substantially all of the employees impacted by the reduction in workforce were notified of the reduction on July 22, 2021 and have since exited the company.</w:t>
      </w:r>
    </w:p>
    <w:p>
      <w:pPr>
        <w:spacing w:after="0" w:line="20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2021, we incurred $6.4 million of costs which were accounted for as exit and disposal costs under Accounting Standards Codification ("ASC") No.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(“ASC 420”). These costs included $2.5 million of employee related costs which consisted of one-time termination benefits and certain contractual termination benefits with executives. The $3.9 million of other costs consisted of professional fees and non-cash charges related to a contract termination with a third-party. These costs are recorded within "Selling, general and administrative expenses" in the Consolidated Statements of Comprehensive Loss.</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and six months ended June 30, 2022, we did not incur any material exit and disposal costs under ASC 420.</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Liability activity for previously accrued restructuring costs that are expected to be settled in cash are presented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Employee Related</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Charges</w:t>
            </w: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Liability as of June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cumulative costs incurred as of June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bl>
    <w:p>
      <w:pPr>
        <w:spacing w:after="0" w:line="265"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The liability for employee related costs primarily consists of one-time termination benefits and was recorded in "Accrued compensation and benefits" in the Consolidated Balance Sheets as of June 30, 2022.</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expect to incur any additional future ASC 420 exit and disposal costs related to the July 2021 Restructuring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 Repurchase Program</w:t>
      </w:r>
    </w:p>
    <w:p>
      <w:pPr>
        <w:spacing w:after="0" w:line="25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March 3, 2022, our board of directors authorized a program to repurchase up to $75.0 million of shares of our common stock from time to time through open-market transactions, privately negotiated transactions, accelerated share repurchases, and other transactions in accordance with applicable security laws. The program expires on September 30, 2023 and can be discontinued at any time. During the three months ended June 30, 2022, we repurchased $26.9 million, or 2.7 million shares, of our common stock on the open market under this program. During the six months ended June 30, 2022, we repurchased $31.0 million, or 3.1 million shares, of our common stock on the open market under this program. Shares purchased pursuant to the program are recorded as treasury stock at cost in the Consolidated Balance Sheets. As of June 30, 2022, approximately $44.0 million of the amount authorized by the board under the current program remained available for additional purchases.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56" w:lineRule="exact"/>
        <w:rPr>
          <w:sz w:val="20"/>
          <w:szCs w:val="20"/>
          <w:color w:val="auto"/>
        </w:rPr>
      </w:pPr>
    </w:p>
    <w:p>
      <w:pPr>
        <w:ind w:right="460" w:firstLine="486"/>
        <w:spacing w:after="0" w:line="276" w:lineRule="auto"/>
        <w:rPr>
          <w:sz w:val="20"/>
          <w:szCs w:val="20"/>
          <w:color w:val="auto"/>
        </w:rPr>
      </w:pPr>
      <w:r>
        <w:rPr>
          <w:rFonts w:ascii="Times New Roman" w:cs="Times New Roman" w:eastAsia="Times New Roman" w:hAnsi="Times New Roman"/>
          <w:sz w:val="17"/>
          <w:szCs w:val="17"/>
          <w:color w:val="auto"/>
        </w:rPr>
        <w:t>On April 21, 2022, the Board of Directors approved a proposed amendment to the Rackspace Technology, Inc. 2020 Equity Incentive Plan (the “2020 Incentive Plan”) to increase the maximum number of shares of our common stock available for issuance under the 2020 Incentive Plan from</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25.0 million shares to 50.0 million shares, subject to stockholder approval. The proposed amendment was subsequently approved by our stockholders as part of the 2022 Annual Meeting of Stockholders held on June 10, 2022.</w:t>
      </w:r>
    </w:p>
    <w:p>
      <w:pPr>
        <w:spacing w:after="0" w:line="208"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granted 7.8 million restricted stock units ("RSUs") under the 2020 Incentive Plan with a weighted-average grant date fair value of $11.13. The majority of the RSUs were granted as part of our annual compensation award process and vest ratably over a three-year period, subject to continued service.</w:t>
      </w:r>
    </w:p>
    <w:p>
      <w:pPr>
        <w:spacing w:after="0" w:line="20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Of those awards granted during the six months ended June 30, 2022, 1.2 million were performance stock units ("PSUs") granted under the 2020 Incentive Plan with a weighted-average grant date fair value of $11.70. These PSUs represent the target amount of grants, and the actual number of shares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Share-based compensation expense recognized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Pre-tax share-based compensation expense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3"/>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Income tax benefit</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7"/>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 net of tax</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2022, there was $160.3 million of total unrecognized compensation cost related to stock options, RSUs, PSUs, and the ESPP, which will be recognized using the service period or over our best estimate of the period over which the performance condition will be met, as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Taxes</w:t>
      </w:r>
    </w:p>
    <w:p>
      <w:pPr>
        <w:spacing w:after="0" w:line="229"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June 30, 2022, our effective tax rate is higher than the U.S. federal statutory rate of 21% due to the net impact of the geographic distribution of our earnings and the application of the global intangible low-taxed income (“GILTI”) provisions that were implemented with the Tax Cuts and Jobs Act</w:t>
      </w:r>
    </w:p>
    <w:p>
      <w:pPr>
        <w:spacing w:after="0" w:line="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“Act”) that was passed on December 22, 2017. For the six months ended June 30, 2022, our effective tax rate is lower than the U.S. federal statutory rate of 21% due to the geographic distribution of our earnings, tax effects from share-based compensation and executive compensation that is nondeductible under Internal Revenue Code ("IRC") Section 162(m).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Derivatives</w:t>
      </w:r>
    </w:p>
    <w:p>
      <w:pPr>
        <w:spacing w:after="0" w:line="256"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56" w:lineRule="exact"/>
        <w:rPr>
          <w:sz w:val="20"/>
          <w:szCs w:val="20"/>
          <w:color w:val="auto"/>
        </w:rPr>
      </w:pPr>
    </w:p>
    <w:p>
      <w:pPr>
        <w:ind w:right="500" w:firstLine="486"/>
        <w:spacing w:after="0" w:line="281" w:lineRule="auto"/>
        <w:rPr>
          <w:sz w:val="20"/>
          <w:szCs w:val="20"/>
          <w:color w:val="auto"/>
        </w:rPr>
      </w:pPr>
      <w:r>
        <w:rPr>
          <w:rFonts w:ascii="Times New Roman" w:cs="Times New Roman" w:eastAsia="Times New Roman" w:hAnsi="Times New Roman"/>
          <w:sz w:val="17"/>
          <w:szCs w:val="17"/>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9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On a quarterly basis, we net settle with the counterparty for the difference between the fixed rate specified in each swap agreement and the variable rate based upon the three-month LIBOR as applied to the notional amount of the swap.</w:t>
      </w:r>
    </w:p>
    <w:p>
      <w:pPr>
        <w:spacing w:after="0" w:line="18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(loss)" in the Consolidated Balance Sheets and reclassified to "Interest expense" in the period when the underlying transaction affects earnings. The income tax effects of cash flow hedges are released from "Accumulated other comprehensive income (loss)" in the period when the underlying transaction affects earnings. Any stranded income tax effects are released from “Accumulated other comprehensive income (loss)” into “Benefit (provision) for income taxes” under the portfolio approach.</w:t>
      </w:r>
    </w:p>
    <w:p>
      <w:pPr>
        <w:spacing w:after="0" w:line="21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the remaining two December 2016 swaps, and (iii) on February 12, 2021, we terminated all December 2018 swaps and entered into a</w:t>
      </w:r>
    </w:p>
    <w:p>
      <w:pPr>
        <w:spacing w:after="0" w:line="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$1.35 billion pay-fixed interest rate swap, effectively blending the liability position of our existing interest rate swap agreements into the new swap and extending the term of our hedged position to February 2026.</w:t>
      </w:r>
    </w:p>
    <w:p>
      <w:pPr>
        <w:spacing w:after="0" w:line="20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amount remaining in “Accumulated other comprehensive income (loss)" for the de-designated December 2016 and December 2018 swaps at the de-designation date was approximately $51.6 million, and will be amortized as an increase to "Interest expense" over the effective period of the original swap agreements.</w:t>
      </w:r>
    </w:p>
    <w:p>
      <w:pPr>
        <w:spacing w:after="0" w:line="20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new receive-fixed interest rate swap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derivative for which the fair value option has been elected. This $900.0 million swap will remain undesignated to economically offset the now undesignated December 2016 swaps. This new swap and the December 2016 swaps matured on February 3, 2022. Cash settlements related to this receive-fixed interest rate swap will offset and are classified as operating activities in the Consolidated Statements of Cash Flows.</w:t>
      </w:r>
    </w:p>
    <w:p>
      <w:pPr>
        <w:spacing w:after="0" w:line="20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new pay-fixed interest rate swap also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at-market derivative that was designated as a cash flow hedge. The loan is accounted for at amortized cost over the life of the swap while the embedded at-market derivative is accounted for at fair value. This new $1.35 billion swap is indexed to three-month LIBOR and will be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Consolidated Statements of Cash Flows while the portion treated as an at-market derivative will be classified as operating activities.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2021 and June 30, 2022, the cash flow hedge was highly effective.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interest rate swaps are presented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2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Fixed Rate Paid</w:t>
            </w:r>
          </w:p>
        </w:tc>
        <w:tc>
          <w:tcPr>
            <w:tcW w:w="15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1920" w:type="dxa"/>
            <w:vAlign w:val="bottom"/>
            <w:gridSpan w:val="4"/>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22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08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2017</w:t>
            </w:r>
          </w:p>
        </w:tc>
        <w:tc>
          <w:tcPr>
            <w:tcW w:w="11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1.9040%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Active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Matured</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2022</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2017</w:t>
            </w:r>
          </w:p>
        </w:tc>
        <w:tc>
          <w:tcPr>
            <w:tcW w:w="11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1.9040%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Active</w:t>
            </w: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w w:val="99"/>
              </w:rPr>
              <w:t>Matured</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3, 2022</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Entered into December 2018:</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2019</w:t>
            </w:r>
          </w:p>
        </w:tc>
        <w:tc>
          <w:tcPr>
            <w:tcW w:w="11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2.7490%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Terminated</w:t>
            </w:r>
          </w:p>
        </w:tc>
        <w:tc>
          <w:tcPr>
            <w:tcW w:w="300" w:type="dxa"/>
            <w:vAlign w:val="bottom"/>
          </w:tcPr>
          <w:p>
            <w:pPr>
              <w:spacing w:after="0"/>
              <w:rPr>
                <w:sz w:val="17"/>
                <w:szCs w:val="17"/>
                <w:color w:val="auto"/>
              </w:rPr>
            </w:pP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Terminated</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2020</w:t>
            </w:r>
          </w:p>
        </w:tc>
        <w:tc>
          <w:tcPr>
            <w:tcW w:w="11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2.7350%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Terminated</w:t>
            </w: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Terminated</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2021</w:t>
            </w:r>
          </w:p>
        </w:tc>
        <w:tc>
          <w:tcPr>
            <w:tcW w:w="11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2.7360%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Terminated</w:t>
            </w:r>
          </w:p>
        </w:tc>
        <w:tc>
          <w:tcPr>
            <w:tcW w:w="300" w:type="dxa"/>
            <w:vAlign w:val="bottom"/>
          </w:tcPr>
          <w:p>
            <w:pPr>
              <w:spacing w:after="0"/>
              <w:rPr>
                <w:sz w:val="18"/>
                <w:szCs w:val="18"/>
                <w:color w:val="auto"/>
              </w:rPr>
            </w:pP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Terminated</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2022</w:t>
            </w:r>
          </w:p>
        </w:tc>
        <w:tc>
          <w:tcPr>
            <w:tcW w:w="11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2.7800%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Terminated</w:t>
            </w: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Terminated</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3, 2023</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Entered into February 2021:</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2021</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(1.9040)%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Active</w:t>
            </w:r>
          </w:p>
        </w:tc>
        <w:tc>
          <w:tcPr>
            <w:tcW w:w="300" w:type="dxa"/>
            <w:vAlign w:val="bottom"/>
          </w:tcPr>
          <w:p>
            <w:pPr>
              <w:spacing w:after="0"/>
              <w:rPr>
                <w:sz w:val="17"/>
                <w:szCs w:val="17"/>
                <w:color w:val="auto"/>
              </w:rPr>
            </w:pP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Matured</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2022</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9, 2021</w:t>
            </w:r>
          </w:p>
        </w:tc>
        <w:tc>
          <w:tcPr>
            <w:tcW w:w="11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2.3820%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Active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w w:val="98"/>
              </w:rPr>
              <w:t>Active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2026</w:t>
            </w:r>
          </w:p>
        </w:tc>
        <w:tc>
          <w:tcPr>
            <w:tcW w:w="0" w:type="dxa"/>
            <w:vAlign w:val="bottom"/>
          </w:tcPr>
          <w:p>
            <w:pPr>
              <w:spacing w:after="0"/>
              <w:rPr>
                <w:sz w:val="1"/>
                <w:szCs w:val="1"/>
                <w:color w:val="auto"/>
              </w:rPr>
            </w:pPr>
          </w:p>
        </w:tc>
      </w:tr>
      <w:tr>
        <w:trPr>
          <w:trHeight w:val="212"/>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Total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Our interest rate swap agreements,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 on the Consolidated Balance Sheets</w:t>
      </w:r>
    </w:p>
    <w:p>
      <w:pPr>
        <w:spacing w:after="0" w:line="256"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fair values of our derivatives and their location on the Consolidated Balance Sheets as of December 31, 2021 and June 30, 2022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46"/>
        </w:trPr>
        <w:tc>
          <w:tcPr>
            <w:tcW w:w="248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6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line="218" w:lineRule="exact"/>
              <w:rPr>
                <w:sz w:val="20"/>
                <w:szCs w:val="20"/>
                <w:color w:val="auto"/>
              </w:rPr>
            </w:pPr>
            <w:r>
              <w:rPr>
                <w:rFonts w:ascii="Times New Roman" w:cs="Times New Roman" w:eastAsia="Times New Roman" w:hAnsi="Times New Roman"/>
                <w:sz w:val="16"/>
                <w:szCs w:val="16"/>
                <w:color w:val="auto"/>
              </w:rPr>
              <w:t xml:space="preserve">Other current assets </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4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4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6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64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Other current liabilities </w:t>
            </w:r>
            <w:r>
              <w:rPr>
                <w:rFonts w:ascii="Times New Roman" w:cs="Times New Roman" w:eastAsia="Times New Roman" w:hAnsi="Times New Roman"/>
                <w:sz w:val="21"/>
                <w:szCs w:val="21"/>
                <w:color w:val="auto"/>
                <w:vertAlign w:val="superscript"/>
              </w:rPr>
              <w:t>(2)</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Other non-current liabilities </w:t>
            </w:r>
            <w:r>
              <w:rPr>
                <w:rFonts w:ascii="Times New Roman" w:cs="Times New Roman" w:eastAsia="Times New Roman" w:hAnsi="Times New Roman"/>
                <w:sz w:val="21"/>
                <w:szCs w:val="21"/>
                <w:color w:val="auto"/>
                <w:vertAlign w:val="superscript"/>
              </w:rPr>
              <w:t>(3)</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0"/>
        </w:trPr>
        <w:tc>
          <w:tcPr>
            <w:tcW w:w="2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entire balance as of December 31, 2021 is comprised of the receive-fixed interest rate swap for which the fair value option has been elected.</w:t>
      </w:r>
    </w:p>
    <w:p>
      <w:pPr>
        <w:spacing w:after="0" w:line="23"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as of December 31, 2021 and June 30, 2022 includes $17.2 million and $17.3 million, respectively, related to the financing component of the pay-fixed</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interest rate swap.</w:t>
      </w:r>
    </w:p>
    <w:p>
      <w:pPr>
        <w:spacing w:after="0" w:line="15"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entire balance is comprised of the financing component of the pay-fixed interest rate swap.</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3"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Net Amounts</w:t>
            </w: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Derivatives on the Consolidated Statements of Comprehensive Loss</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effect of our derivatives and their location on the Consolidated Statements of Comprehensive Loss for the three and six months ended June 30, 2021 and 2022 was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0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46"/>
        </w:trPr>
        <w:tc>
          <w:tcPr>
            <w:tcW w:w="21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24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Foreign currency contracts </w:t>
            </w:r>
            <w:r>
              <w:rPr>
                <w:rFonts w:ascii="Times New Roman" w:cs="Times New Roman" w:eastAsia="Times New Roman" w:hAnsi="Times New Roman"/>
                <w:sz w:val="21"/>
                <w:szCs w:val="21"/>
                <w:color w:val="auto"/>
                <w:vertAlign w:val="superscript"/>
              </w:rPr>
              <w:t>(1)</w:t>
            </w:r>
          </w:p>
        </w:tc>
        <w:tc>
          <w:tcPr>
            <w:tcW w:w="2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4"/>
        </w:trPr>
        <w:tc>
          <w:tcPr>
            <w:tcW w:w="214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Derivatives designated as</w:t>
            </w:r>
          </w:p>
        </w:tc>
        <w:tc>
          <w:tcPr>
            <w:tcW w:w="24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2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hanging="492"/>
        <w:spacing w:after="0" w:line="280" w:lineRule="auto"/>
        <w:tabs>
          <w:tab w:leader="none" w:pos="37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two foreign currency forward contracts settled on November 30, 2021. As of December 31, 2021 and June 30, 2022, we do not have any outstanding foreign currency hedging contracts.</w:t>
      </w:r>
    </w:p>
    <w:p>
      <w:pPr>
        <w:spacing w:after="0" w:line="18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Interest expense was $50.5 million for both the three months ended June 30, 2021 and 2022, and $103.1 million and $100.6 million for the six months ended June 30, 2021 and 2022, respectively. As of June 30, 2022, the amount of cash flow hedge gain included within "Accumulated other comprehensive income (loss)" that is expected to be reclassified as a reduction to "Interest expense" over the next 12 months is approximately $8.6 million. See Note 13, "Accumulated Other Comprehensive Income (Loss)," for information regarding changes in fair value of our derivatives designated as hedging instruments.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Credit-risk-related Contingent Features</w:t>
      </w:r>
    </w:p>
    <w:p>
      <w:pPr>
        <w:spacing w:after="0" w:line="25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have agreements with interest rate swap counterparties that contain a provision whereby if we default on any of our material indebtedness, then we could also be declared in default of our interest rate swap agreements. As of June 30, 2022, our outstanding interest rate swap agreement was in a net asset position.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 (Loss)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 (loss)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 Loss on</w:t>
            </w:r>
          </w:p>
        </w:tc>
        <w:tc>
          <w:tcPr>
            <w:tcW w:w="240" w:type="dxa"/>
            <w:vAlign w:val="bottom"/>
          </w:tcPr>
          <w:p>
            <w:pPr>
              <w:spacing w:after="0"/>
              <w:rPr>
                <w:sz w:val="16"/>
                <w:szCs w:val="16"/>
                <w:color w:val="auto"/>
              </w:rPr>
            </w:pPr>
          </w:p>
        </w:tc>
        <w:tc>
          <w:tcPr>
            <w:tcW w:w="19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240" w:type="dxa"/>
            <w:vAlign w:val="bottom"/>
          </w:tcPr>
          <w:p>
            <w:pPr>
              <w:spacing w:after="0"/>
              <w:rPr>
                <w:sz w:val="18"/>
                <w:szCs w:val="18"/>
                <w:color w:val="auto"/>
              </w:rPr>
            </w:pPr>
          </w:p>
        </w:tc>
        <w:tc>
          <w:tcPr>
            <w:tcW w:w="19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center"/>
              <w:ind w:left="145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$0.2</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900" w:type="dxa"/>
            <w:vAlign w:val="bottom"/>
          </w:tcPr>
          <w:p>
            <w:pPr>
              <w:jc w:val="center"/>
              <w:ind w:left="1499"/>
              <w:spacing w:after="0"/>
              <w:rPr>
                <w:sz w:val="20"/>
                <w:szCs w:val="20"/>
                <w:color w:val="auto"/>
              </w:rPr>
            </w:pPr>
            <w:r>
              <w:rPr>
                <w:rFonts w:ascii="Times New Roman" w:cs="Times New Roman" w:eastAsia="Times New Roman" w:hAnsi="Times New Roman"/>
                <w:sz w:val="16"/>
                <w:szCs w:val="16"/>
                <w:color w:val="auto"/>
                <w:w w:val="99"/>
              </w:rPr>
              <w:t>2.7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loss on derivative contracts, net of tax benefit of $2.0</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45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center"/>
              <w:ind w:left="1499"/>
              <w:spacing w:after="0"/>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(loss) into earnings, net of tax benefit of $1.5</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center"/>
              <w:ind w:left="145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500" w:right="160" w:hanging="492"/>
        <w:spacing w:after="0" w:line="280" w:lineRule="auto"/>
        <w:tabs>
          <w:tab w:leader="none" w:pos="40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expense recognized of $1.2 million and amortization of off-market swap value and accumulated loss at hedge de-designation of $4.8 million for the three months ended June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 Loss on</w:t>
            </w:r>
          </w:p>
        </w:tc>
        <w:tc>
          <w:tcPr>
            <w:tcW w:w="240" w:type="dxa"/>
            <w:vAlign w:val="bottom"/>
          </w:tcPr>
          <w:p>
            <w:pPr>
              <w:spacing w:after="0"/>
              <w:rPr>
                <w:sz w:val="16"/>
                <w:szCs w:val="16"/>
                <w:color w:val="auto"/>
              </w:rPr>
            </w:pPr>
          </w:p>
        </w:tc>
        <w:tc>
          <w:tcPr>
            <w:tcW w:w="1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240" w:type="dxa"/>
            <w:vAlign w:val="bottom"/>
          </w:tcPr>
          <w:p>
            <w:pPr>
              <w:spacing w:after="0"/>
              <w:rPr>
                <w:sz w:val="18"/>
                <w:szCs w:val="18"/>
                <w:color w:val="auto"/>
              </w:rPr>
            </w:pPr>
          </w:p>
        </w:tc>
        <w:tc>
          <w:tcPr>
            <w:tcW w:w="1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$0.3</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$1.2</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benefit of $2.9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500" w:right="160" w:hanging="492"/>
        <w:spacing w:after="0" w:line="288" w:lineRule="auto"/>
        <w:tabs>
          <w:tab w:leader="none" w:pos="4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interest expense recognized of $4.0 million and amortization of off-market swap value and accumulated loss at hedge de-designation of $7.4 million for the </w:t>
      </w:r>
      <w:r>
        <w:rPr>
          <w:rFonts w:ascii="Times New Roman" w:cs="Times New Roman" w:eastAsia="Times New Roman" w:hAnsi="Times New Roman"/>
          <w:sz w:val="17"/>
          <w:szCs w:val="17"/>
          <w:color w:val="auto"/>
        </w:rPr>
        <w:t xml:space="preserve">six </w:t>
      </w:r>
      <w:r>
        <w:rPr>
          <w:rFonts w:ascii="Times New Roman" w:cs="Times New Roman" w:eastAsia="Times New Roman" w:hAnsi="Times New Roman"/>
          <w:sz w:val="16"/>
          <w:szCs w:val="16"/>
          <w:color w:val="auto"/>
        </w:rPr>
        <w:t>months ended June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benefit of $1.5</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$3.8</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benefit of $1.2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amortization of off-market swap value and accumulated loss at hedge de-designation of $4.6 million for the three months ended June 30, 2022.</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8"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Gain (Loss)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benefit of $2.2</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$18.4</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benefit of $2.7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500" w:right="160" w:hanging="492"/>
        <w:spacing w:after="0" w:line="288" w:lineRule="auto"/>
        <w:tabs>
          <w:tab w:leader="none" w:pos="40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interest expense recognized of $1.2 million and amortization of off-market swap value and accumulated loss at hedge de-designation of $9.2 million for the </w:t>
      </w:r>
      <w:r>
        <w:rPr>
          <w:rFonts w:ascii="Times New Roman" w:cs="Times New Roman" w:eastAsia="Times New Roman" w:hAnsi="Times New Roman"/>
          <w:sz w:val="17"/>
          <w:szCs w:val="17"/>
          <w:color w:val="auto"/>
        </w:rPr>
        <w:t xml:space="preserve">six </w:t>
      </w:r>
      <w:r>
        <w:rPr>
          <w:rFonts w:ascii="Times New Roman" w:cs="Times New Roman" w:eastAsia="Times New Roman" w:hAnsi="Times New Roman"/>
          <w:sz w:val="16"/>
          <w:szCs w:val="16"/>
          <w:color w:val="auto"/>
        </w:rPr>
        <w:t>months ended June 30,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5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Affiliates of ABRY Partners, LLC and ABRY Partners II, LLC (collectively, “ABRY”), are Term Loan Facility lenders under the First Lien Credit Agreement. As of June 30, 2022, the outstanding principal amount of the Term Loan Facility was $2,271.3 million, of which $56.3 million, or 2.5%, is due to ABRY affiliates. Investment funds affiliated with ABRY are also co-investors in Rackspace Technology.</w:t>
      </w:r>
    </w:p>
    <w:p>
      <w:pPr>
        <w:spacing w:after="0" w:line="203" w:lineRule="exact"/>
        <w:rPr>
          <w:sz w:val="20"/>
          <w:szCs w:val="20"/>
          <w:color w:val="auto"/>
        </w:rPr>
      </w:pPr>
    </w:p>
    <w:p>
      <w:pPr>
        <w:jc w:val="both"/>
        <w:ind w:right="120" w:firstLine="486"/>
        <w:spacing w:after="0" w:line="312" w:lineRule="auto"/>
        <w:rPr>
          <w:sz w:val="20"/>
          <w:szCs w:val="20"/>
          <w:color w:val="auto"/>
        </w:rPr>
      </w:pPr>
      <w:r>
        <w:rPr>
          <w:rFonts w:ascii="Times New Roman" w:cs="Times New Roman" w:eastAsia="Times New Roman" w:hAnsi="Times New Roman"/>
          <w:sz w:val="17"/>
          <w:szCs w:val="17"/>
          <w:color w:val="auto"/>
        </w:rPr>
        <w:t>Apollo Global Securities, LLC, an affiliate of Apollo, received $0.6 million in connection with their role as an initial purchaser of the 3.50% Senior Secured Notes issued on February 9, 2021 and $2.3 million in arranger fees in connection with the entry into the Term Loan Facility on February 9, 2021.</w:t>
      </w:r>
    </w:p>
    <w:p>
      <w:pPr>
        <w:spacing w:after="0" w:line="16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On February 2, 2021, we issued 2,665,935 shares of common stock to DPH 123, LLC, an ABRY affiliate, for no additional consideration pursuant to the Agreement and Plan of Merger, dated as of September 6, 2017, in connection with our November 15, 2017 acquisition of Datapipe Parent,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5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gross profit. For the calculation of segment gross profit, we allocate certain costs, such as data center operating costs, customer support costs, license expense, and depreciation, to our segments generally based on segment revenue.</w:t>
      </w:r>
    </w:p>
    <w:p>
      <w:pPr>
        <w:spacing w:after="0" w:line="214"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revenue by reportable segment to consolidated revenue and a reconciliation of consolidated segment gross profit to consolidated loss before income taxes for the three and six months ended June 30, 2021 and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 by segment: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Multicloud Services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1,273.4</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Apps &amp; Cross Platform</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OpenStack Public Cloud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37"/>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consolidated revenue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Segment gross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Multicloud Services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Apps &amp; Cross Platform</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OpenStack Public Cloud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segment gross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compensation expense </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45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Purchase accounting impact on expense </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(3)</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land</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investments, net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modification and extinguishment costs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37"/>
        </w:trPr>
        <w:tc>
          <w:tcPr>
            <w:tcW w:w="4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consolidated loss before income taxes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20" w:hanging="492"/>
        <w:spacing w:after="0" w:line="267" w:lineRule="auto"/>
        <w:tabs>
          <w:tab w:leader="none" w:pos="38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ind w:left="360" w:hanging="352"/>
        <w:spacing w:after="0"/>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purchase accounting from the Rackspace Acquisition on expenses.</w:t>
      </w:r>
    </w:p>
    <w:p>
      <w:pPr>
        <w:spacing w:after="0" w:line="5" w:lineRule="exact"/>
        <w:rPr>
          <w:rFonts w:ascii="Times New Roman" w:cs="Times New Roman" w:eastAsia="Times New Roman" w:hAnsi="Times New Roman"/>
          <w:sz w:val="16"/>
          <w:szCs w:val="16"/>
          <w:color w:val="auto"/>
        </w:rPr>
      </w:pPr>
    </w:p>
    <w:p>
      <w:pPr>
        <w:ind w:left="500" w:hanging="492"/>
        <w:spacing w:after="0" w:line="260" w:lineRule="auto"/>
        <w:tabs>
          <w:tab w:leader="none" w:pos="36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3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consolidated financial statements and the related notes included elsewhere in this Quarterly Report on Form 10-Q (this "Quarterly Report") and with the audited consolidated financial statements and the related notes included in our Annual Report. References to “Rackspace Technology,” “we,” “our company,” “the company,” “us,” or “our” refer to Rackspace Technology, Inc. and its consolidated subsidiaries.</w:t>
      </w:r>
    </w:p>
    <w:p>
      <w:pPr>
        <w:spacing w:after="0" w:line="210"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0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1 of Part I, Financial Statements - Note 15,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221" w:lineRule="exact"/>
        <w:rPr>
          <w:sz w:val="20"/>
          <w:szCs w:val="20"/>
          <w:color w:val="auto"/>
        </w:rPr>
      </w:pPr>
    </w:p>
    <w:p>
      <w:pPr>
        <w:ind w:right="60" w:firstLine="486"/>
        <w:spacing w:after="0" w:line="270" w:lineRule="auto"/>
        <w:rPr>
          <w:sz w:val="20"/>
          <w:szCs w:val="20"/>
          <w:color w:val="auto"/>
        </w:rPr>
      </w:pPr>
      <w:r>
        <w:rPr>
          <w:rFonts w:ascii="Times New Roman" w:cs="Times New Roman" w:eastAsia="Times New Roman" w:hAnsi="Times New Roman"/>
          <w:sz w:val="17"/>
          <w:szCs w:val="17"/>
          <w:color w:val="auto"/>
        </w:rPr>
        <w:t xml:space="preserve">On July 21, 2021, we committed to an internal restructuring plan (the "July 2021 Restructuring Plan"), to drive a change in the type and location of certain positions that was expected to result in the termination of approximately 10% of our workforce. We recorded total charges of $1.0 million and $4.2 million for the </w:t>
      </w:r>
      <w:r>
        <w:rPr>
          <w:rFonts w:ascii="Times New Roman" w:cs="Times New Roman" w:eastAsia="Times New Roman" w:hAnsi="Times New Roman"/>
          <w:sz w:val="15"/>
          <w:szCs w:val="15"/>
          <w:color w:val="auto"/>
        </w:rPr>
        <w:t>three</w:t>
      </w:r>
      <w:r>
        <w:rPr>
          <w:rFonts w:ascii="Times New Roman" w:cs="Times New Roman" w:eastAsia="Times New Roman" w:hAnsi="Times New Roman"/>
          <w:sz w:val="17"/>
          <w:szCs w:val="17"/>
          <w:color w:val="auto"/>
        </w:rPr>
        <w:t xml:space="preserve"> and six months ended June 30, 2022, respectively, related to this restructuring plan which are not accounted for as exit and disposal costs under ASC 420, consisting primarily of one-time offshore build out costs. During the three and six months ended June 30, 2021, we incurred</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$6.4 million of costs which were accounted for as exit and disposal costs under ASC 420. These costs included $2.5 million of employee related costs which consisted of one-time termination benefits and certain contractual termination benefits with executives. The $3.9 million of other costs consisted of professional fees and non-cash charges related to a contract termination with a third-party. We expect to incur additional expenses of approximately $1 million throughout the remainder of 2022. We expect to realize approximately $95 to $100 million in gross annual savings compared to expense levels prior to the commencement of the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Evaluating Strategic Alternatives</w:t>
      </w:r>
    </w:p>
    <w:p>
      <w:pPr>
        <w:spacing w:after="0" w:line="256" w:lineRule="exact"/>
        <w:rPr>
          <w:sz w:val="20"/>
          <w:szCs w:val="20"/>
          <w:color w:val="auto"/>
        </w:rPr>
      </w:pPr>
    </w:p>
    <w:p>
      <w:pPr>
        <w:jc w:val="both"/>
        <w:ind w:right="180" w:firstLine="486"/>
        <w:spacing w:after="0" w:line="258" w:lineRule="auto"/>
        <w:rPr>
          <w:sz w:val="20"/>
          <w:szCs w:val="20"/>
          <w:color w:val="auto"/>
        </w:rPr>
      </w:pPr>
      <w:r>
        <w:rPr>
          <w:rFonts w:ascii="Times New Roman" w:cs="Times New Roman" w:eastAsia="Times New Roman" w:hAnsi="Times New Roman"/>
          <w:sz w:val="18"/>
          <w:szCs w:val="18"/>
          <w:color w:val="auto"/>
        </w:rPr>
        <w:t>On May 10, 2022, we announced that following a recently completed in-depth strategic review and evaluation of various strategic options for our businesses, and also based on inbound interest for one of our product lines, we had concluded that a sum of the parts valuation of Rackspace Technology could be greater than our current enterprise value. This is in part driven by the attractive growth profile of Public Cloud. Accordingly, we are evaluating strategic alternatives and other options. We intend to provide further information as appropriate in light of developments. There can be no assurance that this evaluation will lead to any particular outcome or a change in our business as currently conducted.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5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effects of COVID-19 and its variants continue to evolve, and the full impact and duration of the virus are unknown. Managing COVID-19 continues to severely impact healthcare systems and businesses worldwide. The effects of COVID-19 and its variants and the response to the virus have negatively impacted overall economic conditions. To date, COVID-19 and its variants have not adversely affected our results of operations or financial condition in any material respect. However, there are remaining uncertainties as a result of COVID-19, particularly the possibility of new variant strain(s) of the virus, the potential resurgence in the spread of the virus and the pace of economic recovery. The full extent to which COVID-19 and its variants may impact our financial condition or results of operations over the medium to long term, therefore, remains uncertain. Due to our recurring revenue business model, the effect of COVID-19 and its variants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Russia and Ukraine Conflict</w:t>
      </w:r>
    </w:p>
    <w:p>
      <w:pPr>
        <w:spacing w:after="0" w:line="25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Political and economic uncertainty surrounding the Russian conflict in Ukraine could have a material adverse effect on our business. Currently, the conflict has not had a significant impact on our operations or financial performance. However, our overall performance depends in part on worldwide economic and geopolitical conditions. We are monitoring the situation and the potential for the conflict to spread to other countries which could adversely impact our customers and operations, and we may take actions that modify our business operations as may be required by federal, state or local authorities, or that we determine are in the best interests of our employees, customers, partners, suppliers and stockholders.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Differentiating Our Service Offerings in a Competitive Market Environment</w:t>
      </w:r>
    </w:p>
    <w:p>
      <w:pPr>
        <w:spacing w:after="0" w:line="25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Amazon Web Services ("AWS"), Microsoft Azure, Google Cloud, Oracle, SAP and VMware. We believe we are unique in our ability to serve customers across major technology stacks and deployment options, all while delivering a Fanatical Customer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 and Retention</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Mix Shift</w:t>
      </w:r>
    </w:p>
    <w:p>
      <w:pPr>
        <w:spacing w:after="0" w:line="25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mix of revenue within our Multicloud Services segment has shifted in recent years, from mature offerings such as managed hosting and colocation to managed public cloud services. Since the mature offerings are hosted on our own infrastructure, these offerings carry a higher gross margin, but also a higher burden on the company for operating expenses and capital expenditures. Conversely, as managed public cloud services are hosted on third-party infrastructure, these services carry a lower gross margin, but also a correspondingly lower operating expense and capital expenditure burdens. As a result, despite the difference in gross margins between the mature offerings and the growth offerings, the operating margins for the different classes of offerings are relatively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in Capital Intensity</w:t>
      </w:r>
    </w:p>
    <w:p>
      <w:pPr>
        <w:spacing w:after="0" w:line="25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recent years, the mix of our consolidated revenues has shifted from high capital intensity service offerings to low capital intensity service offerings and we expect this mix shift to continue. Historically, we primarily offered managed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managed public cloud services, application services and professional services, which have significantly lower success-based capital requirements because they allow us to leverage our partners’ infrastructure or technology to make our capital expenditures more efficient. As a result, we have recently experienced and expect to continue to experience changes in our capital expenditures requirements.</w:t>
      </w:r>
    </w:p>
    <w:p>
      <w:pPr>
        <w:spacing w:after="0" w:line="21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capital expenditures equaled 11% and 5% of our revenue for the three months ended June 30, 2021 and 2022, respectively, and 10% and 4% of our revenue for the six months ended June 30, 2021 and 2022, respectively. While there is some variability in capital expenditures from quarter to quarter due to timing of purchases, we expect to maintain current capex intensity levels over the longer term.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5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ability to be successful and to execute on our strategies depends on our ability to hire and retain qualified employees. Like others in our industry, we are realizing higher than historical levels of voluntary attrition. As a result, we are accelerating our best shoring efforts and expanding the geographic reach of our recruiting pool. The company continues to enhance and develop programs to attract, retain and develop top talent.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Components of Statement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24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SG&amp;A also includes transaction costs related to acquisitions and financings along with costs related to integration and business transformation initiatives which may impact the comparability of SG&amp;A between periods. Employee related costs and other costs incurred, as discussed in Item 1 of Part I, Financial Statements - Note 8, "July 2021 Restructuring Plan," are also included within SG&amp;A.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income tax benefit (provision) and deferred tax assets and liabilities reflect management’s best assessment of estimated current and future taxes to be paid.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11,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discuss our historical results of operations, and the key components of those results, below. Past financial results are not necessarily indicative of future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2021 Compared to Three Months Ended June 30, 2022</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3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37.9 %</w:t>
            </w: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modification and extinguishment costs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Revenue increased $28 million, or 3.8%, to $772 million in the three months ended June 30, 2022 from $744 million in the three months ended June 30, 2021. Revenue was positively impacted by new customer acquisition and growing customer spend in our Multicloud Services and Apps &amp; Cross Platform segments, as discussed below.</w:t>
      </w:r>
    </w:p>
    <w:p>
      <w:pPr>
        <w:spacing w:after="0" w:line="203"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of foreign currency fluctuations, on a constant currency basis, revenue increased 5.2% year-over-year. The following table presents revenue growth by segment: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2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(1)</w:t>
            </w: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Multicloud Services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Apps &amp; Cross Platform</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12"/>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OpenStack Public Cloud</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37"/>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9"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Multicloud Services revenue in the three months ended June 30, 2022 increased 5% on an actual basis, and 6% on a constant currency basis, from the three months ended June 30, 2021. Underlying growth was driven by both the acquisition of new customers and increased spend by existing customers, partially offset by cancellations by existing customers. Offerings in this segment with the strongest growth include managed public cloud services on AWS, Microsoft Azure and Google Cloud, and Rackspace Services for VMware Cloud.</w:t>
      </w:r>
    </w:p>
    <w:p>
      <w:pPr>
        <w:spacing w:after="0" w:line="20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Apps &amp; Cross Platform revenue in the three months ended June 30, 2022 increased 8% on an actual basis, and 9% on a constant currency basis, from the three months ended June 30, 2021, driven by growth in professional services across our SaaS applications and data services offerings.</w:t>
      </w:r>
    </w:p>
    <w:p>
      <w:pPr>
        <w:spacing w:after="0" w:line="18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OpenStack Public Cloud revenue in the three months ended June 30, 2022 decreased 16% on an actual basis, and 14% on a constant currency basis, from the three months ended June 30, 2021 due to customer churn.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Cost of revenue increased $40 million, or 8%, to $548 million in the three months ended June 30, 2022 from $508 million in the three months ended June 30, 2021, primarily due to an increase in usage charges for third-party infrastructure associated with growth in these offerings. The increase in third-party infrastructure expense was partially offset by a decline in personnel costs primarily due to cost savings as a result of shifting roles to lower-cost locations as part of our continued focus on business optimization initiatives, including the July 2021 Restructuring Plan. In addition, there were year-over-year data center and license expense reductions as a result of initiatives to lower our cost structure, which included the consolidation of data center facilities and optimizing our vendor license spending.</w:t>
      </w:r>
    </w:p>
    <w:p>
      <w:pPr>
        <w:spacing w:after="0" w:line="214"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As a percentage of revenue, cost of revenue increased 270 basis points in the three months ended June 30, 2022 to 71.0% from 68.3% in the three months ended June 30, 2021, primarily driven by a 710 basis point increase in usage charges for third-party infrastructure, partially offset by a decrease related to personnel costs, data center, and license expense.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Non-GAAP Gross Profit</w:t>
      </w:r>
    </w:p>
    <w:p>
      <w:pPr>
        <w:spacing w:after="0" w:line="24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consolidated gross profit was $224 million in the three months ended June 30, 2022, a decrease of $12 million from $236 million in the three months ended June 30, 2021. Our Non-GAAP Gross Profit was $232 million in the three months ended June 30, 2022, a decrease of $18 million from $250 million in the three months ended June 30, 2021. Non-GAAP Gross Profit is a non-GAAP financial measure.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below for more information. Our consolidated gross margin was 29.0% in the three months ended June 30, 2022, a decrease of 270 basis points from 31.7% in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total consolidated gross profit to Non-GAAP Gross Profit, which represents the total of our individual segment gross profit measures.</w:t>
      </w:r>
    </w:p>
    <w:p>
      <w:pPr>
        <w:spacing w:after="0" w:line="23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gross profit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compensation expense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Purchase accounting impact on expense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(3)</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80" w:right="80" w:hanging="454"/>
        <w:spacing w:after="0" w:line="245"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2"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purchase accounting from the Rackspace Acquisition on expenses.</w:t>
      </w:r>
    </w:p>
    <w:p>
      <w:pPr>
        <w:spacing w:after="0" w:line="59" w:lineRule="exact"/>
        <w:rPr>
          <w:rFonts w:ascii="Times New Roman" w:cs="Times New Roman" w:eastAsia="Times New Roman" w:hAnsi="Times New Roman"/>
          <w:sz w:val="16"/>
          <w:szCs w:val="16"/>
          <w:color w:val="auto"/>
        </w:rPr>
      </w:pPr>
    </w:p>
    <w:p>
      <w:pPr>
        <w:ind w:left="480" w:right="80" w:hanging="454"/>
        <w:spacing w:after="0" w:line="232" w:lineRule="auto"/>
        <w:tabs>
          <w:tab w:leader="none" w:pos="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segment gross profit and gross margin for the periods indicated, and the change in gross profit between periods is shown in the table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gross profit:</w:t>
            </w: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Multicloud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Apps &amp; Cross Platform</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OpenStack Public Cloud</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9"/>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Multicloud Services gross profit decreased 9% in the three months ended June 30, 2022 from the three months ended June 30, 2021. Segment gross profit as a percentage of segment revenue decreased by 450 basis points, reflecting a 12% increase in segment cost of revenue and a 5% increase in segment revenue. The increase in costs was mainly driven by higher third-party infrastructure costs due to the increase in revenue in our growth offerings resulting in a larger proportion of these services within this segment, partially offset by lower personnel, data center, and license expense.</w:t>
      </w:r>
    </w:p>
    <w:p>
      <w:pPr>
        <w:spacing w:after="0" w:line="20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Apps &amp; Cross Platform gross profit increased 11% in the three months ended June 30, 2022 from the three months ended June 30, 2021. Segment gross profit as a percentage of segment revenue increased by 100 basis points, reflecting a 6% increase in segment cost of revenue and an 8% increase in segment revenue. The increase in cost of revenue was primarily driven by the segment’s higher business volume as well as higher third-party infrastructure costs.</w:t>
      </w:r>
    </w:p>
    <w:p>
      <w:pPr>
        <w:spacing w:after="0" w:line="207"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OpenStack Public Cloud gross profit decreased 20% in the three months ended June 30, 2022 from the three months ended June 30, 2021 due to customer churn. Segment gross profit as a percentage of segment revenue decreased by 180 basis points, reflecting a 16% decrease in segment revenue, partially offset by a 13% decrease in segment cost of revenue.</w:t>
      </w:r>
    </w:p>
    <w:p>
      <w:pPr>
        <w:spacing w:after="0" w:line="203"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aggregate amount of costs reflected in consolidated gross profit but excluded from Non-GAAP Gross Profit was $7.7 million in the three months ended June 30, 2022, a decrease of $6.9 million from $14.6 million in the three months ended June 30, 2021, reflecting lower restructuring and transformation expenses, share-based compensation expense, and purchase accounting adjustments.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segment gross profit, see Item 1 of Part I, Financial Statements - Note 15,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$13 million, or 5%, to $220 million in the three months ended June 30, 2022 from $233 million in the three months ended June 30, 2021, due to a decline in personnel costs from cost savings as a result of shifting roles to lower-cost locations as part of our continued focus on business optimization initiatives. We also had lower severance expense, partially offset by higher share-based compensation expense between periods. The prior period also included $6 million of restructuring charges related to the July 2021 Restructuring Plan accounted for as exit and disposal costs under ASC 420. There were also reductions in costs related to other business optimization and integration initiatives compared to the prior period, as well as lower amortization expense related to certain intangible assets reaching the end of their useful life. These reductions in expense were partially offset by increases in expenses for travel and in-person marketing events, as a result of the easing of COVID-19 restrictions.</w:t>
      </w:r>
    </w:p>
    <w:p>
      <w:pPr>
        <w:spacing w:after="0" w:line="21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selling, general and administrative expenses decreased 280 basis points, to 28.5% in the three months ended June 30, 2022 from 31.3% in the three months ended June 30, 2021, for the reasons discussed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 and Extinguishment Costs</w:t>
      </w:r>
    </w:p>
    <w:p>
      <w:pPr>
        <w:spacing w:after="0" w:line="24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recorded $0.5 million of debt modification and extinguishment costs in the three months ended June 30, 2021 related to the termination of the Receivables Financing Facility, as further discussed in Item 1 of Part I, Financial Statements - Note 6,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We had $6 million of other expense in the three months ended June 30, 2022 compared to $1 million of other income in the three months ended June 30, 2021 primarily due to foreign currency transaction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income tax benefit was $12 million in the three months ended June 30, 2022 and $11 million in the three months ended June 30, 2021. Our effective tax rate was 22.9% in the three months ended June 30, 2022 and 23.0% in the three months ended June 30, 2021. The difference between the effective tax rate for the three months ended June 30, 2022 and the statutory rate is primarily due to the geographic distribution of profits and application of the GILTI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2021 Compared to Six Months Ended June 30, 2022</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land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investments, net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modification and extinguishment costs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7"/>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37"/>
        </w:trPr>
        <w:tc>
          <w:tcPr>
            <w:tcW w:w="3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Revenue increased $78 million, or 5.3%, to $1,548 million in the six months ended June 30, 2022 from $1,470 million in the six months ended June 30, 2021. Revenue was positively impacted by new customer acquisition and growing customer spend in our Multicloud Services and Apps &amp; Cross Platform segments, as discussed below.</w:t>
      </w:r>
    </w:p>
    <w:p>
      <w:pPr>
        <w:spacing w:after="0" w:line="20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from foreign currency fluctuations, on a constant currency basis, revenue increased 6.3% year-over-year. The following table presents revenue growth by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(1)</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Multicloud Services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Apps &amp; Cross Platform</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2"/>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Core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OpenStack Public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4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Multicloud Services revenue in the six months ended June 30, 2022 increased 8%, on an actual basis, and 9% on a constant currency basis, from the six months ended June 30, 2021. Underlying growth was driven by both the acquisition of new customers and increased spend by existing customers, partially offset by cancellations by existing customers. Offerings in this segment with the strongest growth include managed public cloud services on AWS, Microsoft Azure and Google Cloud, and Rackspace Services for VMware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Apps &amp; Cross Platform revenue in the six months ended June 30, 2022 increased 3%, on an actual and constant currency basis, from the six months ended June 30, 2021, driven by growth in professional services across our SaaS applications and data services offerings, partially offset by the discontinuation of a non-core line of business in 2021.</w:t>
      </w:r>
    </w:p>
    <w:p>
      <w:pPr>
        <w:spacing w:after="0" w:line="20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OpenStack Public Cloud revenue in the six months ended June 30, 2022 decreased 17% on an actual basis, and 16% on a constant currency basis, from the six months ended June 30, 2021 due to customer churn.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Cost of revenue increased $99 million, or 10%, to $1,098 million in the six months ended June 30, 2022 from $999 million in the six months ended June 30, 2021, primarily due to an increase in usage charges for third-party infrastructure associated with growth in these offerings. The increase in third-party infrastructure expense was partially offset by a decline in personnel costs primarily due to cost savings as a result of shifting roles to lower-cost locations as part of our continued focus on business optimization initiatives, including the July 2021 Restructuring Plan. We also had higher severance and share-based compensation expense in the prior period. In addition, there were year-over-year data center and license expense reductions as a result of initiatives to lower our cost structure, which included the consolidation of data center facilities and optimizing our vendor license spending.</w:t>
      </w:r>
    </w:p>
    <w:p>
      <w:pPr>
        <w:spacing w:after="0" w:line="214"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As a percentage of revenue, cost of revenue increased 290 basis points in the six months ended June 30, 2022 to 70.9% from 68.0% in the six months ended June 30, 2021, primarily driven by a 780 basis point increase in usage charges for third-party infrastructure, partially offset by a decrease related to personnel costs, data center, and license expense.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Non-GAAP Gross Profit</w:t>
      </w:r>
    </w:p>
    <w:p>
      <w:pPr>
        <w:spacing w:after="0" w:line="254"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consolidated gross profit was $450 million in the six months ended June 30, 2022, a decrease of $21 million from $471 million in the six months ended June 30, 2021. Our Non-GAAP Gross Profit was $467 million in the six months ended June 30, 2022, a decrease of $33 million from $500 million in the six months ended June 30, 2021. Non-GAAP Gross Profit is a non-GAAP financial measure.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below for more information. Our consolidated gross margin was 29.1% in the six months ended June 30, 2022, a decrease of 290 basis points from 32.0% in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5" w:lineRule="auto"/>
        <w:rPr>
          <w:sz w:val="20"/>
          <w:szCs w:val="20"/>
          <w:color w:val="auto"/>
        </w:rPr>
      </w:pPr>
      <w:r>
        <w:rPr>
          <w:rFonts w:ascii="Times New Roman" w:cs="Times New Roman" w:eastAsia="Times New Roman" w:hAnsi="Times New Roman"/>
          <w:sz w:val="18"/>
          <w:szCs w:val="18"/>
          <w:color w:val="auto"/>
        </w:rPr>
        <w:t>The table below presents a reconciliation of total consolidated gross profit to Non-GAAP Gross Profit, which represents the total of our individual segment gross profit measures.</w:t>
      </w:r>
    </w:p>
    <w:p>
      <w:pPr>
        <w:spacing w:after="0" w:line="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gross profit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compensation expense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Purchase accounting impact on expense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(3)</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9"/>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467.3</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80" w:right="80" w:hanging="454"/>
        <w:spacing w:after="0" w:line="245" w:lineRule="auto"/>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2" w:lineRule="exact"/>
        <w:rPr>
          <w:rFonts w:ascii="Times New Roman" w:cs="Times New Roman" w:eastAsia="Times New Roman" w:hAnsi="Times New Roman"/>
          <w:sz w:val="16"/>
          <w:szCs w:val="16"/>
          <w:color w:val="auto"/>
        </w:rPr>
      </w:pPr>
    </w:p>
    <w:p>
      <w:pPr>
        <w:ind w:left="480" w:hanging="454"/>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purchase accounting from the Rackspace Acquisition on expenses.</w:t>
      </w:r>
    </w:p>
    <w:p>
      <w:pPr>
        <w:spacing w:after="0" w:line="59" w:lineRule="exact"/>
        <w:rPr>
          <w:rFonts w:ascii="Times New Roman" w:cs="Times New Roman" w:eastAsia="Times New Roman" w:hAnsi="Times New Roman"/>
          <w:sz w:val="16"/>
          <w:szCs w:val="16"/>
          <w:color w:val="auto"/>
        </w:rPr>
      </w:pPr>
    </w:p>
    <w:p>
      <w:pPr>
        <w:ind w:left="480" w:right="80" w:hanging="454"/>
        <w:spacing w:after="0" w:line="232" w:lineRule="auto"/>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segment gross profit and gross margin for the periods indicated, and the change in gross profit between periods is shown in the table below: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gross profit:</w:t>
            </w: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Multicloud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Apps &amp; Cross Platform</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OpenStack Public Cloud</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0"/>
        </w:trPr>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Multicloud Services gross profit decreased 7% in the six months ended June 30, 2022 from the six months ended June 30, 2021. Segment gross profit as a percentage of segment revenue decreased by 440 basis points, reflecting a 15% increase in segment cost of revenue and an 8% increase in segment revenue. The increase in costs was mainly driven by higher third-party infrastructure costs due to the increase in revenue in our growth offerings resulting in a larger proportion of these services within this segment, partially offset by lower personnel, data center, and license expense.</w:t>
      </w:r>
    </w:p>
    <w:p>
      <w:pPr>
        <w:spacing w:after="0" w:line="207"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Apps &amp; Cross Platform gross profit increased 5% in the six months ended June 30, 2022 from the six months ended June 30, 2021. Segment gross profit as a percentage of segment revenue increased by 70 basis points, reflecting a 1% increase in segment cost of revenue and a 3% increase in segment revenue.</w:t>
      </w:r>
    </w:p>
    <w:p>
      <w:pPr>
        <w:spacing w:after="0" w:line="203"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OpenStack Public Cloud gross profit decreased 26% in the six months ended June 30, 2022 from the six months ended June 30, 2021, due to customer churn. Segment gross profit as a percentage of segment revenue decreased by 400 basis points, reflecting a 17% decrease in segment revenue, partially offset by an 11% decrease in segment cost of revenue.</w:t>
      </w:r>
    </w:p>
    <w:p>
      <w:pPr>
        <w:spacing w:after="0" w:line="20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aggregate amount of costs reflected in consolidated gross profit but excluded from Non-GAAP gross profit was $17.3 million in the six months ended June 30, 2022, a decrease of $11.9 million from $29.2 million in the six months ended June 30, 2021, reflecting lower restructuring and transformation expenses, share-based and other compensation expense, and purchase accounting adjustments.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segment gross profit, see Item 1 of Part I, Financial Statements - Note 15,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decreased $39 million, or 8%, to $425 million in the six months ended June 30, 2022 from $464 million in the six months ended June 30, 2021, due to a decline in personnel costs from cost savings as a result of shifting roles to lower-cost locations as part of our continued focus on business optimization initiatives. We also had lower severance expense, partially offset by higher share-based compensation expense between periods. The prior period also included $6 million of restructuring charges related to the July 2021 Restructuring Plan accounted for as exit and disposal costs under ASC 420. There were also reductions in costs related to other business optimization and integration initiatives compared to the prior period, as well as lower amortization expense related to certain intangible assets reaching the end of their useful life.</w:t>
      </w:r>
    </w:p>
    <w:p>
      <w:pPr>
        <w:spacing w:after="0" w:line="21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selling, general and administrative expenses decreased 400 basis points, to 27.5% in the six months ended June 30, 2022 from 31.5% in the six months ended June 30, 2021, for the reasons discussed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Land</w:t>
      </w:r>
    </w:p>
    <w:p>
      <w:pPr>
        <w:spacing w:after="0" w:line="2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In January 2021, we recorded a $20 million gain related to the sale of a parcel of undeveloped land in the United Kingdom adjacent to one of our existing data centers, as further discussed in Item 1 of Part I, Financial Statements - Note 4, "Property, Equipment and Software,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decreased $3 million to $101 million in the six months ended June 30, 2022 from $103 million in the six months ended June 30, 2021, primarily driven by a reduction in total debt outstanding and lower interest rates as a result of the February 2021 Refinancing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Modification and Extinguishment Costs</w:t>
      </w:r>
    </w:p>
    <w:p>
      <w:pPr>
        <w:spacing w:after="0" w:line="254" w:lineRule="exact"/>
        <w:rPr>
          <w:sz w:val="20"/>
          <w:szCs w:val="20"/>
          <w:color w:val="auto"/>
        </w:rPr>
      </w:pPr>
    </w:p>
    <w:p>
      <w:pPr>
        <w:jc w:val="both"/>
        <w:ind w:right="580" w:firstLine="486"/>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2021 we recorded $37 million and $0.5 million of debt modification and extinguishment costs related to the February 2021 Refinancing Transaction and termination of the Receivables Financing Facility, respectively, as further discussed in Item 1 of Part I, Financial Statements - Note 6, "Debt."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54"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increase in other expense, net to $10 million in the six months ended June 30, 2022 from $1 million in the six months ended June 30, 2021 is primarily related to foreign currency transaction losses, partially offset by losses incurred in the prior period related to changes in the fair value of foreign currency derivatives, as further discussed in Item 1 of Part I, Financial Statements - Note 12, "Derivatives."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5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income tax benefit decreased to $6 million in the six months ended June 30, 2022 from $18 million in the six months ended June 30, 2021. Our effective tax rate decreased from 15.0% in the six months ended June 30, 2021 to 7.4% in the six months ended June 30, 2022. The decrease in the effective tax rate year-over-year and the difference between the effective tax rate for the six months ended June 30, 2022 and the statutory rate are primarily due to the geographic distribution of profits, tax effects from share-based compensation and executive compensation that is nondeductible under IRC Section 162(m).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Revenue</w:t>
      </w:r>
    </w:p>
    <w:p>
      <w:pPr>
        <w:spacing w:after="0" w:line="24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1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by segment, actual and constant currency revenue and constant currency revenue growth rates, for and between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120" w:type="dxa"/>
            <w:vAlign w:val="bottom"/>
          </w:tcPr>
          <w:p>
            <w:pPr>
              <w:spacing w:after="0"/>
              <w:rPr>
                <w:sz w:val="16"/>
                <w:szCs w:val="16"/>
                <w:color w:val="auto"/>
              </w:rPr>
            </w:pPr>
          </w:p>
        </w:tc>
        <w:tc>
          <w:tcPr>
            <w:tcW w:w="178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20" w:type="dxa"/>
            <w:vAlign w:val="bottom"/>
          </w:tcPr>
          <w:p>
            <w:pPr>
              <w:spacing w:after="0"/>
              <w:rPr>
                <w:sz w:val="13"/>
                <w:szCs w:val="13"/>
                <w:color w:val="auto"/>
              </w:rPr>
            </w:pPr>
          </w:p>
        </w:tc>
        <w:tc>
          <w:tcPr>
            <w:tcW w:w="17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Translation </w:t>
            </w:r>
            <w:r>
              <w:rPr>
                <w:rFonts w:ascii="Times New Roman" w:cs="Times New Roman" w:eastAsia="Times New Roman" w:hAnsi="Times New Roman"/>
                <w:sz w:val="21"/>
                <w:szCs w:val="21"/>
                <w:b w:val="1"/>
                <w:bCs w:val="1"/>
                <w:color w:val="auto"/>
                <w:w w:val="97"/>
                <w:vertAlign w:val="superscript"/>
              </w:rPr>
              <w:t>(a)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Multicloud Services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Apps &amp; Cross Platform</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OpenStack Public Cloud</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2"/>
        </w:trPr>
        <w:tc>
          <w:tcPr>
            <w:tcW w:w="2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6"/>
          <w:szCs w:val="16"/>
          <w:color w:val="auto"/>
        </w:rPr>
        <w:t>(a)</w:t>
        <w:tab/>
        <w:t>The effect of foreign currency is calculated by translating current period results using the average exchange rate from the prior comparative period.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120" w:type="dxa"/>
            <w:vAlign w:val="bottom"/>
          </w:tcPr>
          <w:p>
            <w:pPr>
              <w:spacing w:after="0"/>
              <w:rPr>
                <w:sz w:val="16"/>
                <w:szCs w:val="16"/>
                <w:color w:val="auto"/>
              </w:rPr>
            </w:pPr>
          </w:p>
        </w:tc>
        <w:tc>
          <w:tcPr>
            <w:tcW w:w="178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20" w:type="dxa"/>
            <w:vAlign w:val="bottom"/>
          </w:tcPr>
          <w:p>
            <w:pPr>
              <w:spacing w:after="0"/>
              <w:rPr>
                <w:sz w:val="13"/>
                <w:szCs w:val="13"/>
                <w:color w:val="auto"/>
              </w:rPr>
            </w:pPr>
          </w:p>
        </w:tc>
        <w:tc>
          <w:tcPr>
            <w:tcW w:w="17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Translation </w:t>
            </w:r>
            <w:r>
              <w:rPr>
                <w:rFonts w:ascii="Times New Roman" w:cs="Times New Roman" w:eastAsia="Times New Roman" w:hAnsi="Times New Roman"/>
                <w:sz w:val="21"/>
                <w:szCs w:val="21"/>
                <w:b w:val="1"/>
                <w:bCs w:val="1"/>
                <w:color w:val="auto"/>
                <w:w w:val="97"/>
                <w:vertAlign w:val="superscript"/>
              </w:rPr>
              <w:t>(a)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Multicloud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1,285.5</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Apps &amp; Cross Platform</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OpenStack Public Cloud</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2"/>
        </w:trPr>
        <w:tc>
          <w:tcPr>
            <w:tcW w:w="2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hanging="339"/>
        <w:spacing w:after="0"/>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is calculated by translating current period results using the average exchange rate from the prior comparative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2"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w:t>
      </w:r>
    </w:p>
    <w:p>
      <w:pPr>
        <w:spacing w:after="0" w:line="25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present Non-GAAP Gross Profit in this MD&amp;A, which represents the total of our individual segment gross profit measures, because we believe the measure is useful in analyzing trends in our underlying, recurring gross margins. We define Non-GAAP Gross Profit as our consolidated gross profit, adjusted to exclude the impact of share-based compensation expense and other non-recurring or unusual compensation items, purchase accounting-related effects, and certain business transformation-related costs. For a reconciliation of total consolidated gross profit to Non-GAAP Gross Profit, see “G</w:t>
      </w:r>
      <w:r>
        <w:rPr>
          <w:rFonts w:ascii="Times New Roman" w:cs="Times New Roman" w:eastAsia="Times New Roman" w:hAnsi="Times New Roman"/>
          <w:sz w:val="18"/>
          <w:szCs w:val="18"/>
          <w:i w:val="1"/>
          <w:iCs w:val="1"/>
          <w:color w:val="auto"/>
        </w:rPr>
        <w:t>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Profit and Non-GAAP Gross Profit</w:t>
      </w:r>
      <w:r>
        <w:rPr>
          <w:rFonts w:ascii="Times New Roman" w:cs="Times New Roman" w:eastAsia="Times New Roman" w:hAnsi="Times New Roman"/>
          <w:sz w:val="18"/>
          <w:szCs w:val="18"/>
          <w:color w:val="auto"/>
        </w:rPr>
        <w:t>” in the year-over-year comparison under "Results of Operations"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 Non-GAAP Operating Profit and Adjusted EBITDA</w:t>
      </w:r>
    </w:p>
    <w:p>
      <w:pPr>
        <w:spacing w:after="0" w:line="25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217"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the amortization of acquired intangible assets and certain other non-operating, non-recurring or non-core gains and losses, as well as the tax effects of these non-GAAP adjustments.</w:t>
      </w:r>
    </w:p>
    <w:p>
      <w:pPr>
        <w:spacing w:after="0" w:line="207"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the amortization of acquired intangible assets and certain other non-operating, non-recurring or non-core gains and losses.</w:t>
      </w: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the impact of non-cash charges for share-based compensation, special bonuses and other compensation expense, transaction-related costs and adjustments, restructuring and transformation charges, certain other non-operating, non-recurring or non-core gains and losses, interest expense, income taxes, and depreciation and amortization.</w:t>
      </w:r>
    </w:p>
    <w:p>
      <w:pPr>
        <w:spacing w:after="0" w:line="203"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Non-GAAP Net Income, Non-GAAP Operating Profit and Adjusted EBITDA to the most directly comparable 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reconciliation to Non-GAAP Net Income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land</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(gain) loss on divestiture and investments </w:t>
            </w:r>
            <w:r>
              <w:rPr>
                <w:rFonts w:ascii="Times New Roman" w:cs="Times New Roman" w:eastAsia="Times New Roman" w:hAnsi="Times New Roman"/>
                <w:sz w:val="21"/>
                <w:szCs w:val="21"/>
                <w:color w:val="auto"/>
                <w:vertAlign w:val="superscript"/>
              </w:rPr>
              <w:t>(d)</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Debt modification and extinguishment costs </w:t>
            </w:r>
            <w:r>
              <w:rPr>
                <w:rFonts w:ascii="Times New Roman" w:cs="Times New Roman" w:eastAsia="Times New Roman" w:hAnsi="Times New Roman"/>
                <w:sz w:val="21"/>
                <w:szCs w:val="21"/>
                <w:color w:val="auto"/>
                <w:vertAlign w:val="superscript"/>
              </w:rPr>
              <w:t>(e)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21"/>
                <w:szCs w:val="21"/>
                <w:color w:val="auto"/>
                <w:vertAlign w:val="superscript"/>
              </w:rPr>
              <w:t>(f)</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(g)</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non-GAAP adjustments </w:t>
            </w:r>
            <w:r>
              <w:rPr>
                <w:rFonts w:ascii="Times New Roman" w:cs="Times New Roman" w:eastAsia="Times New Roman" w:hAnsi="Times New Roman"/>
                <w:sz w:val="21"/>
                <w:szCs w:val="21"/>
                <w:color w:val="auto"/>
                <w:vertAlign w:val="superscript"/>
              </w:rPr>
              <w:t>(h)</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0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Net Income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1"/>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 reconciliation to Non-GAAP Operating Profit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land</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(g)</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r>
      <w:tr>
        <w:trPr>
          <w:trHeight w:val="210"/>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w:t>
            </w: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reconciliation to Adjusted EBITDA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Special bonuses and other compensation expense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(b)</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(c)</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land</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(gain) loss on divestiture and investments </w:t>
            </w:r>
            <w:r>
              <w:rPr>
                <w:rFonts w:ascii="Times New Roman" w:cs="Times New Roman" w:eastAsia="Times New Roman" w:hAnsi="Times New Roman"/>
                <w:sz w:val="21"/>
                <w:szCs w:val="21"/>
                <w:color w:val="auto"/>
                <w:vertAlign w:val="superscript"/>
              </w:rPr>
              <w:t>(d)</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Debt modification and extinguishment costs </w:t>
            </w:r>
            <w:r>
              <w:rPr>
                <w:rFonts w:ascii="Times New Roman" w:cs="Times New Roman" w:eastAsia="Times New Roman" w:hAnsi="Times New Roman"/>
                <w:sz w:val="21"/>
                <w:szCs w:val="21"/>
                <w:color w:val="auto"/>
                <w:vertAlign w:val="superscript"/>
              </w:rPr>
              <w:t>(e)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21"/>
                <w:szCs w:val="21"/>
                <w:color w:val="auto"/>
                <w:vertAlign w:val="superscript"/>
              </w:rPr>
              <w:t>(f)</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6"/>
        </w:trPr>
        <w:tc>
          <w:tcPr>
            <w:tcW w:w="4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(i)</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35"/>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0" w:right="100" w:hanging="339"/>
        <w:spacing w:after="0" w:line="280"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2" w:lineRule="exact"/>
        <w:rPr>
          <w:rFonts w:ascii="Times New Roman" w:cs="Times New Roman" w:eastAsia="Times New Roman" w:hAnsi="Times New Roman"/>
          <w:sz w:val="16"/>
          <w:szCs w:val="16"/>
          <w:color w:val="auto"/>
        </w:rPr>
      </w:pPr>
    </w:p>
    <w:p>
      <w:pPr>
        <w:ind w:left="480" w:hanging="344"/>
        <w:spacing w:after="0" w:line="263"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costs related to being a first year public company,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2" w:lineRule="exact"/>
        <w:rPr>
          <w:rFonts w:ascii="Times New Roman" w:cs="Times New Roman" w:eastAsia="Times New Roman" w:hAnsi="Times New Roman"/>
          <w:sz w:val="16"/>
          <w:szCs w:val="16"/>
          <w:color w:val="auto"/>
        </w:rPr>
      </w:pPr>
    </w:p>
    <w:p>
      <w:pPr>
        <w:ind w:left="480" w:right="20" w:hanging="339"/>
        <w:spacing w:after="0" w:line="250"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employee related costs and other costs related to the July 2021 Restructuring Plan of $6.4 million for the three and six months ended June 30, 2021, which are accounted for as exit and disposal costs under ASC 420. In addition, it includes certain costs associated with the July 2021 Restructuring Plan which are not accounted for as exit and disposal costs under ASC 420, including one-time offshore build out costs.</w:t>
      </w:r>
    </w:p>
    <w:p>
      <w:pPr>
        <w:spacing w:after="0" w:line="27"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gains and losses on investment and from dispositions.</w:t>
      </w:r>
    </w:p>
    <w:p>
      <w:pPr>
        <w:spacing w:after="0" w:line="59"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expenses related the February 2021 Refinancing Transaction and termination of the Receivables Financing Facility.</w:t>
      </w:r>
    </w:p>
    <w:p>
      <w:pPr>
        <w:spacing w:after="0" w:line="59" w:lineRule="exact"/>
        <w:rPr>
          <w:rFonts w:ascii="Times New Roman" w:cs="Times New Roman" w:eastAsia="Times New Roman" w:hAnsi="Times New Roman"/>
          <w:sz w:val="16"/>
          <w:szCs w:val="16"/>
          <w:color w:val="auto"/>
        </w:rPr>
      </w:pPr>
    </w:p>
    <w:p>
      <w:pPr>
        <w:ind w:left="480" w:hanging="330"/>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80" w:hanging="344"/>
        <w:spacing w:after="0" w:line="248" w:lineRule="auto"/>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2021 and 2022 interim periods, we based it on an average of the 2020 and estimated 2021 tax rates and 2021 and estimated 2022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18" w:lineRule="exact"/>
        <w:rPr>
          <w:sz w:val="20"/>
          <w:szCs w:val="20"/>
          <w:color w:val="auto"/>
        </w:rPr>
      </w:pPr>
    </w:p>
    <w:p>
      <w:pPr>
        <w:ind w:left="480" w:hanging="326"/>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accelerated depreciation expense related to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Earnings Per Share (EPS)</w:t>
      </w:r>
    </w:p>
    <w:p>
      <w:pPr>
        <w:spacing w:after="0" w:line="256"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define Non-GAAP EPS as Non-GAAP Net Income divided by our GAAP weighted average number of shares outstanding for the period on a diluted basis and further adjusted for the weighted average number of shares associated with securities which are anti-dilutive to GAAP earnings per share but dilutive to Non-GAAP EPS. Management uses Non-GAAP EPS to evaluate the performance of our business on a comparable basis from period to period, including by adjusting for the impact of the issuance of shares that would be dilutive to Non-GAAP EPS. The following table reconciles Non-GAAP EPS to our GAAP net loss per share on a diluted basis: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19"/>
        </w:trPr>
        <w:tc>
          <w:tcPr>
            <w:tcW w:w="5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 Diluted</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r>
      <w:tr>
        <w:trPr>
          <w:trHeight w:val="219"/>
        </w:trPr>
        <w:tc>
          <w:tcPr>
            <w:tcW w:w="5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Effect of dilutive securities </w:t>
            </w:r>
            <w:r>
              <w:rPr>
                <w:rFonts w:ascii="Times New Roman" w:cs="Times New Roman" w:eastAsia="Times New Roman" w:hAnsi="Times New Roman"/>
                <w:sz w:val="21"/>
                <w:szCs w:val="21"/>
                <w:color w:val="auto"/>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0"/>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weighted average number of shares - Diluted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19"/>
        </w:trPr>
        <w:tc>
          <w:tcPr>
            <w:tcW w:w="5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Per share impacts of adjustments to net loss </w:t>
            </w:r>
            <w:r>
              <w:rPr>
                <w:rFonts w:ascii="Times New Roman" w:cs="Times New Roman" w:eastAsia="Times New Roman" w:hAnsi="Times New Roman"/>
                <w:sz w:val="21"/>
                <w:szCs w:val="21"/>
                <w:color w:val="auto"/>
                <w:vertAlign w:val="superscript"/>
              </w:rPr>
              <w:t>(b)</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r>
      <w:tr>
        <w:trPr>
          <w:trHeight w:val="230"/>
        </w:trPr>
        <w:tc>
          <w:tcPr>
            <w:tcW w:w="5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Per share impacts of shares dilutive after adjustments to net loss </w:t>
            </w:r>
            <w:r>
              <w:rPr>
                <w:rFonts w:ascii="Times New Roman" w:cs="Times New Roman" w:eastAsia="Times New Roman" w:hAnsi="Times New Roman"/>
                <w:sz w:val="21"/>
                <w:szCs w:val="21"/>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4"/>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EPS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right="40" w:hanging="339"/>
        <w:spacing w:after="0" w:line="253"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impact of awards that would have been anti-dilutive to net loss per share, and therefore not included in the calculation, but would be dilutive to Non-GAAP EPS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Times New Roman" w:cs="Times New Roman" w:eastAsia="Times New Roman" w:hAnsi="Times New Roman"/>
          <w:sz w:val="17"/>
          <w:szCs w:val="17"/>
          <w:color w:val="auto"/>
        </w:rPr>
        <w:t>C")</w:t>
      </w:r>
      <w:r>
        <w:rPr>
          <w:rFonts w:ascii="Times New Roman" w:cs="Times New Roman" w:eastAsia="Times New Roman" w:hAnsi="Times New Roman"/>
          <w:sz w:val="16"/>
          <w:szCs w:val="16"/>
          <w:color w:val="auto"/>
        </w:rPr>
        <w:t>, which are included in the denominator for the entire period if such shares would be issuable as of the end of the reporting period assuming the end of the reporting period was the end of the contingency period.</w:t>
      </w:r>
    </w:p>
    <w:p>
      <w:pPr>
        <w:spacing w:after="0" w:line="25" w:lineRule="exact"/>
        <w:rPr>
          <w:rFonts w:ascii="Times New Roman" w:cs="Times New Roman" w:eastAsia="Times New Roman" w:hAnsi="Times New Roman"/>
          <w:sz w:val="16"/>
          <w:szCs w:val="16"/>
          <w:color w:val="auto"/>
        </w:rPr>
      </w:pPr>
    </w:p>
    <w:p>
      <w:pPr>
        <w:ind w:left="480" w:right="260" w:hanging="344"/>
        <w:spacing w:after="0" w:line="280"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adjustments made to reconcile Non-GAAP Net Income to our net loss, as noted in the above table, divided by the GAAP diluted number of shares outstanding for the relevant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6"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80" w:firstLine="486"/>
        <w:spacing w:after="0" w:line="257"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with internally-generated cash from operations and hardware leases, and if necessary, borrowings under the Revolving Credit Facility. As of June 30, 2022, the Revolving Credit Facility provided for up to $375 million of borrowings, none of which was drawn as of June 30, 2022. Our primary uses of cash are working capital requirements, debt service requirements and capital expenditures.</w:t>
      </w:r>
    </w:p>
    <w:p>
      <w:pPr>
        <w:spacing w:after="0" w:line="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5.375% Senior Notes (the "5.375% Notes Indenture") or the indenture governing the 3.50% Senior Secured Notes (the "3.50% Notes Indenture" and, together with the 5.375% Notes Indenture, the "Indentures"), if applicable), for cash or other consideration.</w:t>
      </w:r>
    </w:p>
    <w:p>
      <w:pPr>
        <w:spacing w:after="0" w:line="21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Parent, Inc. We will be required to issue additional shares of our common stock to DPH 123, LLC based on the MOIC exceeding certain thresholds as defined in the Datapipe Merger Agreement. If the MOIC exceeds 3.0x, which is indicated by a volume weighted average trading price ("VWAP") of our common stock over 30 consecutive trading days of more than $25.00, we will be required to issue an additional 2,665,935 shares.</w:t>
      </w:r>
    </w:p>
    <w:p>
      <w:pPr>
        <w:spacing w:after="0" w:line="210"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On March 3, 2022, our board of directors authorized a program to repurchase up to $75 million of shares of our common stock from time to time through open-market transactions, privately negotiated transactions, accelerated share repurchases, and other transactions in accordance with applicable security laws. During the six months ended June 30, 2022, we repurchased $31 million, or 3.1 million shares, of our common stock on the open market under this program. As of June 30, 2022, approximately $44 million of the amount authorized by the board under the current program remained available for additional purchases.</w:t>
      </w:r>
    </w:p>
    <w:p>
      <w:pPr>
        <w:spacing w:after="0" w:line="21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At June 30, 2022, we held $261 million in cash and cash equivalents (not including $3 million in restricted cash, which is included in "Other non-current assets"), of which $120 million was held by foreign entities.</w:t>
      </w:r>
    </w:p>
    <w:p>
      <w:pPr>
        <w:spacing w:after="0" w:line="18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installment payment arrangements with certain equipment and software vendors, along with sale-leaseback arrangements for equipment and certain property leases that are considered financing obligations. We had $91 million outstanding with respect to these arrangements as of June 30, 2022. We may choose to utilize these various sources of funding in future periods.</w:t>
      </w:r>
    </w:p>
    <w:p>
      <w:pPr>
        <w:spacing w:after="0" w:line="203"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also lease certain equipment and real estate under operating and finance lease agreements. We had $529 million outstanding with respect to operating and finance lease agreements as of June 30, 2022. We may choose to utilize such leasing arrangements in future periods.</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we had $3,371 million aggregate principal amount outstanding under our Term Loan Facility, 5.375% Senior Notes, and 3.50% Senior Secured Notes, with $375 million of borrowing capacity available under the Revolving Credit Facility.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w:t>
      </w:r>
      <w:r>
        <w:rPr>
          <w:rFonts w:ascii="Times New Roman" w:cs="Times New Roman" w:eastAsia="Times New Roman" w:hAnsi="Times New Roman"/>
          <w:sz w:val="18"/>
          <w:szCs w:val="18"/>
          <w:b w:val="1"/>
          <w:bCs w:val="1"/>
          <w:i w:val="1"/>
          <w:iCs w:val="1"/>
          <w:color w:val="auto"/>
        </w:rPr>
        <w:t>s</w:t>
      </w:r>
    </w:p>
    <w:p>
      <w:pPr>
        <w:spacing w:after="0" w:line="25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February 9, 2021, we amended and restated the credit agreement governing our senior secured credit facilities (the "First Lien Credit Agreement"), which included a new seven-year $2,300 million senior secured first lien term loan facility (the "Term Loan Facility") and the Revolving Credit Facility (together, the "Senior Facilities"). We used the borrowings under the Term Loan Facility, together with the proceeds from the issuance of the 3.50% Senior Secured Notes described below (together, the "February 2021 Refinancing Transaction"), to repay all borrowings under the prior term loan facility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1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Interest on the Term Loan Facility is due at the end of each interest period elected, not exceeding 90 days, for LIBOR loans and at the end of every calendar quarter for base rate loans. As of June 30, 2022, the interest rate on the Term Loan Facility was 4.16%. We are required to make quarterly amortization payments of $5.8 million, which began on June 30, 2021. The Revolving Credit Facility includes a commitment fee equal to 0.50% per annum in respect of the unused commitments that is due quarterly. This fee is subject to one step-down based on the net first lien leverage ratio. The Senior Facilities require us to make certain mandatory prepayments under certain conditions defined in the credit agreement.</w:t>
      </w:r>
    </w:p>
    <w:p>
      <w:pPr>
        <w:spacing w:after="0" w:line="21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0"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As of June 30, 2022, $2,271 million aggregate principal amount of the Term Loan Facility remained outstanding. See Item 1 of Part I, Financial Statements - Note 6, "Debt," for more information regarding our Senior Facilities and the February 2021 Refinancing Transaction.</w:t>
      </w:r>
    </w:p>
    <w:p>
      <w:pPr>
        <w:spacing w:after="0" w:line="18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Term Loan Facility that result from fluctuations in the LIBOR rate. See Item 1 of Part I, Financial Statements - Note 12, "Derivatives," for more information on the interest rate swap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 due 2028</w:t>
      </w:r>
    </w:p>
    <w:p>
      <w:pPr>
        <w:spacing w:after="0" w:line="254"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We may redeem some or all of the 3.50% Senior Secured Notes at our option prior to February 15, 2024 subject to certain limitations and conditions outlined in the 3.50% Notes Indenture.</w:t>
      </w:r>
    </w:p>
    <w:p>
      <w:pPr>
        <w:spacing w:after="0" w:line="207"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The 3.50% Senior Secured Notes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$550 million aggregate principal amount of the 3.50% Senior Secured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 due 2028</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guaranteed on a senior unsecured basis by all of Rackspace Technology Global’s wholly-owned domestic restricted subsidiaries that guarantee the Senior Facilities.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$550 million aggregate principal amount of the 5.375% Senior Notes remained outstanding.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5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Term Loan Facility is not subject to a financial maintenance covenant. The Revolving Credit Facility includes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1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respectively, at a price in cash equal to 101.000% of the aggregate principal amount, plus accrued and unpaid interest, if any, to, but not including the purchase date.</w:t>
      </w:r>
    </w:p>
    <w:p>
      <w:pPr>
        <w:spacing w:after="0" w:line="214"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we were in compliance with all covenants under the Senior Facilities and the Indentures.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our capital expenditures for the periods indicated:</w:t>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Data center build outs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 build outs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37"/>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Capital expenditures were $68 million in the six months ended June 30, 2022, compared to $141 million in the six months ended June 30, 2021, a decrease of $73 million. The decrease in capitalized customer gear is due to the continued mix shift of our revenues from high capital intensity service offerings to low capital intensity service offerings. The decrease in capitalized software and other projects is driven by the shift of internal software development work to lower cost geographies. Capital expenditures were also particularly higher in the prior year period due to the renewal of multi-year, enterprise storage and software license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certain cash flow information for the periods indicated:</w:t>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20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$60 million, or 29%, in the six months ended June 30, 2022 compared to the six months ended June 30, 2021. This decrease was primarily driven by a $181 million increase in operating expense payments, largely for third-party infrastructure costs. These operating cash flow decreases were partially offset by a $64 million increase in cash collections, primarily reflecting higher revenue levels and an increased focus on collection efforts with customers, and to a lesser extent, timing of collections, and a $53 million decrease in employee-related payments mainly due to a shift in headcount to our offshore service centers.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5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203"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$19 million, or 60%, in the six months ended June 30, 2022 compared to the six months ended June 30, 2021. This increase was mainly due to net proceeds of $31 million from the January 2021 sale of a parcel of undeveloped land in the United Kingdom adjacent to one of our existing data centers. There was also an $8 million cash payment in connection with the acquisition of Just Analytics during the six months ended June 30, 2022. These drivers were partially offset by a $20 million reduction in cash purchases of property, equipment, and software year-over-year.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2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Net cash used in financing activities increased $38 million, or 56%, in the six months ended June 30, 2022 compared to the six months ended</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June 30, 2021. The change was primarily driven by a $41 million reduction in proceeds from employee stock plans year-over-year. The remaining variance includes an $11 million increase in finance lease principal payments, $31 million in common stock share repurchases as part of the program authorized in March 2022, and $4 million increase in payments on the financing component of our interest rate swap during the six months ended June 30, 2022. These drivers were offset by net payments for long-term debt activity of $62 million during the six months ended June 30, 2021, reflecting the refinancing of our Prior Term Loan Facility, a $65 million repayment on our Receivables Financing Facility, which was terminated, and $34 million in debt issuance costs paid.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have not changed from those described in our Annual Report under "Management's Discussion and Analysis of Financial Condition and Results of Operations - Critical Accounting Policies and Estimates." For a description of accounting pronouncements recently adopted and issued, see Item 1 of Part I, Financial Statements - Note 1, "Company Overview, Basis of Presentation, and Summary of 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256" w:lineRule="exact"/>
        <w:rPr>
          <w:sz w:val="20"/>
          <w:szCs w:val="20"/>
          <w:color w:val="auto"/>
        </w:rPr>
      </w:pPr>
    </w:p>
    <w:p>
      <w:pPr>
        <w:ind w:right="300"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if any, and (iii) declines in our market capitalization below our book value, and the magnitude and duration of those declines, if any.</w:t>
      </w:r>
    </w:p>
    <w:p>
      <w:pPr>
        <w:spacing w:after="0" w:line="2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of June 30, 2022, we determined that there were no indicators of impairment that more likely than not reduced the fair value of our reporting units or our indefinite-lived intangible asset to less than their respective carrying values. In reaching this conclusion, we noted that while our market capitalization has declined, it remained in excess of our book value as of June 30, 2022 and took this factor into consideration together with the other qualitative factors noted above. We will continue to evaluate whether circumstances indicate an impairment may exist each reporting period. If there are significant changes in events or circumstances, including (i) further declines in our market capitalization or deterioration in the equity and debt markets, and (ii) impacts to our forecasted results due to macroeconomic factors such as foreign currency exchange rate fluctuations, increased inflation rates, global supply chain constraints, and increases in the weighted-average cost of capital due to increases in interest rates, it is possible that an impairment charge may be recorded in the future, which could be material.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56"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our floating-rate debt under our Senior Facilities, which includes our $375 million Revolving Credit Facility and $2,271 million outstanding under the Term Loan Facility. As of June 30, 2022, there were no outstanding borrowings under the Revolving Credit Facility and therefore our only variable-rate debt outstanding was the $2,271 million outstanding under the Term Loan Facility. As of June 30, 2022, assuming the Revolving Credit Facility was fully drawn, each 0.125% change in assumed blended interest rates would result in a $3 million change in annual interest expense on indebtedness under the Senior Facilities.</w:t>
      </w:r>
    </w:p>
    <w:p>
      <w:pPr>
        <w:spacing w:after="0" w:line="21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Term Loan Facility bears interest at an annual rate equal to an applicable margin plus three-month LIBOR, subject to a 0.75% floor. We have entered into interest rate swap agreements indexed to three-month LIBOR in order to manage our risk from fluctuations in three-month LIBOR above the 0.75% floor. During the six months ended June 30, 2022, three of these swap agreements matured. The fixed rate for the remaining swap agreement is presented in the table below. As of June 30, 2022, the interest rate on the Term Loan Facility was 4.16%, equal to an applicable margin of 2.75% plus three-month LIBOR for the interest period of 1.41%.</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the swap outstanding as of June 30, 2022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Notional Amount (in</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580" w:type="dxa"/>
            <w:vAlign w:val="bottom"/>
            <w:gridSpan w:val="2"/>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820" w:type="dxa"/>
            <w:vAlign w:val="bottom"/>
            <w:gridSpan w:val="2"/>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2021</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2.3820%</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1 of Part I, Financial Statements - Note 12, "Derivatives," for more information on interest rate swaps.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 w:cs="Times New Roman" w:eastAsia="Times New Roman" w:hAnsi="Times New Roman"/>
          <w:sz w:val="18"/>
          <w:szCs w:val="18"/>
          <w:i w:val="1"/>
          <w:iCs w:val="1"/>
          <w:color w:val="auto"/>
        </w:rPr>
        <w:t>Constant Currency Revenue</w:t>
      </w:r>
      <w:r>
        <w:rPr>
          <w:rFonts w:ascii="Times New Roman" w:cs="Times New Roman" w:eastAsia="Times New Roman" w:hAnsi="Times New Roman"/>
          <w:sz w:val="18"/>
          <w:szCs w:val="18"/>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six months ended June 30, 2022, we recognized foreign currency transaction losses of $10 million within “Other income (expense), net” in our Consolidated Statements of Comprehensive Loss. As we grow our international operations, our exposure to foreign currency translation and transaction risk could become more significant.</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in the past and may in the future enter into foreign currency hedging instruments to limit our exposure to foreign currency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Prices</w:t>
      </w:r>
    </w:p>
    <w:p>
      <w:pPr>
        <w:spacing w:after="0" w:line="243"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We are a large consumer of power. In the six months ended June 30, 2022, we expensed approximately $21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5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56" w:lineRule="exact"/>
        <w:rPr>
          <w:sz w:val="20"/>
          <w:szCs w:val="20"/>
          <w:color w:val="auto"/>
        </w:rPr>
      </w:pPr>
    </w:p>
    <w:p>
      <w:pPr>
        <w:jc w:val="both"/>
        <w:ind w:right="620" w:firstLine="486"/>
        <w:spacing w:after="0" w:line="266" w:lineRule="auto"/>
        <w:rPr>
          <w:sz w:val="20"/>
          <w:szCs w:val="20"/>
          <w:color w:val="auto"/>
        </w:rPr>
      </w:pPr>
      <w:r>
        <w:rPr>
          <w:rFonts w:ascii="Times New Roman" w:cs="Times New Roman" w:eastAsia="Times New Roman" w:hAnsi="Times New Roman"/>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03"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03"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information regarding purchases of our common stock during the three months ended June 30, 2022:</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5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29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Number of Shares 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62"/>
        </w:trPr>
        <w:tc>
          <w:tcPr>
            <w:tcW w:w="30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Part of Publicly Announced Program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center"/>
              <w:ind w:right="79"/>
              <w:spacing w:after="0" w:line="216" w:lineRule="exact"/>
              <w:rPr>
                <w:sz w:val="20"/>
                <w:szCs w:val="20"/>
                <w:color w:val="auto"/>
              </w:rPr>
            </w:pPr>
            <w:r>
              <w:rPr>
                <w:rFonts w:ascii="Times New Roman" w:cs="Times New Roman" w:eastAsia="Times New Roman" w:hAnsi="Times New Roman"/>
                <w:sz w:val="16"/>
                <w:szCs w:val="16"/>
                <w:b w:val="1"/>
                <w:bCs w:val="1"/>
                <w:color w:val="auto"/>
                <w:w w:val="93"/>
              </w:rPr>
              <w:t xml:space="preserve">Program </w:t>
            </w:r>
            <w:r>
              <w:rPr>
                <w:rFonts w:ascii="Times New Roman" w:cs="Times New Roman" w:eastAsia="Times New Roman" w:hAnsi="Times New Roman"/>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75"/>
        </w:trPr>
        <w:tc>
          <w:tcPr>
            <w:tcW w:w="2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9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2022 - April 30,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1,450,877</w:t>
            </w:r>
          </w:p>
        </w:tc>
        <w:tc>
          <w:tcPr>
            <w:tcW w:w="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1,450,877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2022 - May 31,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1,265,354</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2022 - June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44,045,062</w:t>
            </w:r>
          </w:p>
        </w:tc>
        <w:tc>
          <w:tcPr>
            <w:tcW w:w="0" w:type="dxa"/>
            <w:vAlign w:val="bottom"/>
          </w:tcPr>
          <w:p>
            <w:pPr>
              <w:spacing w:after="0"/>
              <w:rPr>
                <w:sz w:val="1"/>
                <w:szCs w:val="1"/>
                <w:color w:val="auto"/>
              </w:rPr>
            </w:pPr>
          </w:p>
        </w:tc>
      </w:tr>
      <w:tr>
        <w:trPr>
          <w:trHeight w:val="212"/>
        </w:trPr>
        <w:tc>
          <w:tcPr>
            <w:tcW w:w="30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2,716,231</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18"/>
                <w:szCs w:val="18"/>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00" w:hanging="492"/>
        <w:spacing w:after="0" w:line="263" w:lineRule="auto"/>
        <w:tabs>
          <w:tab w:leader="none" w:pos="42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3, 2022, our board of directors authorized a program to repurchase up to $75.0 million of shares of our common stock. The authorization was effective immediately, expires on September 30, 2023 and can be discontinued at any time. Under the program, shares may be repurchased from time to time through open-market transactions (including pre-set trading plans), privately negotiated transactions, accelerated share repurchases, and other transactions in accordance with applicable security laws.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5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4"/>
          </w:tcPr>
          <w:p>
            <w:pPr>
              <w:ind w:left="3500"/>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0" w:type="dxa"/>
            <w:vAlign w:val="bottom"/>
          </w:tcPr>
          <w:p>
            <w:pPr>
              <w:spacing w:after="0"/>
              <w:rPr>
                <w:sz w:val="1"/>
                <w:szCs w:val="1"/>
                <w:color w:val="auto"/>
              </w:rPr>
            </w:pPr>
          </w:p>
        </w:tc>
      </w:tr>
      <w:tr>
        <w:trPr>
          <w:trHeight w:val="445"/>
        </w:trPr>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940" w:type="dxa"/>
            <w:vAlign w:val="bottom"/>
            <w:gridSpan w:val="4"/>
            <w:vMerge w:val="restart"/>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gridSpan w:val="2"/>
          </w:tcPr>
          <w:p>
            <w:pPr>
              <w:spacing w:after="0"/>
              <w:rPr>
                <w:sz w:val="21"/>
                <w:szCs w:val="21"/>
                <w:color w:val="auto"/>
              </w:rPr>
            </w:pPr>
          </w:p>
        </w:tc>
        <w:tc>
          <w:tcPr>
            <w:tcW w:w="994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00" w:type="dxa"/>
            <w:vAlign w:val="bottom"/>
            <w:gridSpan w:val="3"/>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Rackspace Technology, Inc. Amendment No. 1 to 2020 Equity Incentive Plan</w:t>
            </w:r>
          </w:p>
        </w:tc>
        <w:tc>
          <w:tcPr>
            <w:tcW w:w="4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Sarbanes-Oxley Act of 2002</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906 of the Sarbanes-Oxley Act of 2002</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300" w:type="dxa"/>
            <w:vAlign w:val="bottom"/>
            <w:gridSpan w:val="3"/>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6"/>
        </w:trPr>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101.DEF*</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57"/>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hanging="250"/>
        <w:spacing w:after="0"/>
        <w:tabs>
          <w:tab w:leader="none" w:pos="42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Filed herewith.</w:t>
      </w:r>
    </w:p>
    <w:p>
      <w:pPr>
        <w:spacing w:after="0" w:line="23" w:lineRule="exact"/>
        <w:rPr>
          <w:sz w:val="20"/>
          <w:szCs w:val="20"/>
          <w:color w:val="auto"/>
        </w:rPr>
      </w:pPr>
    </w:p>
    <w:p>
      <w:pPr>
        <w:ind w:left="500" w:hanging="330"/>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5" w:lineRule="exact"/>
        <w:rPr>
          <w:sz w:val="20"/>
          <w:szCs w:val="20"/>
          <w:color w:val="auto"/>
        </w:rPr>
      </w:pPr>
    </w:p>
    <w:p>
      <w:pPr>
        <w:ind w:left="420" w:hanging="250"/>
        <w:spacing w:after="0"/>
        <w:tabs>
          <w:tab w:leader="none" w:pos="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2022</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28"/>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6"/>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04"/>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- 56 -</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RACKSPACE TECHNOLOGY, INC.</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Amendment No. 1 to</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2020 EQUITY INCENTIVE PLAN</w:t>
      </w:r>
    </w:p>
    <w:p>
      <w:pPr>
        <w:spacing w:after="0" w:line="157" w:lineRule="exact"/>
        <w:rPr>
          <w:sz w:val="20"/>
          <w:szCs w:val="20"/>
          <w:color w:val="auto"/>
        </w:rPr>
      </w:pPr>
    </w:p>
    <w:p>
      <w:pPr>
        <w:ind w:right="800"/>
        <w:spacing w:after="0" w:line="234" w:lineRule="auto"/>
        <w:rPr>
          <w:sz w:val="20"/>
          <w:szCs w:val="20"/>
          <w:color w:val="auto"/>
        </w:rPr>
      </w:pPr>
      <w:r>
        <w:rPr>
          <w:rFonts w:ascii="Calibri" w:cs="Calibri" w:eastAsia="Calibri" w:hAnsi="Calibri"/>
          <w:sz w:val="20"/>
          <w:szCs w:val="20"/>
          <w:color w:val="auto"/>
        </w:rPr>
        <w:t>The Rackspace Technology, Inc. 2020 Equity Incentve Plan (the “2020 Equity Incentve Plan”) of Rackspace Technology, Inc. (the “Company”) is hereby amended, efectve as of April 21, 2022 (the “Efectve Date”), as follows:</w:t>
      </w:r>
    </w:p>
    <w:p>
      <w:pPr>
        <w:spacing w:after="0" w:line="158" w:lineRule="exact"/>
        <w:rPr>
          <w:sz w:val="20"/>
          <w:szCs w:val="20"/>
          <w:color w:val="auto"/>
        </w:rPr>
      </w:pPr>
    </w:p>
    <w:p>
      <w:pPr>
        <w:ind w:right="180" w:firstLine="8"/>
        <w:spacing w:after="0" w:line="234" w:lineRule="auto"/>
        <w:tabs>
          <w:tab w:leader="none" w:pos="199" w:val="left"/>
        </w:tabs>
        <w:numPr>
          <w:ilvl w:val="0"/>
          <w:numId w:val="23"/>
        </w:numPr>
        <w:rPr>
          <w:rFonts w:ascii="Calibri" w:cs="Calibri" w:eastAsia="Calibri" w:hAnsi="Calibri"/>
          <w:sz w:val="20"/>
          <w:szCs w:val="20"/>
          <w:color w:val="auto"/>
        </w:rPr>
      </w:pPr>
      <w:r>
        <w:rPr>
          <w:rFonts w:ascii="Calibri" w:cs="Calibri" w:eastAsia="Calibri" w:hAnsi="Calibri"/>
          <w:sz w:val="20"/>
          <w:szCs w:val="20"/>
          <w:u w:val="single" w:color="auto"/>
          <w:color w:val="auto"/>
        </w:rPr>
        <w:t>Amendment to Secton 3.1(a)</w:t>
      </w:r>
      <w:r>
        <w:rPr>
          <w:rFonts w:ascii="Calibri" w:cs="Calibri" w:eastAsia="Calibri" w:hAnsi="Calibri"/>
          <w:sz w:val="20"/>
          <w:szCs w:val="20"/>
          <w:color w:val="auto"/>
        </w:rPr>
        <w:t>. Secton 3.1(a) of the 2020 Equity Incentve Plan is hereby amended and restated in its entrety to read as follows:</w:t>
      </w:r>
    </w:p>
    <w:p>
      <w:pPr>
        <w:spacing w:after="0" w:line="149" w:lineRule="exact"/>
        <w:rPr>
          <w:sz w:val="20"/>
          <w:szCs w:val="20"/>
          <w:color w:val="auto"/>
        </w:rPr>
      </w:pPr>
    </w:p>
    <w:p>
      <w:pPr>
        <w:ind w:left="280" w:hanging="272"/>
        <w:spacing w:after="0"/>
        <w:tabs>
          <w:tab w:leader="none" w:pos="280"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Subject to Sectons 3.1(b) and 12.2, the aggregate number of Shares which may be issued or transferred pursuant to Awards under</w:t>
      </w:r>
    </w:p>
    <w:p>
      <w:pPr>
        <w:spacing w:after="0" w:line="22" w:lineRule="exact"/>
        <w:rPr>
          <w:rFonts w:ascii="Calibri" w:cs="Calibri" w:eastAsia="Calibri" w:hAnsi="Calibri"/>
          <w:sz w:val="20"/>
          <w:szCs w:val="20"/>
          <w:color w:val="auto"/>
        </w:rPr>
      </w:pPr>
    </w:p>
    <w:p>
      <w:pPr>
        <w:ind w:right="10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the Plan shall be no more than 50,000,000 Shares (the “Share Limit”). All of the Shares reserved under the Plan may be designated as Incentve Stock Optons. The Share Limit shall be reduced, on the date of grant of an Award, by the relevant number of shares of Common Stock for each Award granted under the Plan (since its adopton on the Efectve Date) that is valued by reference to a share of</w:t>
      </w:r>
    </w:p>
    <w:p>
      <w:pPr>
        <w:spacing w:after="0" w:line="22" w:lineRule="exact"/>
        <w:rPr>
          <w:rFonts w:ascii="Calibri" w:cs="Calibri" w:eastAsia="Calibri" w:hAnsi="Calibri"/>
          <w:sz w:val="20"/>
          <w:szCs w:val="20"/>
          <w:color w:val="auto"/>
        </w:rPr>
      </w:pPr>
    </w:p>
    <w:p>
      <w:pPr>
        <w:ind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Common Stock; provided that Awards that are valued by reference to shares of Common Stock but are required to be paid in cash pursuant to their terms shall not reduce the Share Limit. Any Shares distributed pursuant to an Award may consist, in whole or in part, of authorized and unissued Common Stock, treasury Common Stock or Common Stock purchased on the open market.</w:t>
      </w:r>
    </w:p>
    <w:p>
      <w:pPr>
        <w:spacing w:after="0" w:line="157" w:lineRule="exact"/>
        <w:rPr>
          <w:sz w:val="20"/>
          <w:szCs w:val="20"/>
          <w:color w:val="auto"/>
        </w:rPr>
      </w:pPr>
    </w:p>
    <w:p>
      <w:pPr>
        <w:jc w:val="both"/>
        <w:ind w:right="160"/>
        <w:spacing w:after="0"/>
        <w:rPr>
          <w:sz w:val="20"/>
          <w:szCs w:val="20"/>
          <w:color w:val="auto"/>
        </w:rPr>
      </w:pPr>
      <w:r>
        <w:rPr>
          <w:rFonts w:ascii="Calibri" w:cs="Calibri" w:eastAsia="Calibri" w:hAnsi="Calibri"/>
          <w:sz w:val="20"/>
          <w:szCs w:val="20"/>
          <w:color w:val="auto"/>
        </w:rPr>
        <w:t>2.</w:t>
      </w:r>
      <w:r>
        <w:rPr>
          <w:rFonts w:ascii="Calibri" w:cs="Calibri" w:eastAsia="Calibri" w:hAnsi="Calibri"/>
          <w:sz w:val="20"/>
          <w:szCs w:val="20"/>
          <w:u w:val="single" w:color="auto"/>
          <w:color w:val="auto"/>
        </w:rPr>
        <w:t>Efectveness</w:t>
      </w:r>
      <w:r>
        <w:rPr>
          <w:rFonts w:ascii="Calibri" w:cs="Calibri" w:eastAsia="Calibri" w:hAnsi="Calibri"/>
          <w:sz w:val="20"/>
          <w:szCs w:val="20"/>
          <w:color w:val="auto"/>
        </w:rPr>
        <w:t>. In accordance with Secton 12.1(b) of the 2020 Equity Incentve Plan, the efectveness of this Amendment No.1 to the 2020 Equity Incentve Plan (this “Amendment”) is subject to the approval of the Company’s stockholders at the Company’s 2022 annual general meetng of stockholders. For the avoidance of doubt, if stockholder approval is not obtained, this Amendment shall be void ab inito and of no force and efect.</w:t>
      </w:r>
    </w:p>
    <w:p>
      <w:pPr>
        <w:spacing w:after="0" w:line="157" w:lineRule="exact"/>
        <w:rPr>
          <w:sz w:val="20"/>
          <w:szCs w:val="20"/>
          <w:color w:val="auto"/>
        </w:rPr>
      </w:pPr>
    </w:p>
    <w:p>
      <w:pPr>
        <w:ind w:right="120"/>
        <w:spacing w:after="0"/>
        <w:rPr>
          <w:sz w:val="20"/>
          <w:szCs w:val="20"/>
          <w:color w:val="auto"/>
        </w:rPr>
      </w:pPr>
      <w:r>
        <w:rPr>
          <w:rFonts w:ascii="Calibri" w:cs="Calibri" w:eastAsia="Calibri" w:hAnsi="Calibri"/>
          <w:sz w:val="20"/>
          <w:szCs w:val="20"/>
          <w:color w:val="auto"/>
        </w:rPr>
        <w:t>3</w:t>
      </w:r>
      <w:r>
        <w:rPr>
          <w:rFonts w:ascii="Calibri" w:cs="Calibri" w:eastAsia="Calibri" w:hAnsi="Calibri"/>
          <w:sz w:val="20"/>
          <w:szCs w:val="20"/>
          <w:u w:val="single" w:color="auto"/>
          <w:color w:val="auto"/>
        </w:rPr>
        <w:t>.Governing Law</w:t>
      </w:r>
      <w:r>
        <w:rPr>
          <w:rFonts w:ascii="Calibri" w:cs="Calibri" w:eastAsia="Calibri" w:hAnsi="Calibri"/>
          <w:sz w:val="20"/>
          <w:szCs w:val="20"/>
          <w:color w:val="auto"/>
        </w:rPr>
        <w:t>. This Amendment shall be governed by and construed in accordance with the internal laws of the State of Delaware applicable to contracts made and performed wholly within the State of Delaware, without giving efect to the confict of laws provisions thereof.</w:t>
      </w:r>
    </w:p>
    <w:p>
      <w:pPr>
        <w:spacing w:after="0" w:line="159"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4.</w:t>
      </w:r>
      <w:r>
        <w:rPr>
          <w:rFonts w:ascii="Calibri" w:cs="Calibri" w:eastAsia="Calibri" w:hAnsi="Calibri"/>
          <w:sz w:val="20"/>
          <w:szCs w:val="20"/>
          <w:u w:val="single" w:color="auto"/>
          <w:color w:val="auto"/>
        </w:rPr>
        <w:t>Efect on the Plan</w:t>
      </w:r>
      <w:r>
        <w:rPr>
          <w:rFonts w:ascii="Calibri" w:cs="Calibri" w:eastAsia="Calibri" w:hAnsi="Calibri"/>
          <w:sz w:val="20"/>
          <w:szCs w:val="20"/>
          <w:color w:val="auto"/>
        </w:rPr>
        <w:t>. This Amendment shall not consttute a waiver, amendment or modifcaton of any provision of the 2020 Equity Incentve Plan not expressly referred to herein. Except as expressly amended or modifed herein, the provisions of the 2020 Equity Incentve Plan are and shall remain in full force and efect and are hereby ratfed and confrmed. On and afer the Efectve Date, each reference in the 2020 Equity Incentve Plan to “the Plan”, “herein”, “hereof”, “hereunder” or words of similar import shall mean and be a reference to the 2020 Equity Incentve Plan as amended hereby. To the extent that a provision of this Amendment conficts with or difers from a provision of the 2020 Equity Incentve Plan, such provision of this Amendment shall prevail and govern for all purposes and in all respects.</w:t>
      </w:r>
    </w:p>
    <w:p>
      <w:pPr>
        <w:spacing w:after="0" w:line="160"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5.</w:t>
      </w:r>
      <w:r>
        <w:rPr>
          <w:rFonts w:ascii="Calibri" w:cs="Calibri" w:eastAsia="Calibri" w:hAnsi="Calibri"/>
          <w:sz w:val="20"/>
          <w:szCs w:val="20"/>
          <w:u w:val="single" w:color="auto"/>
          <w:color w:val="auto"/>
        </w:rPr>
        <w:t>Capitalized Terms</w:t>
      </w:r>
      <w:r>
        <w:rPr>
          <w:rFonts w:ascii="Calibri" w:cs="Calibri" w:eastAsia="Calibri" w:hAnsi="Calibri"/>
          <w:sz w:val="20"/>
          <w:szCs w:val="20"/>
          <w:color w:val="auto"/>
        </w:rPr>
        <w:t>. Capitalized terms used and not defned in this Amendment shall have the meanings ascribed to them in the 2020 Equity Incentve Plan.</w:t>
      </w:r>
    </w:p>
    <w:p>
      <w:pPr>
        <w:sectPr>
          <w:pgSz w:w="11900" w:h="16838" w:orient="portrait"/>
          <w:cols w:equalWidth="0" w:num="1">
            <w:col w:w="11240"/>
          </w:cols>
          <w:pgMar w:left="320" w:top="10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Jones, certify that:</w:t>
      </w:r>
    </w:p>
    <w:p>
      <w:pPr>
        <w:spacing w:after="0" w:line="252" w:lineRule="exact"/>
        <w:rPr>
          <w:sz w:val="20"/>
          <w:szCs w:val="20"/>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00" w:hanging="398"/>
        <w:spacing w:after="0" w:line="266" w:lineRule="auto"/>
        <w:tabs>
          <w:tab w:leader="none" w:pos="15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2022</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Kevin Jones</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Jones</w:t>
            </w:r>
          </w:p>
        </w:tc>
      </w:tr>
      <w:tr>
        <w:trPr>
          <w:trHeight w:val="227"/>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6"/>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36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00" w:hanging="398"/>
        <w:spacing w:after="0" w:line="266" w:lineRule="auto"/>
        <w:tabs>
          <w:tab w:leader="none" w:pos="15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2022</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27"/>
        </w:trPr>
        <w:tc>
          <w:tcPr>
            <w:tcW w:w="1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6"/>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36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 Kevin Jones, Chief Executive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20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2022</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Kevin Jones</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Jones</w:t>
            </w:r>
          </w:p>
        </w:tc>
      </w:tr>
      <w:tr>
        <w:trPr>
          <w:trHeight w:val="228"/>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6"/>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36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Amar Maletira, President and Chief Financial Officer of Rackspace Technology, Inc. (the “Company”), certify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w:t>
      </w:r>
    </w:p>
    <w:p>
      <w:pPr>
        <w:spacing w:after="0" w:line="234" w:lineRule="exact"/>
        <w:rPr>
          <w:sz w:val="20"/>
          <w:szCs w:val="20"/>
          <w:color w:val="auto"/>
        </w:rPr>
      </w:pPr>
    </w:p>
    <w:p>
      <w:pPr>
        <w:ind w:left="660" w:right="20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9, 2022</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28"/>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6"/>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3"/>
    </w:lvl>
    <w:lvl w:ilvl="1">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lvl w:ilvl="1">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lvl w:ilvl="1">
      <w:lvlJc w:val="left"/>
      <w:lvlText w:val="-"/>
      <w:numFmt w:val="bullet"/>
      <w:start w:val="1"/>
    </w:lvl>
  </w:abstractNum>
  <w:abstractNum w:abstractNumId="10">
    <w:nsid w:val="257130A3"/>
    <w:multiLevelType w:val="hybridMultilevel"/>
    <w:lvl w:ilvl="0">
      <w:lvlJc w:val="left"/>
      <w:lvlText w:val="(%1)"/>
      <w:numFmt w:val="decimal"/>
      <w:start w:val="1"/>
    </w:lvl>
    <w:lvl w:ilvl="1">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Letter"/>
      <w:start w:val="1"/>
    </w:lvl>
    <w:lvl w:ilvl="1">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Roman"/>
      <w:start w:val="1"/>
    </w:lvl>
  </w:abstractNum>
  <w:abstractNum w:abstractNumId="17">
    <w:nsid w:val="2D1D5AE9"/>
    <w:multiLevelType w:val="hybridMultilevel"/>
    <w:lvl w:ilvl="0">
      <w:lvlJc w:val="left"/>
      <w:lvlText w:val="(%1)"/>
      <w:numFmt w:val="lowerLetter"/>
      <w:start w:val="1"/>
    </w:lvl>
    <w:lvl w:ilvl="1">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2022-08-09T19:47:18Z</dcterms:created>
  <dcterms:modified xsi:type="dcterms:W3CDTF">2022-08-09T19:47:18Z</dcterms:modified>
</cp:coreProperties>
</file>