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8"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36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7"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001-39420</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RACKSPACE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81-3369925</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(I.R.S. Employer Identification No.)</w:t>
      </w:r>
    </w:p>
    <w:p>
      <w:pPr>
        <w:spacing w:after="0" w:line="112" w:lineRule="exact"/>
        <w:rPr>
          <w:sz w:val="24"/>
          <w:szCs w:val="24"/>
          <w:color w:val="auto"/>
        </w:rPr>
      </w:pPr>
    </w:p>
    <w:p>
      <w:pPr>
        <w:sectPr>
          <w:pgSz w:w="11900" w:h="16838" w:orient="portrait"/>
          <w:cols w:equalWidth="0" w:num="2">
            <w:col w:w="6680" w:space="720"/>
            <w:col w:w="3840"/>
          </w:cols>
          <w:pgMar w:left="320" w:top="127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Fanatical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City of Windcrest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Antonio, Texas 78218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1-800-961-4454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22" w:lineRule="exact"/>
        <w:rPr>
          <w:sz w:val="24"/>
          <w:szCs w:val="24"/>
          <w:color w:val="auto"/>
        </w:rPr>
      </w:pPr>
    </w:p>
    <w:p>
      <w:pPr>
        <w:ind w:right="60"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3" w:lineRule="exact"/>
        <w:rPr>
          <w:sz w:val="24"/>
          <w:szCs w:val="24"/>
          <w:color w:val="auto"/>
        </w:rPr>
      </w:pPr>
    </w:p>
    <w:p>
      <w:pPr>
        <w:jc w:val="both"/>
        <w:ind w:right="60"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1" w:name="page2"/>
    <w:bookmarkEnd w:id="1"/>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2"/>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Arial" w:cs="Arial" w:eastAsia="Arial" w:hAnsi="Arial"/>
                <w:sz w:val="18"/>
                <w:szCs w:val="18"/>
                <w:color w:val="auto"/>
                <w:w w:val="91"/>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5" w:lineRule="exact"/>
        <w:rPr>
          <w:sz w:val="20"/>
          <w:szCs w:val="20"/>
          <w:color w:val="auto"/>
        </w:rPr>
      </w:pPr>
    </w:p>
    <w:p>
      <w:pPr>
        <w:ind w:firstLine="486"/>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8"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November 2, 2023, 216,406,870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0500" w:type="dxa"/>
            <w:vAlign w:val="bottom"/>
            <w:gridSpan w:val="18"/>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380" w:type="dxa"/>
            <w:vAlign w:val="bottom"/>
            <w:gridSpan w:val="16"/>
          </w:tcPr>
          <w:p>
            <w:pPr>
              <w:spacing w:after="0" w:line="190" w:lineRule="exact"/>
              <w:rPr>
                <w:sz w:val="20"/>
                <w:szCs w:val="20"/>
                <w:color w:val="auto"/>
              </w:rPr>
            </w:pPr>
            <w:r>
              <w:rPr>
                <w:rFonts w:ascii="Arial" w:cs="Arial" w:eastAsia="Arial" w:hAnsi="Arial"/>
                <w:sz w:val="18"/>
                <w:szCs w:val="18"/>
                <w:color w:val="0000FF"/>
              </w:rPr>
              <w:t>Unaudited Condensed Consolidated Balance Sheets as of December 31, 2022 and September 30, 2023</w:t>
            </w:r>
          </w:p>
        </w:tc>
        <w:tc>
          <w:tcPr>
            <w:tcW w:w="400" w:type="dxa"/>
            <w:vAlign w:val="bottom"/>
            <w:gridSpan w:val="2"/>
          </w:tcPr>
          <w:p>
            <w:pPr>
              <w:jc w:val="center"/>
              <w:ind w:left="210"/>
              <w:spacing w:after="0" w:line="190" w:lineRule="exact"/>
              <w:rPr>
                <w:sz w:val="20"/>
                <w:szCs w:val="20"/>
                <w:color w:val="auto"/>
              </w:rPr>
            </w:pPr>
            <w:r>
              <w:rPr>
                <w:rFonts w:ascii="Arial" w:cs="Arial" w:eastAsia="Arial" w:hAnsi="Arial"/>
                <w:sz w:val="18"/>
                <w:szCs w:val="18"/>
                <w:color w:val="0000FF"/>
                <w:w w:val="99"/>
              </w:rPr>
              <w:t>3</w:t>
            </w:r>
          </w:p>
        </w:tc>
        <w:tc>
          <w:tcPr>
            <w:tcW w:w="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80" w:type="dxa"/>
            <w:vAlign w:val="bottom"/>
            <w:gridSpan w:val="16"/>
          </w:tcPr>
          <w:p>
            <w:pPr>
              <w:spacing w:after="0"/>
              <w:rPr>
                <w:sz w:val="20"/>
                <w:szCs w:val="20"/>
                <w:color w:val="auto"/>
              </w:rPr>
            </w:pPr>
            <w:r>
              <w:rPr>
                <w:rFonts w:ascii="Arial" w:cs="Arial" w:eastAsia="Arial" w:hAnsi="Arial"/>
                <w:sz w:val="18"/>
                <w:szCs w:val="18"/>
                <w:color w:val="0000FF"/>
                <w:w w:val="92"/>
              </w:rPr>
              <w:t>Unaudited Condensed Consolidated Statements of Comprehensive Loss for the Three and Nine Months Ended September 30,</w:t>
            </w:r>
          </w:p>
        </w:tc>
        <w:tc>
          <w:tcPr>
            <w:tcW w:w="400" w:type="dxa"/>
            <w:vAlign w:val="bottom"/>
            <w:gridSpan w:val="2"/>
          </w:tcPr>
          <w:p>
            <w:pPr>
              <w:jc w:val="center"/>
              <w:ind w:left="210"/>
              <w:spacing w:after="0"/>
              <w:rPr>
                <w:sz w:val="20"/>
                <w:szCs w:val="20"/>
                <w:color w:val="auto"/>
              </w:rPr>
            </w:pPr>
            <w:r>
              <w:rPr>
                <w:rFonts w:ascii="Arial" w:cs="Arial" w:eastAsia="Arial" w:hAnsi="Arial"/>
                <w:sz w:val="18"/>
                <w:szCs w:val="18"/>
                <w:color w:val="0000FF"/>
                <w:w w:val="99"/>
              </w:rPr>
              <w:t>4</w:t>
            </w:r>
          </w:p>
        </w:tc>
        <w:tc>
          <w:tcPr>
            <w:tcW w:w="3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4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rPr>
              <w:t>2022 and September 30, 2023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Arial" w:cs="Arial" w:eastAsia="Arial" w:hAnsi="Arial"/>
                <w:sz w:val="18"/>
                <w:szCs w:val="18"/>
                <w:color w:val="0000FF"/>
                <w:w w:val="91"/>
              </w:rPr>
              <w:t>Unaudited Condensed Consolidated Statements of Cash Flows for the Nine Months Ended September 30, 2022 and September</w:t>
            </w:r>
          </w:p>
        </w:tc>
        <w:tc>
          <w:tcPr>
            <w:tcW w:w="400" w:type="dxa"/>
            <w:vAlign w:val="bottom"/>
            <w:gridSpan w:val="2"/>
          </w:tcPr>
          <w:p>
            <w:pPr>
              <w:jc w:val="center"/>
              <w:ind w:left="210"/>
              <w:spacing w:after="0"/>
              <w:rPr>
                <w:sz w:val="20"/>
                <w:szCs w:val="20"/>
                <w:color w:val="auto"/>
              </w:rPr>
            </w:pPr>
            <w:r>
              <w:rPr>
                <w:rFonts w:ascii="Arial" w:cs="Arial" w:eastAsia="Arial" w:hAnsi="Arial"/>
                <w:sz w:val="18"/>
                <w:szCs w:val="18"/>
                <w:color w:val="0000FF"/>
                <w:w w:val="99"/>
              </w:rPr>
              <w:t>5</w:t>
            </w:r>
          </w:p>
        </w:tc>
        <w:tc>
          <w:tcPr>
            <w:tcW w:w="32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30, 2023</w:t>
            </w:r>
          </w:p>
        </w:tc>
        <w:tc>
          <w:tcPr>
            <w:tcW w:w="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Arial" w:cs="Arial" w:eastAsia="Arial" w:hAnsi="Arial"/>
                <w:sz w:val="18"/>
                <w:szCs w:val="18"/>
                <w:color w:val="0000FF"/>
                <w:w w:val="98"/>
              </w:rPr>
              <w:t>Unaudited Condensed Consolidated Statements of Stockholders' Equity (Deficit) for the Three and Nine Months Ended</w:t>
            </w:r>
          </w:p>
        </w:tc>
        <w:tc>
          <w:tcPr>
            <w:tcW w:w="400" w:type="dxa"/>
            <w:vAlign w:val="bottom"/>
            <w:gridSpan w:val="2"/>
          </w:tcPr>
          <w:p>
            <w:pPr>
              <w:jc w:val="center"/>
              <w:ind w:left="210"/>
              <w:spacing w:after="0"/>
              <w:rPr>
                <w:sz w:val="20"/>
                <w:szCs w:val="20"/>
                <w:color w:val="auto"/>
              </w:rPr>
            </w:pPr>
            <w:r>
              <w:rPr>
                <w:rFonts w:ascii="Arial" w:cs="Arial" w:eastAsia="Arial" w:hAnsi="Arial"/>
                <w:sz w:val="18"/>
                <w:szCs w:val="18"/>
                <w:color w:val="0000FF"/>
                <w:w w:val="99"/>
              </w:rPr>
              <w:t>7</w:t>
            </w:r>
          </w:p>
        </w:tc>
        <w:tc>
          <w:tcPr>
            <w:tcW w:w="32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87"/>
              </w:rPr>
              <w:t>September 30, 2022 and September 30, 2023</w:t>
            </w:r>
          </w:p>
        </w:tc>
        <w:tc>
          <w:tcPr>
            <w:tcW w:w="5360" w:type="dxa"/>
            <w:vAlign w:val="bottom"/>
            <w:tcBorders>
              <w:top w:val="single" w:sz="8" w:color="0000FF"/>
            </w:tcBorders>
            <w:gridSpan w:val="5"/>
          </w:tcPr>
          <w:p>
            <w:pPr>
              <w:spacing w:after="0"/>
              <w:rPr>
                <w:sz w:val="13"/>
                <w:szCs w:val="13"/>
                <w:color w:val="auto"/>
              </w:rPr>
            </w:pPr>
          </w:p>
        </w:tc>
        <w:tc>
          <w:tcPr>
            <w:tcW w:w="780" w:type="dxa"/>
            <w:vAlign w:val="bottom"/>
            <w:gridSpan w:val="3"/>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Arial" w:cs="Arial" w:eastAsia="Arial" w:hAnsi="Arial"/>
                <w:sz w:val="18"/>
                <w:szCs w:val="18"/>
                <w:color w:val="0000FF"/>
              </w:rPr>
              <w:t>Notes to the Unaudited Condensed Consolidated Financial Statements</w:t>
            </w:r>
          </w:p>
        </w:tc>
        <w:tc>
          <w:tcPr>
            <w:tcW w:w="400" w:type="dxa"/>
            <w:vAlign w:val="bottom"/>
            <w:gridSpan w:val="2"/>
          </w:tcPr>
          <w:p>
            <w:pPr>
              <w:jc w:val="center"/>
              <w:ind w:left="210"/>
              <w:spacing w:after="0"/>
              <w:rPr>
                <w:sz w:val="20"/>
                <w:szCs w:val="20"/>
                <w:color w:val="auto"/>
              </w:rPr>
            </w:pPr>
            <w:r>
              <w:rPr>
                <w:rFonts w:ascii="Arial" w:cs="Arial" w:eastAsia="Arial" w:hAnsi="Arial"/>
                <w:sz w:val="18"/>
                <w:szCs w:val="18"/>
                <w:color w:val="0000FF"/>
                <w:w w:val="99"/>
              </w:rPr>
              <w:t>9</w:t>
            </w:r>
          </w:p>
        </w:tc>
        <w:tc>
          <w:tcPr>
            <w:tcW w:w="3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1"/>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940" w:type="dxa"/>
            <w:vAlign w:val="bottom"/>
            <w:gridSpan w:val="5"/>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33</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9"/>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2"/>
          </w:tcPr>
          <w:p>
            <w:pPr>
              <w:spacing w:after="0"/>
              <w:rPr>
                <w:sz w:val="18"/>
                <w:szCs w:val="18"/>
                <w:color w:val="auto"/>
              </w:rPr>
            </w:pPr>
          </w:p>
        </w:tc>
        <w:tc>
          <w:tcPr>
            <w:tcW w:w="2940" w:type="dxa"/>
            <w:vAlign w:val="bottom"/>
            <w:gridSpan w:val="5"/>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59</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5040" w:type="dxa"/>
            <w:vAlign w:val="bottom"/>
            <w:gridSpan w:val="7"/>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60</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500" w:type="dxa"/>
            <w:vAlign w:val="bottom"/>
            <w:gridSpan w:val="18"/>
          </w:tcPr>
          <w:p>
            <w:pPr>
              <w:spacing w:after="0"/>
              <w:rPr>
                <w:sz w:val="20"/>
                <w:szCs w:val="20"/>
                <w:color w:val="auto"/>
              </w:rPr>
            </w:pPr>
            <w:r>
              <w:rPr>
                <w:rFonts w:ascii="Arial" w:cs="Arial" w:eastAsia="Arial" w:hAnsi="Arial"/>
                <w:sz w:val="18"/>
                <w:szCs w:val="18"/>
                <w:b w:val="1"/>
                <w:bCs w:val="1"/>
                <w:color w:val="auto"/>
              </w:rPr>
              <w:t>Part II - Other Information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9380" w:type="dxa"/>
            <w:vAlign w:val="bottom"/>
            <w:gridSpan w:val="16"/>
          </w:tcPr>
          <w:p>
            <w:pPr>
              <w:spacing w:after="0" w:line="190" w:lineRule="exact"/>
              <w:rPr>
                <w:sz w:val="20"/>
                <w:szCs w:val="20"/>
                <w:color w:val="auto"/>
              </w:rPr>
            </w:pPr>
            <w:r>
              <w:rPr>
                <w:rFonts w:ascii="Arial" w:cs="Arial" w:eastAsia="Arial" w:hAnsi="Arial"/>
                <w:sz w:val="18"/>
                <w:szCs w:val="18"/>
                <w:color w:val="0000FF"/>
              </w:rPr>
              <w:t>Legal Proceedings</w:t>
            </w:r>
          </w:p>
        </w:tc>
        <w:tc>
          <w:tcPr>
            <w:tcW w:w="400" w:type="dxa"/>
            <w:vAlign w:val="bottom"/>
            <w:gridSpan w:val="2"/>
          </w:tcPr>
          <w:p>
            <w:pPr>
              <w:jc w:val="center"/>
              <w:ind w:left="130"/>
              <w:spacing w:after="0" w:line="190" w:lineRule="exact"/>
              <w:rPr>
                <w:sz w:val="20"/>
                <w:szCs w:val="20"/>
                <w:color w:val="auto"/>
              </w:rPr>
            </w:pPr>
            <w:r>
              <w:rPr>
                <w:rFonts w:ascii="Arial" w:cs="Arial" w:eastAsia="Arial" w:hAnsi="Arial"/>
                <w:sz w:val="18"/>
                <w:szCs w:val="18"/>
                <w:color w:val="0000FF"/>
                <w:w w:val="89"/>
              </w:rPr>
              <w:t>61</w:t>
            </w:r>
          </w:p>
        </w:tc>
        <w:tc>
          <w:tcPr>
            <w:tcW w:w="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tcPr>
          <w:p>
            <w:pPr>
              <w:spacing w:after="0"/>
              <w:rPr>
                <w:sz w:val="18"/>
                <w:szCs w:val="18"/>
                <w:color w:val="auto"/>
              </w:rPr>
            </w:pPr>
          </w:p>
        </w:tc>
        <w:tc>
          <w:tcPr>
            <w:tcW w:w="8080" w:type="dxa"/>
            <w:vAlign w:val="bottom"/>
            <w:gridSpan w:val="12"/>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61</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9"/>
          </w:tcPr>
          <w:p>
            <w:pPr>
              <w:spacing w:after="0"/>
              <w:rPr>
                <w:sz w:val="20"/>
                <w:szCs w:val="20"/>
                <w:color w:val="auto"/>
              </w:rPr>
            </w:pPr>
            <w:r>
              <w:rPr>
                <w:rFonts w:ascii="Arial" w:cs="Arial" w:eastAsia="Arial" w:hAnsi="Arial"/>
                <w:sz w:val="18"/>
                <w:szCs w:val="18"/>
                <w:color w:val="0000FF"/>
                <w:w w:val="88"/>
              </w:rPr>
              <w:t>Unregistered Sales of Equity Securities and Use of Proceeds</w:t>
            </w:r>
          </w:p>
        </w:tc>
        <w:tc>
          <w:tcPr>
            <w:tcW w:w="5040" w:type="dxa"/>
            <w:vAlign w:val="bottom"/>
            <w:gridSpan w:val="7"/>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61</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7"/>
          </w:tcPr>
          <w:p>
            <w:pPr>
              <w:spacing w:after="0"/>
              <w:rPr>
                <w:sz w:val="20"/>
                <w:szCs w:val="20"/>
                <w:color w:val="auto"/>
              </w:rPr>
            </w:pPr>
            <w:r>
              <w:rPr>
                <w:rFonts w:ascii="Arial" w:cs="Arial" w:eastAsia="Arial" w:hAnsi="Arial"/>
                <w:sz w:val="18"/>
                <w:szCs w:val="18"/>
                <w:color w:val="0000FF"/>
                <w:w w:val="90"/>
              </w:rPr>
              <w:t>Defaults Upon Senior Securities</w:t>
            </w:r>
          </w:p>
        </w:tc>
        <w:tc>
          <w:tcPr>
            <w:tcW w:w="2020" w:type="dxa"/>
            <w:vAlign w:val="bottom"/>
            <w:gridSpan w:val="2"/>
          </w:tcPr>
          <w:p>
            <w:pPr>
              <w:spacing w:after="0"/>
              <w:rPr>
                <w:sz w:val="18"/>
                <w:szCs w:val="18"/>
                <w:color w:val="auto"/>
              </w:rPr>
            </w:pPr>
          </w:p>
        </w:tc>
        <w:tc>
          <w:tcPr>
            <w:tcW w:w="5040" w:type="dxa"/>
            <w:vAlign w:val="bottom"/>
            <w:gridSpan w:val="7"/>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61</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060" w:type="dxa"/>
            <w:vAlign w:val="bottom"/>
            <w:gridSpan w:val="9"/>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7"/>
          </w:tcPr>
          <w:p>
            <w:pPr>
              <w:spacing w:after="0"/>
              <w:rPr>
                <w:sz w:val="20"/>
                <w:szCs w:val="20"/>
                <w:color w:val="auto"/>
              </w:rPr>
            </w:pPr>
            <w:r>
              <w:rPr>
                <w:rFonts w:ascii="Arial" w:cs="Arial" w:eastAsia="Arial" w:hAnsi="Arial"/>
                <w:sz w:val="18"/>
                <w:szCs w:val="18"/>
                <w:color w:val="0000FF"/>
              </w:rPr>
              <w:t>Mine Safety Disclosures</w:t>
            </w:r>
          </w:p>
        </w:tc>
        <w:tc>
          <w:tcPr>
            <w:tcW w:w="7060" w:type="dxa"/>
            <w:vAlign w:val="bottom"/>
            <w:gridSpan w:val="9"/>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61</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sz w:val="20"/>
                <w:szCs w:val="20"/>
                <w:color w:val="auto"/>
              </w:rPr>
            </w:pPr>
            <w:r>
              <w:rPr>
                <w:rFonts w:ascii="Arial" w:cs="Arial" w:eastAsia="Arial" w:hAnsi="Arial"/>
                <w:sz w:val="18"/>
                <w:szCs w:val="18"/>
                <w:color w:val="0000FF"/>
              </w:rPr>
              <w:t>Other Information</w:t>
            </w:r>
          </w:p>
        </w:tc>
        <w:tc>
          <w:tcPr>
            <w:tcW w:w="7620" w:type="dxa"/>
            <w:vAlign w:val="bottom"/>
            <w:gridSpan w:val="11"/>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62</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3"/>
          </w:tcPr>
          <w:p>
            <w:pPr>
              <w:spacing w:after="0"/>
              <w:rPr>
                <w:sz w:val="18"/>
                <w:szCs w:val="18"/>
                <w:color w:val="auto"/>
              </w:rPr>
            </w:pPr>
          </w:p>
        </w:tc>
        <w:tc>
          <w:tcPr>
            <w:tcW w:w="8080" w:type="dxa"/>
            <w:vAlign w:val="bottom"/>
            <w:gridSpan w:val="12"/>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63</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Arial" w:cs="Arial" w:eastAsia="Arial" w:hAnsi="Arial"/>
                <w:sz w:val="18"/>
                <w:szCs w:val="18"/>
                <w:color w:val="0000FF"/>
                <w:w w:val="89"/>
              </w:rPr>
              <w:t>64</w:t>
            </w:r>
          </w:p>
        </w:tc>
        <w:tc>
          <w:tcPr>
            <w:tcW w:w="320" w:type="dxa"/>
            <w:vAlign w:val="bottom"/>
          </w:tcPr>
          <w:p>
            <w:pPr>
              <w:spacing w:after="0"/>
              <w:rPr>
                <w:sz w:val="24"/>
                <w:szCs w:val="24"/>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i w:val="1"/>
          <w:iCs w:val="1"/>
          <w:color w:val="auto"/>
        </w:rPr>
        <w:t>This Quarterly Report on Form 10-Q for the quarterly period ended September 30, 2023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right="20" w:firstLine="486"/>
        <w:spacing w:after="0" w:line="259" w:lineRule="auto"/>
        <w:rPr>
          <w:sz w:val="20"/>
          <w:szCs w:val="20"/>
          <w:color w:val="auto"/>
        </w:rPr>
      </w:pPr>
      <w:r>
        <w:rPr>
          <w:rFonts w:ascii="Arial" w:cs="Arial" w:eastAsia="Arial" w:hAnsi="Arial"/>
          <w:sz w:val="17"/>
          <w:szCs w:val="17"/>
          <w:i w:val="1"/>
          <w:iCs w:val="1"/>
          <w:color w:val="auto"/>
        </w:rPr>
        <w:t>Forward-looking information involves risks, uncertainties, and other factors that could cause actual results to differ materially from those expressed or implied in, or reasonably inferred from, such statements, and the risks and uncertainties disclosed or referenced under the heading "Risk Factors" in our Annual Report on Form 10-K for the year ended December 31, 2022.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56" w:lineRule="exact"/>
        <w:rPr>
          <w:sz w:val="20"/>
          <w:szCs w:val="20"/>
          <w:color w:val="auto"/>
        </w:rPr>
      </w:pPr>
    </w:p>
    <w:p>
      <w:pPr>
        <w:ind w:right="40" w:firstLine="486"/>
        <w:spacing w:after="0" w:line="239" w:lineRule="auto"/>
        <w:rPr>
          <w:sz w:val="20"/>
          <w:szCs w:val="20"/>
          <w:color w:val="auto"/>
        </w:rPr>
      </w:pPr>
      <w:r>
        <w:rPr>
          <w:rFonts w:ascii="Arial" w:cs="Arial" w:eastAsia="Arial" w:hAnsi="Arial"/>
          <w:sz w:val="17"/>
          <w:szCs w:val="17"/>
          <w:i w:val="1"/>
          <w:iCs w:val="1"/>
          <w:color w:val="auto"/>
        </w:rPr>
        <w:t>"Rackspace," "Rackspace Technology," "Fanatical," "Fanatical Experience," "Rackspace Fabric," "Rackspace Data Freedom," "Rackspace Services for VMware Cloud</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and "My Rackspace" are registered or unregistered trademarks of Rackspace US, Inc. in the United States and/or other countries. OpenStack</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ITEM 1 -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277.8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Accounts receivable, net of allowance for credit losses and accrued customer credits of $24.6 and $19.8,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845.1</w:t>
            </w:r>
          </w:p>
        </w:tc>
        <w:tc>
          <w:tcPr>
            <w:tcW w:w="0" w:type="dxa"/>
            <w:vAlign w:val="bottom"/>
          </w:tcPr>
          <w:p>
            <w:pPr>
              <w:spacing w:after="0"/>
              <w:rPr>
                <w:sz w:val="1"/>
                <w:szCs w:val="1"/>
                <w:color w:val="auto"/>
              </w:rPr>
            </w:pPr>
          </w:p>
        </w:tc>
      </w:tr>
      <w:tr>
        <w:trPr>
          <w:trHeight w:val="152"/>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614.4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1,448.1</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1,057.8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 (DEFICIT)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824.8</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4,463.1</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 (Note 8)</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 (deficit):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2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4"/>
              </w:rPr>
              <w:t>Common stock, $0.01 par value per share: 1,495.0 shares authorized; 215.7 and 219.5 shares issued; 212.6 and 216.4</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outstanding, respectively</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2,573.3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2,623.4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(1,986.4)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(2,852.2)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3.1 shares held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 (deficit)</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and stockholders' equity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4,280.3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2,237.4</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(1,762.7)</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474.7</w:t>
            </w:r>
          </w:p>
        </w:tc>
        <w:tc>
          <w:tcPr>
            <w:tcW w:w="0" w:type="dxa"/>
            <w:vAlign w:val="bottom"/>
          </w:tcPr>
          <w:p>
            <w:pPr>
              <w:spacing w:after="0"/>
              <w:rPr>
                <w:sz w:val="1"/>
                <w:szCs w:val="1"/>
                <w:color w:val="auto"/>
              </w:rPr>
            </w:pPr>
          </w:p>
        </w:tc>
      </w:tr>
      <w:tr>
        <w:trPr>
          <w:trHeight w:val="213"/>
        </w:trPr>
        <w:tc>
          <w:tcPr>
            <w:tcW w:w="45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(601.7)</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Impairment of assets, net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(884.2)</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Gain (loss) on investments,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debt extinguishment</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 net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7"/>
        </w:trPr>
        <w:tc>
          <w:tcPr>
            <w:tcW w:w="4580" w:type="dxa"/>
            <w:vAlign w:val="bottom"/>
          </w:tcPr>
          <w:p>
            <w:pPr>
              <w:ind w:left="360"/>
              <w:spacing w:after="0"/>
              <w:rPr>
                <w:sz w:val="20"/>
                <w:szCs w:val="20"/>
                <w:color w:val="auto"/>
              </w:rPr>
            </w:pPr>
            <w:r>
              <w:rPr>
                <w:rFonts w:ascii="Arial" w:cs="Arial" w:eastAsia="Arial" w:hAnsi="Arial"/>
                <w:sz w:val="16"/>
                <w:szCs w:val="16"/>
                <w:color w:val="auto"/>
              </w:rPr>
              <w:t>Loss before income taxes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(535.1)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(891.9)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3"/>
        </w:trPr>
        <w:tc>
          <w:tcPr>
            <w:tcW w:w="4580" w:type="dxa"/>
            <w:vAlign w:val="bottom"/>
          </w:tcPr>
          <w:p>
            <w:pPr>
              <w:ind w:left="48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(865.8)</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Unrealized gain on derivative contracts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69"/>
        </w:trPr>
        <w:tc>
          <w:tcPr>
            <w:tcW w:w="45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Amount reclassified from accumulated other comprehensive</w:t>
            </w:r>
          </w:p>
        </w:tc>
        <w:tc>
          <w:tcPr>
            <w:tcW w:w="2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(loss) to earnings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Comprehensive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per share: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480"/>
              <w:spacing w:after="0"/>
              <w:rPr>
                <w:sz w:val="20"/>
                <w:szCs w:val="20"/>
                <w:color w:val="auto"/>
              </w:rPr>
            </w:pPr>
            <w:r>
              <w:rPr>
                <w:rFonts w:ascii="Arial" w:cs="Arial" w:eastAsia="Arial" w:hAnsi="Arial"/>
                <w:sz w:val="16"/>
                <w:szCs w:val="16"/>
                <w:color w:val="auto"/>
              </w:rPr>
              <w:t>Basic and diluted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Arial" w:cs="Arial" w:eastAsia="Arial" w:hAnsi="Arial"/>
                <w:sz w:val="16"/>
                <w:szCs w:val="16"/>
                <w:color w:val="auto"/>
              </w:rPr>
              <w:t>Basic and diluted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(590.8)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(865.8)</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282.5</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operating right-of-use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(38.9)</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708.8</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assets,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Gain on debt extinguishment</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(163.1)</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loss on derivative contracts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(Gain) loss on investments,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bad debts and accrued customer credits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Amortization of debt issuance costs and debt discount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fair value adjustments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Other operating activities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268.8</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current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(65.6)</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06"/>
        </w:trPr>
        <w:tc>
          <w:tcPr>
            <w:tcW w:w="7940" w:type="dxa"/>
            <w:vAlign w:val="bottom"/>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302.7</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Purchases of property, equipment and software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32"/>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net of cash acquired</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Purchase of convertible promissory note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7"/>
        </w:trPr>
        <w:tc>
          <w:tcPr>
            <w:tcW w:w="794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Proceeds from employee stock plans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of common stock withheld for employee taxes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Shares of common stock repurchased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long-term debt arrangements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Payments on long-term debt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(151.8)</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financing component of interest rate swap</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Principal payments of finance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(60.3)</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financing obligations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financing activities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w:t>
            </w:r>
          </w:p>
        </w:tc>
      </w:tr>
      <w:tr>
        <w:trPr>
          <w:trHeight w:val="213"/>
        </w:trPr>
        <w:tc>
          <w:tcPr>
            <w:tcW w:w="79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7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Increase (decrease) in cash, cash equivalents, and restricted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r>
      <w:tr>
        <w:trPr>
          <w:trHeight w:val="213"/>
        </w:trPr>
        <w:tc>
          <w:tcPr>
            <w:tcW w:w="79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231.4</w:t>
            </w:r>
          </w:p>
        </w:tc>
      </w:tr>
      <w:tr>
        <w:trPr>
          <w:trHeight w:val="238"/>
        </w:trPr>
        <w:tc>
          <w:tcPr>
            <w:tcW w:w="7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Cash payments for interest, net of amount capitalized</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166.2</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income taxes, net of refunds</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54"/>
        </w:trPr>
        <w:tc>
          <w:tcPr>
            <w:tcW w:w="7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Acquisition of property, equipment and software by finance leases</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Increase in property, equipment and software accrued in liabilities</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12"/>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purchases of property, equipment and software</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r>
    </w:tbl>
    <w:p>
      <w:pPr>
        <w:spacing w:after="0" w:line="323"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to the total of such amounts shown on the Condensed Consolidated Statements of Cash Flows.</w:t>
      </w:r>
    </w:p>
    <w:p>
      <w:pPr>
        <w:spacing w:after="0" w:line="238"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included in other non-current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7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cash, cash equivalents, and restricted cash shown in the statement of cash flows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1"/>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07"/>
        </w:trPr>
        <w:tc>
          <w:tcPr>
            <w:tcW w:w="224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(1,260.7)</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w w:val="90"/>
              </w:rPr>
              <w:t>(31.0)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1,298.4</w:t>
            </w:r>
          </w:p>
        </w:tc>
        <w:tc>
          <w:tcPr>
            <w:tcW w:w="0" w:type="dxa"/>
            <w:vAlign w:val="bottom"/>
          </w:tcPr>
          <w:p>
            <w:pPr>
              <w:spacing w:after="0"/>
              <w:rPr>
                <w:sz w:val="1"/>
                <w:szCs w:val="1"/>
                <w:color w:val="auto"/>
              </w:rPr>
            </w:pPr>
          </w:p>
        </w:tc>
      </w:tr>
      <w:tr>
        <w:trPr>
          <w:trHeight w:val="166"/>
        </w:trPr>
        <w:tc>
          <w:tcPr>
            <w:tcW w:w="2240" w:type="dxa"/>
            <w:vAlign w:val="bottom"/>
          </w:tcPr>
          <w:p>
            <w:pPr>
              <w:ind w:left="140"/>
              <w:spacing w:after="0" w:line="166" w:lineRule="exact"/>
              <w:rPr>
                <w:sz w:val="20"/>
                <w:szCs w:val="20"/>
                <w:color w:val="auto"/>
              </w:rPr>
            </w:pPr>
            <w:r>
              <w:rPr>
                <w:rFonts w:ascii="Arial" w:cs="Arial" w:eastAsia="Arial" w:hAnsi="Arial"/>
                <w:sz w:val="16"/>
                <w:szCs w:val="16"/>
                <w:color w:val="auto"/>
                <w:w w:val="99"/>
              </w:rPr>
              <w:t>Exercise of stock options and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Arial" w:cs="Arial" w:eastAsia="Arial" w:hAnsi="Arial"/>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Share-based compensation</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expense</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(511.7)</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(511.7)</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Other comprehensive income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w w:val="94"/>
              </w:rPr>
              <w:t>Balance at September 30, 2022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2,562.3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(1,772.4)</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w w:val="90"/>
              </w:rPr>
              <w:t>(31.0)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815.6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1"/>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4"/>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2"/>
                <w:szCs w:val="12"/>
                <w:color w:val="auto"/>
              </w:rPr>
            </w:pPr>
          </w:p>
        </w:tc>
        <w:tc>
          <w:tcPr>
            <w:tcW w:w="140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Income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6"/>
              </w:rPr>
              <w:t>Balance at December 31, 2021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166"/>
        </w:trPr>
        <w:tc>
          <w:tcPr>
            <w:tcW w:w="2240" w:type="dxa"/>
            <w:vAlign w:val="bottom"/>
          </w:tcPr>
          <w:p>
            <w:pPr>
              <w:ind w:left="140"/>
              <w:spacing w:after="0" w:line="166" w:lineRule="exact"/>
              <w:rPr>
                <w:sz w:val="20"/>
                <w:szCs w:val="20"/>
                <w:color w:val="auto"/>
              </w:rPr>
            </w:pPr>
            <w:r>
              <w:rPr>
                <w:rFonts w:ascii="Arial" w:cs="Arial" w:eastAsia="Arial" w:hAnsi="Arial"/>
                <w:sz w:val="16"/>
                <w:szCs w:val="16"/>
                <w:color w:val="auto"/>
                <w:w w:val="99"/>
              </w:rPr>
              <w:t>Exercise of stock options and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Arial" w:cs="Arial" w:eastAsia="Arial" w:hAnsi="Arial"/>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40"/>
              <w:spacing w:after="0" w:line="166" w:lineRule="exact"/>
              <w:rPr>
                <w:sz w:val="20"/>
                <w:szCs w:val="20"/>
                <w:color w:val="auto"/>
              </w:rPr>
            </w:pPr>
            <w:r>
              <w:rPr>
                <w:rFonts w:ascii="Arial" w:cs="Arial" w:eastAsia="Arial" w:hAnsi="Arial"/>
                <w:sz w:val="16"/>
                <w:szCs w:val="16"/>
                <w:color w:val="auto"/>
              </w:rPr>
              <w:t>Share-based compensation</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Arial" w:cs="Arial" w:eastAsia="Arial" w:hAnsi="Arial"/>
                <w:sz w:val="16"/>
                <w:szCs w:val="16"/>
                <w:color w:val="auto"/>
              </w:rPr>
              <w:t>expense</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(590.8)</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(590.8)</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Arial" w:cs="Arial" w:eastAsia="Arial" w:hAnsi="Arial"/>
                <w:sz w:val="16"/>
                <w:szCs w:val="16"/>
                <w:color w:val="auto"/>
                <w:w w:val="99"/>
              </w:rPr>
              <w:t>Other comprehensive income</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Repurchase of common stock</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0"/>
              </w:rPr>
              <w:t>(31.0)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w w:val="94"/>
              </w:rPr>
              <w:t>Balance at September 30, 2022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2,562.3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(1,772.4)</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w w:val="90"/>
              </w:rPr>
              <w:t>(31.0)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815.6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1"/>
              </w:rPr>
              <w:t>Treasury Stock, at Cost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9"/>
              <w:spacing w:after="0" w:line="14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07"/>
        </w:trPr>
        <w:tc>
          <w:tcPr>
            <w:tcW w:w="224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7"/>
                <w:szCs w:val="17"/>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Equity (Deficit)</w:t>
            </w:r>
          </w:p>
        </w:tc>
        <w:tc>
          <w:tcPr>
            <w:tcW w:w="0" w:type="dxa"/>
            <w:vAlign w:val="bottom"/>
          </w:tcPr>
          <w:p>
            <w:pPr>
              <w:spacing w:after="0"/>
              <w:rPr>
                <w:sz w:val="1"/>
                <w:szCs w:val="1"/>
                <w:color w:val="auto"/>
              </w:rPr>
            </w:pPr>
          </w:p>
        </w:tc>
      </w:tr>
      <w:tr>
        <w:trPr>
          <w:trHeight w:val="212"/>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(2,625.6)</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w w:val="90"/>
              </w:rPr>
              <w:t>(31.0)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166"/>
        </w:trPr>
        <w:tc>
          <w:tcPr>
            <w:tcW w:w="2240" w:type="dxa"/>
            <w:vAlign w:val="bottom"/>
          </w:tcPr>
          <w:p>
            <w:pPr>
              <w:ind w:left="140"/>
              <w:spacing w:after="0" w:line="166" w:lineRule="exact"/>
              <w:rPr>
                <w:sz w:val="20"/>
                <w:szCs w:val="20"/>
                <w:color w:val="auto"/>
              </w:rPr>
            </w:pPr>
            <w:r>
              <w:rPr>
                <w:rFonts w:ascii="Arial" w:cs="Arial" w:eastAsia="Arial" w:hAnsi="Arial"/>
                <w:sz w:val="16"/>
                <w:szCs w:val="16"/>
                <w:color w:val="auto"/>
                <w:w w:val="99"/>
              </w:rPr>
              <w:t>Exercise of stock options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Arial" w:cs="Arial" w:eastAsia="Arial" w:hAnsi="Arial"/>
                <w:sz w:val="16"/>
                <w:szCs w:val="16"/>
                <w:color w:val="auto"/>
                <w:w w:val="95"/>
              </w:rPr>
              <w:t>release of stock awards, net of</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Arial" w:cs="Arial" w:eastAsia="Arial" w:hAnsi="Arial"/>
                <w:sz w:val="16"/>
                <w:szCs w:val="16"/>
                <w:color w:val="auto"/>
              </w:rPr>
              <w:t>shares withheld</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Share-based compensation</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expense for equity classified</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awards</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(226.6)</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w w:val="94"/>
              </w:rPr>
              <w:t>Balance at September 30, 2023</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(2,852.2)</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w w:val="90"/>
              </w:rPr>
              <w:t>(31.0)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1"/>
              </w:rPr>
              <w:t>Treasury Stock, at Cost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23"/>
        </w:trPr>
        <w:tc>
          <w:tcPr>
            <w:tcW w:w="2240" w:type="dxa"/>
            <w:vAlign w:val="bottom"/>
            <w:vMerge w:val="continue"/>
          </w:tcPr>
          <w:p>
            <w:pPr>
              <w:spacing w:after="0"/>
              <w:rPr>
                <w:sz w:val="10"/>
                <w:szCs w:val="10"/>
                <w:color w:val="auto"/>
              </w:rPr>
            </w:pPr>
          </w:p>
        </w:tc>
        <w:tc>
          <w:tcPr>
            <w:tcW w:w="16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0"/>
                <w:szCs w:val="10"/>
                <w:color w:val="auto"/>
              </w:rPr>
            </w:pPr>
          </w:p>
        </w:tc>
        <w:tc>
          <w:tcPr>
            <w:tcW w:w="122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vMerge w:val="restart"/>
          </w:tcPr>
          <w:p>
            <w:pPr>
              <w:jc w:val="center"/>
              <w:ind w:right="1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Deficit</w:t>
            </w: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Equity (Deficit)</w:t>
            </w:r>
          </w:p>
        </w:tc>
        <w:tc>
          <w:tcPr>
            <w:tcW w:w="0" w:type="dxa"/>
            <w:vAlign w:val="bottom"/>
          </w:tcPr>
          <w:p>
            <w:pPr>
              <w:spacing w:after="0"/>
              <w:rPr>
                <w:sz w:val="1"/>
                <w:szCs w:val="1"/>
                <w:color w:val="auto"/>
              </w:rPr>
            </w:pPr>
          </w:p>
        </w:tc>
      </w:tr>
      <w:tr>
        <w:trPr>
          <w:trHeight w:val="212"/>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Balance at December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(1,986.4)</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w w:val="90"/>
              </w:rPr>
              <w:t>(31.0)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629.5</w:t>
            </w:r>
          </w:p>
        </w:tc>
        <w:tc>
          <w:tcPr>
            <w:tcW w:w="0" w:type="dxa"/>
            <w:vAlign w:val="bottom"/>
          </w:tcPr>
          <w:p>
            <w:pPr>
              <w:spacing w:after="0"/>
              <w:rPr>
                <w:sz w:val="1"/>
                <w:szCs w:val="1"/>
                <w:color w:val="auto"/>
              </w:rPr>
            </w:pPr>
          </w:p>
        </w:tc>
      </w:tr>
      <w:tr>
        <w:trPr>
          <w:trHeight w:val="166"/>
        </w:trPr>
        <w:tc>
          <w:tcPr>
            <w:tcW w:w="2240" w:type="dxa"/>
            <w:vAlign w:val="bottom"/>
          </w:tcPr>
          <w:p>
            <w:pPr>
              <w:ind w:left="140"/>
              <w:spacing w:after="0" w:line="166" w:lineRule="exact"/>
              <w:rPr>
                <w:sz w:val="20"/>
                <w:szCs w:val="20"/>
                <w:color w:val="auto"/>
              </w:rPr>
            </w:pPr>
            <w:r>
              <w:rPr>
                <w:rFonts w:ascii="Arial" w:cs="Arial" w:eastAsia="Arial" w:hAnsi="Arial"/>
                <w:sz w:val="16"/>
                <w:szCs w:val="16"/>
                <w:color w:val="auto"/>
                <w:w w:val="99"/>
              </w:rPr>
              <w:t>Exercise of stock options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Arial" w:cs="Arial" w:eastAsia="Arial" w:hAnsi="Arial"/>
                <w:sz w:val="16"/>
                <w:szCs w:val="16"/>
                <w:color w:val="auto"/>
                <w:w w:val="95"/>
              </w:rPr>
              <w:t>release of stock awards, net of</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Arial" w:cs="Arial" w:eastAsia="Arial" w:hAnsi="Arial"/>
                <w:sz w:val="16"/>
                <w:szCs w:val="16"/>
                <w:color w:val="auto"/>
              </w:rPr>
              <w:t>shares withheld</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140"/>
              <w:spacing w:after="0" w:line="166" w:lineRule="exact"/>
              <w:rPr>
                <w:sz w:val="20"/>
                <w:szCs w:val="20"/>
                <w:color w:val="auto"/>
              </w:rPr>
            </w:pPr>
            <w:r>
              <w:rPr>
                <w:rFonts w:ascii="Arial" w:cs="Arial" w:eastAsia="Arial" w:hAnsi="Arial"/>
                <w:sz w:val="16"/>
                <w:szCs w:val="16"/>
                <w:color w:val="auto"/>
              </w:rPr>
              <w:t>Share-based compensation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Arial" w:cs="Arial" w:eastAsia="Arial" w:hAnsi="Arial"/>
                <w:sz w:val="16"/>
                <w:szCs w:val="16"/>
                <w:color w:val="auto"/>
              </w:rPr>
              <w:t>expense for equity classified</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09"/>
        </w:trPr>
        <w:tc>
          <w:tcPr>
            <w:tcW w:w="2240" w:type="dxa"/>
            <w:vAlign w:val="bottom"/>
          </w:tcPr>
          <w:p>
            <w:pPr>
              <w:ind w:left="140"/>
              <w:spacing w:after="0"/>
              <w:rPr>
                <w:sz w:val="20"/>
                <w:szCs w:val="20"/>
                <w:color w:val="auto"/>
              </w:rPr>
            </w:pPr>
            <w:r>
              <w:rPr>
                <w:rFonts w:ascii="Arial" w:cs="Arial" w:eastAsia="Arial" w:hAnsi="Arial"/>
                <w:sz w:val="16"/>
                <w:szCs w:val="16"/>
                <w:color w:val="auto"/>
              </w:rPr>
              <w:t>awards</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(865.8)</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(865.8)</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Arial" w:cs="Arial" w:eastAsia="Arial" w:hAnsi="Arial"/>
                <w:sz w:val="16"/>
                <w:szCs w:val="16"/>
                <w:color w:val="auto"/>
                <w:w w:val="99"/>
              </w:rPr>
              <w:t>Other comprehensive income</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8"/>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4"/>
              </w:rPr>
              <w:t>Balance at September 30,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w w:val="90"/>
              </w:rPr>
              <w:t>(31.0)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RACKSPACE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Overview, Basis of Presentation,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252" w:lineRule="exact"/>
        <w:rPr>
          <w:sz w:val="20"/>
          <w:szCs w:val="20"/>
          <w:color w:val="auto"/>
        </w:rPr>
      </w:pPr>
    </w:p>
    <w:p>
      <w:pPr>
        <w:jc w:val="both"/>
        <w:ind w:right="300" w:firstLine="486"/>
        <w:spacing w:after="0" w:line="257" w:lineRule="auto"/>
        <w:rPr>
          <w:sz w:val="20"/>
          <w:szCs w:val="20"/>
          <w:color w:val="auto"/>
        </w:rPr>
      </w:pPr>
      <w:r>
        <w:rPr>
          <w:rFonts w:ascii="Arial" w:cs="Arial" w:eastAsia="Arial" w:hAnsi="Arial"/>
          <w:sz w:val="18"/>
          <w:szCs w:val="18"/>
          <w:color w:val="auto"/>
        </w:rPr>
        <w:t>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1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14"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For ease of reference, the terms "we," "our company," "the company," "us," or "our" as used in this report refer to Rackspace Technology and its consolidated subsidiaries.</w:t>
      </w:r>
    </w:p>
    <w:p>
      <w:pPr>
        <w:spacing w:after="0" w:line="197" w:lineRule="exact"/>
        <w:rPr>
          <w:sz w:val="20"/>
          <w:szCs w:val="20"/>
          <w:color w:val="auto"/>
        </w:rPr>
      </w:pPr>
    </w:p>
    <w:p>
      <w:pPr>
        <w:jc w:val="both"/>
        <w:ind w:right="160" w:firstLine="486"/>
        <w:spacing w:after="0" w:line="311" w:lineRule="auto"/>
        <w:rPr>
          <w:sz w:val="20"/>
          <w:szCs w:val="20"/>
          <w:color w:val="auto"/>
        </w:rPr>
      </w:pPr>
      <w:r>
        <w:rPr>
          <w:rFonts w:ascii="Arial" w:cs="Arial" w:eastAsia="Arial" w:hAnsi="Arial"/>
          <w:sz w:val="16"/>
          <w:szCs w:val="16"/>
          <w:color w:val="auto"/>
        </w:rPr>
        <w:t>Effective on January 1, 2023, we reorganized around a two-business unit operating model, Public Cloud and Private Cloud. This two-business unit operating model ensures increased focus, delivery, and service quality for our customers. Beginning in 2023, we changed our segment reporting to reflect this reorganization under two reportable segments: Public Cloud and Private Cloud. See Note 14, "Segment Reporting" for more information.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unaudited condensed consolidated financial statements include the accounts of Rackspace Technology, Inc. and our wholly-owned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 in consolidation.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52"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The unaudited condensed consolidated financial statements as of September 30, 2023, and for the three and nine months ended September 30, 2022 and 2023, have been prepared in accordance with accounting principles generally accepted in the United States of America ("GAAP") for interim financial information. Accordingly, certain financial information and disclosures required for financial statements prepared under GAAP have been omitted in accordance with the Securities and Exchange Commission ("SEC") disclosure rules and regulations that permit reduced disclosure for interim</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periods. These unaudited interim condensed consolidated financial statements should be read in conjunction with the audited consolidated financial statements and the related notes thereto included in our Annual Report on Form 10-K for the year ended December 31, 2022 as filed with the SEC on March 16, 2023 ("Annual Report"). The unaudited interim condensed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September 30, 2023, our results of operations and stockholders' equity for the three and nine months ended September 30, 2022 and 2023, and our cash flows for the nine months ended September 30, 2022 and 2023.</w:t>
      </w:r>
    </w:p>
    <w:p>
      <w:pPr>
        <w:spacing w:after="0" w:line="19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2023 are not necessarily indicative of the results of operations to be expected for the year ending December 31, 2023, or for any other interim period, or for any other future year.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preparation of condensed consolidated financial statements in conformity with GAAP requires us to make estimates and assumptions that affect the reported amounts of assets and liabilities, revenue and expenses, and related disclosures of contingent assets and liabilities in the condensed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52"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We are a highly leveraged company. As of September 30, 2023, we had $3,092.5 million aggregate principal amount outstanding under the first lien term loan facility (the "Term Loan Facility"), 5.375% Senior Notes due 2028 (the "5.375% Senior Notes"), and 3.50% Senior Secured Notes due 2028 (the "3.50% Senior Secured Notes"). We primarily finance our operations and capital expenditures with internally-generated cash from operations and hardware leases, and if necessary, borrowings under a revolving credit facility (the "Revolving Credit Facility"). As of September 30, 2023, the Revolving Credit Facility provided for up to $375.0 million of borrowings, none of which was drawn and outstanding as of September 30, 2023. Our primary uses of cash are working capital requirements, debt service requirements and capital expenditures. Based on our current level of operations and available cash and cash equivalents of $277.8 million as of September 30, 2023,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Estimates</w:t>
      </w:r>
    </w:p>
    <w:p>
      <w:pPr>
        <w:spacing w:after="0" w:line="252"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Our Annual Report includes an additional discussion of the significant accounting policies and estimates used in the preparation of our consolidated financial statements. There were no material changes to our significant accounting policies and estimates during the nine months ended 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Indefinite-Lived Intangible Assets and Long-Lived Assets</w:t>
      </w:r>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Goodwill represents the excess of the purchase price over the fair value of identifiable net assets of businesses acquired. Our indefinite-lived intangible asset consists of our Rackspace trade name, which was recorded at fair value on our balance sheet at the date of the Rackspace Acquisition.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84" w:lineRule="auto"/>
        <w:rPr>
          <w:sz w:val="20"/>
          <w:szCs w:val="20"/>
          <w:color w:val="auto"/>
        </w:rPr>
      </w:pPr>
      <w:r>
        <w:rPr>
          <w:rFonts w:ascii="Arial" w:cs="Arial" w:eastAsia="Arial" w:hAnsi="Arial"/>
          <w:sz w:val="16"/>
          <w:szCs w:val="16"/>
          <w:color w:val="auto"/>
        </w:rPr>
        <w:t>On January 1, 2023, as a result of the reorganization of our business around a two-business unit operating model, we changed our reportable segments to Private Cloud and Public Cloud. Our prior Multicloud Services segment has been separated into its public and private cloud components and the offerings previously reported in our Apps &amp; Cross Platform segment have been reassigned to either the Public Cloud or Private Cloud segment based on the nature of the offering. Our prior OpenStack Public Cloud segment is included in Private Cloud. As a result of the segment change, we allocated the goodwill of our former Multicloud Services and Apps &amp; Cross Platform reporting units to the Public Cloud and Private Cloud reporting units based on their relative fair value. OpenStack Public Cloud remains a separate reporting unit for goodwill purposes. Due to the change in our segment reporting and the allocation of goodwill, we completed a quantitative goodwill impairment analysis both prior and subsequent to the aforementioned change. The results of the quantitative goodwill impairment analysis performed as of December 31, 2022 prior to the change indicated an impairment within our former Apps</w:t>
      </w:r>
    </w:p>
    <w:p>
      <w:pPr>
        <w:spacing w:after="0" w:line="1" w:lineRule="exact"/>
        <w:rPr>
          <w:sz w:val="20"/>
          <w:szCs w:val="20"/>
          <w:color w:val="auto"/>
        </w:rPr>
      </w:pPr>
    </w:p>
    <w:p>
      <w:pPr>
        <w:ind w:right="80" w:firstLine="8"/>
        <w:spacing w:after="0" w:line="253" w:lineRule="auto"/>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Cross Platform reporting unit, and we recorded a non-cash impairment charge of $129.3 million in the fourth quarter of 2022 as described in our Annual Report. We reassigned goodwill to the updated reporting units using a relative fair value approach. The results of the quantitative goodwill impairment analysis performed as of January 1, 2023 subsequent to the reorganization indicated an impairment within our Private Cloud reporting unit, and we recorded a non-cash impairment charge of $270.8 million in the first quarter of 2023.</w:t>
      </w:r>
    </w:p>
    <w:p>
      <w:pPr>
        <w:spacing w:after="0" w:line="220"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spacing w:after="0" w:line="19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During the third quarter of 2023, we experienced a sustained decline in our stock price resulting in our market capitalization being less than the carrying value of our combined reporting units. As of September 30,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nine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September 30, 2023.</w:t>
      </w:r>
    </w:p>
    <w:p>
      <w:pPr>
        <w:spacing w:after="0" w:line="222"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have two reporting units with goodwill: Public Cloud and Private Cloud. Goodwill allocated to our third reporting unit, OpenStack Public Cloud, was fully impaired during the fourth quarter of 2021.</w:t>
      </w:r>
    </w:p>
    <w:p>
      <w:pPr>
        <w:spacing w:after="0" w:line="20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For the interim quantitative goodwill impairment analyses performed, we compare the fair values of each of our reporting units to their respective carrying amounts. The fair values of each of our reporting units were derived using the income approach, specifically the discounted cash flow method. The discounted cash flow models reflect our assumptions regarding revenue growth rates, projected gross profit margins, risk-adjusted discount rates, terminal period growth rates, economic and market trends and other expectations about the anticipated operating results of our reporting units. As part of the goodwill impairment test, we also consider our market capitalization in assessing the reasonableness of the combined fair values estimated for our reporting units, including OpenStack Public Cloud. Goodwill impairment is measured as the excess of a reporting unit's carrying amount over its fair value, not to exceed the carrying amount of goodwill for that reporting unit.</w:t>
      </w:r>
    </w:p>
    <w:p>
      <w:pPr>
        <w:spacing w:after="0" w:line="204"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The results of our quantitative goodwill impairment analyses as of January 1, 2023 and March 31, 2023 indicated an impairment of goodwill within our Private Cloud reporting unit, and we recorded non-cash impairment charges of $270.8 million and $272.3 million, respectively, within "Impairment of goodwill" in our Condensed Consolidated Statements of Comprehensive Loss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results of our quantitative goodwill impairment analysis as of September 30, 2023 indicated an impairment of goodwill within our Private Cloud reporting unit, and we recorded non-cash impairment charges of $165.7 million, within "Impairment of goodwill" in our Condensed Consolidated Statements of Comprehensive Loss in the third quarter of 2023.</w:t>
      </w:r>
    </w:p>
    <w:p>
      <w:pPr>
        <w:spacing w:after="0" w:line="21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During the third quarter of 2022, we experienced a sustained decline in our stock price resulting in our market capitalization being less than the carrying value of our combined reporting units. As of September 1, 2022, we assessed several events and circumstances that could affect the significant inputs used to determine the fair value of our reporting units, including the significance of the amount of excess carrying value over fair value, consistency of operating margins and cash flows, budgeted-to-actual performance from prior year, overall change in economic climate, changes in the industry and competitive environment, and earnings quality and sustainability. In addition, as of September 1, 2022, we lowered our projected operating results primarily due to product mix shifts and market concerns related to inflation, supply chain disruption issues and other macroeconomic factors. As such, as of September 1, 2022, we determined it appropriate to perform an interim quantitative assessment of our reporting units, which indicated an impairment of goodwill within the former Multicloud Services reporting unit, and we recorded a non-cash impairment charge of $405.2 million within "Impairment of goodwill" in our Condensed Consolidated Statements of Comprehensive Loss for the three and nine months ended September 30, 2022.</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6, "Goodwill and Intangible Assets" for more information.</w:t>
      </w:r>
    </w:p>
    <w:p>
      <w:pPr>
        <w:spacing w:after="0" w:line="252"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Our indefinite-lived intangible asset is tested for impairment at the consolidated level. 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w:t>
      </w:r>
    </w:p>
    <w:p>
      <w:pPr>
        <w:spacing w:after="0" w:line="21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We performed a quantitative assessment of our indefinite-lived intangible asset prior to testing our goodwill for impairment as of January 1, 2023 and March 31, 2023 which did not indicate any impairment of the Rackspace trade name.</w:t>
      </w:r>
    </w:p>
    <w:p>
      <w:pPr>
        <w:spacing w:after="0" w:line="19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As of September 30, 2023, prior to performing the goodwill impairment analysis, due to the factors discussed in the goodwill analysis above, we performed a quantitative assessment of our indefinite-lived intangible asset utilizing a relief from royalty method. The quantitative assessment performed as of September 30, 2023 indicated the estimated fair value of the Rackspace trade name was less than its carrying value. As a result, we recorded a</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$57.0 million non-cash impairment charge which is included in "Impairment of assets, net" in our Condensed Consolidated Statements of Comprehensive Loss for the three and nine months ended September 30, 2023.</w:t>
      </w:r>
    </w:p>
    <w:p>
      <w:pPr>
        <w:spacing w:after="0" w:line="21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As of September 1, 2022, prior to performing the goodwill impairment analysis, we performed a quantitative assessment of our indefinite-lived intangible asset utilizing a relief from royalty method and determined the estimated fair value of the Rackspace trade name was less than its carrying value. As a result, we recorded a $21.0 million non-cash impairment charge which is included in "Impairment of assets, net" in our Condensed Consolidated Statements of Comprehensive Loss for the three and nine months ended September 30, 2022.</w:t>
      </w:r>
    </w:p>
    <w:p>
      <w:pPr>
        <w:spacing w:after="0" w:line="214"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fair value determination of our reporting units and our indefinite-lived intangible asset is judgmental in nature and requires the use of significant estimates and assumptions that are sensitive to changes. Assumptions include estimation of the royalty rate, estimation of future revenue and projected margins, which are dependent on internal cash flow forecasts, estimation of the terminal growth rates and capital spending, and determination of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spacing w:after="0" w:line="20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Long-lived assets, including operating and finance lease assets,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In conjunction with the goodwill impairment analyses as of January 1, 2023, March 31, 2023, and September 30, 2023, we performed recoverability tests of our long-lived assets, including finite-lived intangible assets, by comparing the net book value of our long-lived assets or asset groups, to the future undiscounted net cash flows attributable to such assets, which did not result in any impairment charges.</w:t>
      </w:r>
    </w:p>
    <w:p>
      <w:pPr>
        <w:spacing w:after="0" w:line="21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As of September 1, 2022, prior to performing the goodwill impairment analysis, we performed a recoverability test of our long-lived assets, including finite-lived intangible assets. Based on the results of the recoverability test, we determined that, as of September 1, 2022, the fair value of the OpenStack Public Cloud asset group’s underlying assets was less than the carrying value. Fair values of the OpenStack Public Cloud long-lived assets were determined using the cost approach. As a result, we recorded non-cash impairment charges totaling $37.7 million related to property, equipment and software, net and intangible assets, which are included in "Impairment of assets, net" on our Condensed Consolidated Statements of Comprehensive Loss for the three and nine months ended September 30, 2022. See Note 5, "Property, Equipment and Software, Net," and Note 6, "Goodwill and Intangible Assets," for more information.</w:t>
      </w:r>
    </w:p>
    <w:p>
      <w:pPr>
        <w:spacing w:after="0" w:line="22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The fair value of our non-financial assets and liabilities, which include goodwill, intangible assets and property, plant and equipment, are measured on a non-recurring basis. The fair value of our reporting units, indefinite-lived intangible assets and long-lived assets are classified as Level 3 within the fair value hierarchy due to the significant unobservable inputs developed using company-specific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Reference Rate Reform</w:t>
      </w:r>
    </w:p>
    <w:p>
      <w:pPr>
        <w:spacing w:after="0" w:line="252" w:lineRule="exact"/>
        <w:rPr>
          <w:sz w:val="20"/>
          <w:szCs w:val="20"/>
          <w:color w:val="auto"/>
        </w:rPr>
      </w:pPr>
    </w:p>
    <w:p>
      <w:pPr>
        <w:ind w:right="80" w:firstLine="486"/>
        <w:spacing w:after="0" w:line="284" w:lineRule="auto"/>
        <w:rPr>
          <w:sz w:val="20"/>
          <w:szCs w:val="20"/>
          <w:color w:val="auto"/>
        </w:rPr>
      </w:pPr>
      <w:r>
        <w:rPr>
          <w:rFonts w:ascii="Arial" w:cs="Arial" w:eastAsia="Arial" w:hAnsi="Arial"/>
          <w:sz w:val="16"/>
          <w:szCs w:val="16"/>
          <w:color w:val="auto"/>
        </w:rPr>
        <w:t xml:space="preserve">The United Kingdom's Financial Conduct Authority, which regulates the London Interbank Offered Rate ("LIBOR"), announced that it will not compel panel banks to contribute to the overnight 1, 3, 6 and 12 months U.S. dollar LIBOR tenors after June 30, 2023 and all other tenors after December 31, 2021. U.S. dollar LIBOR may be replaced by the Secured Overnight Financing Rate ("SOFR") or other benchmark rates over the next several years. In March 2020, the Financial Accounting Standards Board ("FASB") issued Accounting Standards Update ("ASU") No.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(ASC 848) - Facilitation of the Effects of Reference Rate Reform on Financial Reporting </w:t>
      </w:r>
      <w:r>
        <w:rPr>
          <w:rFonts w:ascii="Arial" w:cs="Arial" w:eastAsia="Arial" w:hAnsi="Arial"/>
          <w:sz w:val="16"/>
          <w:szCs w:val="16"/>
          <w:color w:val="auto"/>
        </w:rPr>
        <w:t>containing practical expedients for reference rate reform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activities that impact debt, leases, derivatives and other contracts. In December 2022, the FASB issued ASU No. 2022-06, </w:t>
      </w:r>
      <w:r>
        <w:rPr>
          <w:rFonts w:ascii="Arial" w:cs="Arial" w:eastAsia="Arial" w:hAnsi="Arial"/>
          <w:sz w:val="16"/>
          <w:szCs w:val="16"/>
          <w:i w:val="1"/>
          <w:iCs w:val="1"/>
          <w:color w:val="auto"/>
        </w:rPr>
        <w:t>Reference Rate Reform (ASC</w:t>
      </w:r>
    </w:p>
    <w:p>
      <w:pPr>
        <w:spacing w:after="0" w:line="4"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Deferral of the Sunset Date of Topic 848</w:t>
      </w:r>
      <w:r>
        <w:rPr>
          <w:rFonts w:ascii="Arial" w:cs="Arial" w:eastAsia="Arial" w:hAnsi="Arial"/>
          <w:sz w:val="16"/>
          <w:szCs w:val="16"/>
          <w:color w:val="auto"/>
        </w:rPr>
        <w:t>, which extended the date to apply the practical expedients outlined in ASU No. 2020-04 from December 31,</w:t>
      </w:r>
    </w:p>
    <w:p>
      <w:pPr>
        <w:spacing w:after="0" w:line="32" w:lineRule="exact"/>
        <w:rPr>
          <w:rFonts w:ascii="Arial" w:cs="Arial" w:eastAsia="Arial" w:hAnsi="Arial"/>
          <w:sz w:val="16"/>
          <w:szCs w:val="16"/>
          <w:i w:val="1"/>
          <w:iCs w:val="1"/>
          <w:color w:val="auto"/>
        </w:rPr>
      </w:pPr>
    </w:p>
    <w:p>
      <w:pPr>
        <w:ind w:right="280"/>
        <w:spacing w:after="0" w:line="260" w:lineRule="auto"/>
        <w:rPr>
          <w:rFonts w:ascii="Arial" w:cs="Arial" w:eastAsia="Arial" w:hAnsi="Arial"/>
          <w:sz w:val="16"/>
          <w:szCs w:val="16"/>
          <w:i w:val="1"/>
          <w:iCs w:val="1"/>
          <w:color w:val="auto"/>
        </w:rPr>
      </w:pPr>
      <w:r>
        <w:rPr>
          <w:rFonts w:ascii="Arial" w:cs="Arial" w:eastAsia="Arial" w:hAnsi="Arial"/>
          <w:sz w:val="18"/>
          <w:szCs w:val="18"/>
          <w:color w:val="auto"/>
        </w:rPr>
        <w:t>2022 to December 31, 2024. The guidance in these ASUs is optional and may be applied from March 12, 2020 through December 31, 2024 as reference rate reform activities occur.</w:t>
      </w:r>
    </w:p>
    <w:p>
      <w:pPr>
        <w:spacing w:after="0" w:line="21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During the second quarter of 2023, we elected to apply certain practical expedients in connection with the execution of amendments to our affected contracts that referenced LIBOR. On April 26, 2023, we executed an amendment to our First Lien Credit Agreement, which governs our Senior Facilities borrowings, to establish Term SOFR as the benchmark rate for determining the applicable interest rate, replacing LIBOR. In addition, effective May 9, 2023, we amended our interest rate swap agreement to change the index from three-month LIBOR to one-month Term SOFR. See Note 7, "Debt" and Note 12, "Derivatives" for more information. We continue to evaluate the impact of the guidance and may apply other elections prior to December 31, 2024, as applicable, as additional changes in the market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balances related to customer contracts:</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3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760" w:type="dxa"/>
            <w:vAlign w:val="bottom"/>
            <w:gridSpan w:val="2"/>
          </w:tcPr>
          <w:p>
            <w:pPr>
              <w:ind w:left="120"/>
              <w:spacing w:after="0"/>
              <w:rPr>
                <w:sz w:val="20"/>
                <w:szCs w:val="20"/>
                <w:color w:val="auto"/>
              </w:rPr>
            </w:pPr>
            <w:r>
              <w:rPr>
                <w:rFonts w:ascii="Arial" w:cs="Arial" w:eastAsia="Arial" w:hAnsi="Arial"/>
                <w:sz w:val="16"/>
                <w:szCs w:val="16"/>
                <w:b w:val="1"/>
                <w:bCs w:val="1"/>
                <w:color w:val="auto"/>
                <w:w w:val="94"/>
              </w:rPr>
              <w:t>Condensed Consolidated Balance Sheets Account</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September 30, 2023</w:t>
            </w:r>
          </w:p>
        </w:tc>
      </w:tr>
      <w:tr>
        <w:trPr>
          <w:trHeight w:val="21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660" w:type="dxa"/>
            <w:vAlign w:val="bottom"/>
            <w:tcBorders>
              <w:top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348.7</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Current portion of contract assets</w:t>
            </w: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contract assets</w:t>
            </w: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Current portion of deferred revenue</w:t>
            </w: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81.6</w:t>
            </w: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revenue</w:t>
            </w: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Allowance for credit losses and accrued customer credits was $24.6 million and $19.8 million as of December 31, 2022 and September 30, 2023, respectively.</w:t>
      </w:r>
    </w:p>
    <w:p>
      <w:pPr>
        <w:spacing w:after="0" w:line="25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identified an immaterial correction in the disclosure of the amount previously reported as recognized in revenue for the three and nine months ended September 30, 2022, which were included in deferred revenue as of the beginning of the period and have updated these amounts to $17.1 million and $83.7 million, respectively. Amounts recognized in revenue for the three and nine months ended September 30, 2023, which were included in deferred revenue as of the beginning of the period totaled $30.0 million and $68.0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Incurred to Obtain and Fulfill a Contract</w:t>
      </w:r>
    </w:p>
    <w:p>
      <w:pPr>
        <w:spacing w:after="0" w:line="239"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As of December 31, 2022 and September 30, 2023, the balances of capitalized costs to obtain a contract were $55.8 million and $43.9 million, respectively, and the balances of capitalized costs to fulfill a contract were $17.7 million and $14.4 million, respectively. These capitalized costs are included in "Other non-current assets" on the Condensed Consolidated Balance Sheets.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of capitalized sales commissions and implementation costs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capitalized sales commissions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Amortization of capitalized implementation costs</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10.1</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As of September 30, 2023, the aggregate amount of transaction price allocated to remaining performance obligations was $465.4 million, of which approximately 22% is expected to be recognized as revenue during the remainder of 2023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w:t>
      </w:r>
    </w:p>
    <w:p>
      <w:pPr>
        <w:spacing w:after="0" w:line="252" w:lineRule="exact"/>
        <w:rPr>
          <w:sz w:val="20"/>
          <w:szCs w:val="20"/>
          <w:color w:val="auto"/>
        </w:rPr>
      </w:pPr>
    </w:p>
    <w:p>
      <w:pPr>
        <w:ind w:right="640" w:firstLine="486"/>
        <w:spacing w:after="0" w:line="291" w:lineRule="auto"/>
        <w:rPr>
          <w:sz w:val="20"/>
          <w:szCs w:val="20"/>
          <w:color w:val="auto"/>
        </w:rPr>
      </w:pPr>
      <w:r>
        <w:rPr>
          <w:rFonts w:ascii="Arial" w:cs="Arial" w:eastAsia="Arial" w:hAnsi="Arial"/>
          <w:sz w:val="16"/>
          <w:szCs w:val="16"/>
          <w:color w:val="auto"/>
        </w:rPr>
        <w:t>On September 27, 2022, we entered into a convertible note purchase agreement with a private company that is also a customer and a vendor. Pursuant to the purchase agreement, we purchased an unsecured convertible promissory note (the “Note”) in an aggregate principal amount of</w:t>
      </w:r>
    </w:p>
    <w:p>
      <w:pPr>
        <w:ind w:right="20"/>
        <w:spacing w:after="0" w:line="273" w:lineRule="auto"/>
        <w:rPr>
          <w:sz w:val="20"/>
          <w:szCs w:val="20"/>
          <w:color w:val="auto"/>
        </w:rPr>
      </w:pPr>
      <w:r>
        <w:rPr>
          <w:rFonts w:ascii="Arial" w:cs="Arial" w:eastAsia="Arial" w:hAnsi="Arial"/>
          <w:sz w:val="17"/>
          <w:szCs w:val="17"/>
          <w:color w:val="auto"/>
        </w:rPr>
        <w:t xml:space="preserve">$15.0 million. The Note accrues simple interest at a rate of 6% per annum and matures on September 27, 2027, unless earlier converted per the terms of the agreement. Principal and accrued interest are due and payable on the maturity date. We elected to apply the fair value option under ASC No. 825,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to account for the Note. As of December 31, 2022 and September 30, 2023, the fair value of the Note was $11.8 million and $12.8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and is included in “Other non-current assets”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Sale of Receivables</w:t>
      </w:r>
    </w:p>
    <w:p>
      <w:pPr>
        <w:spacing w:after="0" w:line="256"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On September 29, 2023 (the “Closing Date”), Rackspace US, Inc. and Rackspace Receivables II, LLC, a bankruptcy-remote special purpose vehicle (“SPV”), each an indirect subsidiary of the company, entered into an accounts receivable purchase agreement (the “Receivables Facility”) with PNC Bank, National Association (“PNC”) and other parties thereto.</w:t>
      </w:r>
    </w:p>
    <w:p>
      <w:pPr>
        <w:spacing w:after="0" w:line="211"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Under the Receivables Facility, certain indirect wholly-owned subsidiaries of the company have sold and/or contributed, and may continue to sell and/or contribute on a revolving basis, their current and future accounts receivable to the SPV, which, in turn, will sell and transfer, and may continue to sell and transfer, the accounts receivable to PNC in exchange for cash. The Receivables Facility will terminate on September 29, 2026 unless earlier terminated in accordance with its terms and the SPV can sell accounts receivable based upon the face amount of eligible receivables in the collateral pool up to an aggregate maximum limit of $300.0 million. The purpose of this arrangement is to enhance the company's financial flexibility by providing additional liquidity.</w:t>
      </w:r>
    </w:p>
    <w:p>
      <w:pPr>
        <w:spacing w:after="0" w:line="219" w:lineRule="exact"/>
        <w:rPr>
          <w:sz w:val="20"/>
          <w:szCs w:val="20"/>
          <w:color w:val="auto"/>
        </w:rPr>
      </w:pPr>
    </w:p>
    <w:p>
      <w:pPr>
        <w:ind w:right="320" w:firstLine="486"/>
        <w:spacing w:after="0" w:line="301" w:lineRule="auto"/>
        <w:rPr>
          <w:sz w:val="20"/>
          <w:szCs w:val="20"/>
          <w:color w:val="auto"/>
        </w:rPr>
      </w:pPr>
      <w:r>
        <w:rPr>
          <w:rFonts w:ascii="Arial" w:cs="Arial" w:eastAsia="Arial" w:hAnsi="Arial"/>
          <w:sz w:val="16"/>
          <w:szCs w:val="16"/>
          <w:color w:val="auto"/>
        </w:rPr>
        <w:t>The Receivables Facility is subject to yield charges based upon a rate as specified in the agreement. The SPV is also required to pay certain customary fees on a monthly basis in addition to an upfront fee and a commitment fee. The Receivables Facility contains certain customary termination events, as well as customary representations and warranties, affirmative and negative covenants, indemnification provisions, and events of default, including those providing for the acceleration of amounts owed by the SPV to PNC upon the occurrence of certain events.</w:t>
      </w:r>
    </w:p>
    <w:p>
      <w:pPr>
        <w:spacing w:after="0" w:line="18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transfer of receivables to PNC are accounted for as sales because effective control and risk associated with the receivables is passed to PNC. As these transfers represent true sales, we derecognize the sold receivables from our Condensed Consolidated Balance Sheets. Cash proceeds related to the receivables sold are included in cash from operating activities in the Condensed Consolidated Statements of Cash Flows. Yield charges and fees recorded in connection with the sales are recorded within “Other expense, net” in the Condensed Consolidated Statements of Comprehensive Loss. The company maintains continuing involvement with the sold receivables by providing collection services in exchange for a servicing fee. Servicing fees are immaterial and no servicing asset or liability has been recognized. The company may incur a recourse obligation in limited circumstances. Separate accruals have been established for recourse obligations and are immaterial as of September 30, 2023.</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September 30, 2023, we had sold accounts receivable having an aggregate face value of $209.0 million in exchange for cash proceeds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$209.0 million. In connection with this sale, we recorded $4.9 million of expense, consisting of $1.6 million of estimated yield charges representing a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sale and $3.3 million of transaction costs, within “Other expense, net” in the Condensed Consolidated Statements of Comprehensive Loss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nine months ended September 30, 2023. We used $50.0 million of the cash proceeds to fully repay the outstanding borrowings under the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and the remainder will be used for general corporate purposes. The SPV holds unsold receivables of $130.6 million as of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2023 that are pledged as collateral to PNC.</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5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Basic net loss per share is calculated by dividing net loss attributable to common stockholders by the weighted average shares outstanding during the period.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7"/>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2023</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loss per share: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80" w:type="dxa"/>
            <w:vAlign w:val="bottom"/>
          </w:tcPr>
          <w:p>
            <w:pPr>
              <w:ind w:left="480"/>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(511.7)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(590.8)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(865.8)</w:t>
            </w:r>
          </w:p>
        </w:tc>
      </w:tr>
      <w:tr>
        <w:trPr>
          <w:trHeight w:val="219"/>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Common stock</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r>
      <w:tr>
        <w:trPr>
          <w:trHeight w:val="207"/>
        </w:trPr>
        <w:tc>
          <w:tcPr>
            <w:tcW w:w="4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Number of shares used in per share computations</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w:t>
            </w:r>
          </w:p>
        </w:tc>
      </w:tr>
      <w:tr>
        <w:trPr>
          <w:trHeight w:val="213"/>
        </w:trPr>
        <w:tc>
          <w:tcPr>
            <w:tcW w:w="4580" w:type="dxa"/>
            <w:vAlign w:val="bottom"/>
          </w:tcPr>
          <w:p>
            <w:pPr>
              <w:ind w:left="680"/>
              <w:spacing w:after="0"/>
              <w:rPr>
                <w:sz w:val="20"/>
                <w:szCs w:val="20"/>
                <w:color w:val="auto"/>
              </w:rPr>
            </w:pPr>
            <w:r>
              <w:rPr>
                <w:rFonts w:ascii="Arial" w:cs="Arial" w:eastAsia="Arial" w:hAnsi="Arial"/>
                <w:sz w:val="16"/>
                <w:szCs w:val="16"/>
                <w:color w:val="auto"/>
              </w:rPr>
              <w:t>Net loss per share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color w:val="auto"/>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all periods presented, basic net loss per share is the same as diluted net loss per share for all periods as the inclusion of all potential common shares outstanding would have been anti-dilutive. We excluded 24.2 million and 41.1 million potential common shares from the computation of dilutive loss per share for the three months ended September 30, 2022 and 2023, respectively, and 24.2 million and 41.1 million potential shares for the nine months ended September 30, 2022 and 2023, respectively, because the effect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Equipment and Software,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equipment and software, net,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September 30,</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458.9</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406.3</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equipment and software, at cost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2,037.0</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Less: Accumulated depreciation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(1,437.4)</w:t>
            </w: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Work in process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614.4</w:t>
            </w: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For the three and nine months ended September 30, 2022, we recognized property, equipment and software impairment charges of $15.3 million related to the OpenStack Public Cloud long-lived assets. See Note 1, "Company Overview, Basis of Presentation, and Summary of Significant Accounting Policies," for discussion of the long-lived asset impairment charges.</w:t>
      </w:r>
    </w:p>
    <w:p>
      <w:pPr>
        <w:spacing w:after="0" w:line="211"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In October 2022, we announced our intention to sell our current corporate headquarters facility located in Windcrest, Texas and relocate our corporate headquarters to leased office space in San Antonio, Texas. As of December 31, 2022, this property met the criteria to be classified as held for sale under GAAP. The property's previous carrying amount of $82.7 million was written down to its estimated fair value, less estimated cost to sell, of</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$12.1 million, resulting in a $70.6 million impairment charge included in "Impairment of assets, net" in the fourth quarter of 2022. The property's estimated fair value, less estimated cost to sell, of $12.1 million was recorded in "Other current assets" in the Condensed Consolidated Balance Sheets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July 2023, we entered into a purchase and sale agreement with a potential buyer of the property for $21.5 million. Under held for sale accounting, the carrying amount of the property held for sale should be remeasured each reporting period for changes in fair value less cost to sell. As such, we increased the property’s estimated fair value, less estimated cost to sell, to $20.7 million as of September 30, 2023, resulting in an $8.6 million gain, which is included in "Impairment of assets, net" in our Condensed Consolidated Statements of Comprehensive Loss for the three and nine months ended September 30, 2023. We are currently in negotiations with certain local governments and other parties to terminate the Master Economic Incentives Agreement associated with the property which could require us to pay a termination fee upon completion of the sale.</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56" w:lineRule="exact"/>
        <w:rPr>
          <w:sz w:val="20"/>
          <w:szCs w:val="20"/>
          <w:color w:val="auto"/>
        </w:rPr>
      </w:pPr>
    </w:p>
    <w:p>
      <w:pPr>
        <w:jc w:val="both"/>
        <w:ind w:right="860" w:firstLine="486"/>
        <w:spacing w:after="0" w:line="311" w:lineRule="auto"/>
        <w:rPr>
          <w:sz w:val="20"/>
          <w:szCs w:val="20"/>
          <w:color w:val="auto"/>
        </w:rPr>
      </w:pPr>
      <w:r>
        <w:rPr>
          <w:rFonts w:ascii="Arial" w:cs="Arial" w:eastAsia="Arial" w:hAnsi="Arial"/>
          <w:sz w:val="16"/>
          <w:szCs w:val="16"/>
          <w:color w:val="auto"/>
        </w:rPr>
        <w:t>The following table sets forth the changes in the carrying amounts of goodwill by reportable segment. As a result of the January 1, 2023 reorganization, we changed our segment reporting to reflect this reorganization under two reportable segments: Public Cloud and Private Cloud. Accordingly, we reallocated the total consolidated net balance of goodwill as of January 1, 2023 under the new segments,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Public Cloud</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3"/>
              </w:rPr>
              <w:t>Private Cloud</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Multicloud</w:t>
            </w:r>
          </w:p>
        </w:tc>
        <w:tc>
          <w:tcPr>
            <w:tcW w:w="12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Apps &amp; Cross</w:t>
            </w:r>
          </w:p>
        </w:tc>
        <w:tc>
          <w:tcPr>
            <w:tcW w:w="14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OpenStack</w:t>
            </w:r>
          </w:p>
        </w:tc>
        <w:tc>
          <w:tcPr>
            <w:tcW w:w="140" w:type="dxa"/>
            <w:vAlign w:val="bottom"/>
          </w:tcPr>
          <w:p>
            <w:pPr>
              <w:spacing w:after="0"/>
              <w:rPr>
                <w:sz w:val="16"/>
                <w:szCs w:val="16"/>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Services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Platform</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1"/>
              </w:rPr>
              <w:t>Public Cloud</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goodwill as of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3,037.0</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impairment charges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(881.9)</w:t>
            </w: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net as of December 31, 2022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216"/>
        </w:trPr>
        <w:tc>
          <w:tcPr>
            <w:tcW w:w="336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Reallocation adjustment </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Impairment of goodwill</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net as of September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goodwill as of September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2,156.9</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impairment charges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(708.8)</w:t>
            </w: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net as of September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right="420" w:hanging="492"/>
        <w:spacing w:after="0" w:line="275" w:lineRule="auto"/>
        <w:tabs>
          <w:tab w:leader="none" w:pos="40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the adjustment to reallocate goodwill of the former Multicloud Services and Apps &amp; Cross Platform reportable segments to Public Cloud and Private Cloud reportable segments, using the relative fair value basis, as a result of the January 1, 2023 reorganization.</w:t>
      </w:r>
    </w:p>
    <w:p>
      <w:pPr>
        <w:spacing w:after="0" w:line="195"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color w:val="auto"/>
        </w:rPr>
        <w:t>See Note 1, "Company Overview, Basis of Presentation, and Summary of Significant Accounting Policies," for discussion of the goodwill impairment charges recorded during the nine months ended September 30, 2022 and 2023.</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regarding our intangible assets other than goodwill: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8"/>
              </w:rPr>
              <w:t>December 31, 2022</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2023</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8"/>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w w:val="98"/>
              </w:rPr>
              <w:t>Net carrying</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amortization</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amortization</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896.3</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7"/>
              </w:rPr>
              <w:t>Total definite-lived intangible 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897.8</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Trade name (indefinite-lived)</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340"/>
              <w:spacing w:after="0" w:line="148" w:lineRule="exact"/>
              <w:rPr>
                <w:sz w:val="20"/>
                <w:szCs w:val="20"/>
                <w:color w:val="auto"/>
              </w:rPr>
            </w:pPr>
            <w:r>
              <w:rPr>
                <w:rFonts w:ascii="Arial" w:cs="Arial" w:eastAsia="Arial" w:hAnsi="Arial"/>
                <w:sz w:val="16"/>
                <w:szCs w:val="16"/>
                <w:color w:val="auto"/>
              </w:rPr>
              <w:t>Total intangible assets other than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2,173.2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(937.2)</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1,236.0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2,117.0</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(1,059.2)</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1,057.8</w:t>
            </w: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goodwill</w:t>
            </w:r>
          </w:p>
        </w:tc>
        <w:tc>
          <w:tcPr>
            <w:tcW w:w="12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During the three and nine months ended September 30, 2023 we recognized impairment charges of $57.0 million related to our trade name indefinite-lived intangible asset.</w:t>
      </w:r>
    </w:p>
    <w:p>
      <w:pPr>
        <w:spacing w:after="0" w:line="197" w:lineRule="exact"/>
        <w:rPr>
          <w:sz w:val="20"/>
          <w:szCs w:val="20"/>
          <w:color w:val="auto"/>
        </w:rPr>
      </w:pPr>
    </w:p>
    <w:p>
      <w:pPr>
        <w:ind w:right="340" w:firstLine="486"/>
        <w:spacing w:after="0" w:line="308" w:lineRule="auto"/>
        <w:rPr>
          <w:sz w:val="20"/>
          <w:szCs w:val="20"/>
          <w:color w:val="auto"/>
        </w:rPr>
      </w:pPr>
      <w:r>
        <w:rPr>
          <w:rFonts w:ascii="Arial" w:cs="Arial" w:eastAsia="Arial" w:hAnsi="Arial"/>
          <w:sz w:val="17"/>
          <w:szCs w:val="17"/>
          <w:color w:val="auto"/>
        </w:rPr>
        <w:t>Additionally, during the three and nine months ended September 30, 2022 we recognized impairment charges of $21.0 million and $22.4 million related to our trade name indefinite-lived intangible asset and the OpenStack Public Cloud definite-lived intangible assets, respectively.</w:t>
      </w:r>
    </w:p>
    <w:p>
      <w:pPr>
        <w:spacing w:after="0" w:line="173"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For more information, see the discussion of our impairment charges in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(In millions, except %)</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September 30, 2023</w:t>
            </w:r>
          </w:p>
        </w:tc>
      </w:tr>
      <w:tr>
        <w:trPr>
          <w:trHeight w:val="215"/>
        </w:trPr>
        <w:tc>
          <w:tcPr>
            <w:tcW w:w="336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Debt Instrument</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220"/>
              <w:spacing w:after="0" w:line="216"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20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Loan Facility</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15,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2,259.8</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8.19%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2,242.5</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Revolving Credit Facility</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7, 2025</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3.50% Senior Secured Notes</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15,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5.375% Senior Notes</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December 1, 2028</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5.375%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550.0</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5.375%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1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unamortized debt discount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3,059.0</w:t>
            </w:r>
          </w:p>
        </w:tc>
      </w:tr>
      <w:tr>
        <w:trPr>
          <w:trHeight w:val="213"/>
        </w:trPr>
        <w:tc>
          <w:tcPr>
            <w:tcW w:w="3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Less: current portion of debt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r>
      <w:tr>
        <w:trPr>
          <w:trHeight w:val="238"/>
        </w:trPr>
        <w:tc>
          <w:tcPr>
            <w:tcW w:w="3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Debt, excluding current portion</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3,295.4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3,011.6</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Interest rates are as of each respective balance sheet date.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Facilities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senior secured credit facilities include the Term Loan Facility and the Revolving Credit Facility (together, the "Senior Facilities").</w:t>
      </w:r>
    </w:p>
    <w:p>
      <w:pPr>
        <w:spacing w:after="0" w:line="252"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On February 9, 2021, we amended and restated the credit agreement governing our Senior Facilities (the "First Lien Credit Agreement"), which included a new seven-year $2,300.0 million senior secured first lien term loan facility due on February 15, 2028 and our existing $375.0 million Revolving Credit Facility. We used the borrowings under the Term Loan Facility, together with the proceeds from the issuance of the 3.50% Senior Secured Notes described below (together, the "February 2021 Refinancing Transaction"), to repay all borrowings under our prior term loan facility (the "Prior Term Loan Facility"), to pay related fees and expenses and for general corporate purposes.</w:t>
      </w:r>
    </w:p>
    <w:p>
      <w:pPr>
        <w:spacing w:after="0" w:line="20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On April 26, 2023, we executed an amendment to our First Lien Credit Agreement to establish Term SOFR as the benchmark rate for determining the applicable interest rate, replacing LIBOR.</w:t>
      </w:r>
    </w:p>
    <w:p>
      <w:pPr>
        <w:spacing w:after="0" w:line="19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As a result of the amendment, 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the credit spread adjustment recommended by the Alternative Reference Rates Committee, adjusted for certain additional costs, subject to a 0.75% floor, in the case of the Term Loan Facility, and a 1.00% floor, in the case of the Revolving Credit Facility, or (b) a base rate determined by reference to the highest of (i) the federal funds rate plus 0.50%, (ii) the prime rate of Citibank, N.A. and (iii) adjusted Term SOFR for a one-month tenor plus 1.00%.</w:t>
      </w:r>
    </w:p>
    <w:p>
      <w:pPr>
        <w:spacing w:after="0" w:line="205"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The credit spread adjustment is 0.11% for an interest period of one-month's duration, 0.26% for an interest period of three-months' duration, and 0.43% for an interest period of six-months' duration. The applicable margin for the Term Loan Facility is 2.75% for SOFR loans and 1.75% for base rate loans and the applicable margin for the Revolving Credit Facility is 3.00% for SOFR loans and 2.00% for base rate loans. Interest is due at the end of each interest period elected, not exceeding 90 days, for SOFR loans and at the end of every calendar quarter for base rate loans.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material terms and conditions of the First Lien Credit Agreement were unchanged.</w:t>
      </w:r>
    </w:p>
    <w:p>
      <w:pPr>
        <w:spacing w:after="0" w:line="239"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spacing w:after="0" w:line="21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As of September 30, 2023, the interest rate on the Term Loan Facility was 8.19%. We are required to make quarterly principal payments of $5.8 million, which began on June 30, 2021. See Note 12, "Derivatives," for information on interest rate swap agreements we utilize to manage the interest rate risk on the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Affiliates of ABRY Partners, LLC and ABRY Partners II, LLC (collectively, "ABRY"), are Term Loan Facility lenders under the First Lien Credit Agreement. As of September 30, 2023, the outstanding principal amount of the Term Loan Facility was $2,242.5 million, of which $58.5 million, or 2.6%, is due to ABRY affiliates. Investment funds affiliated with ABRY are also co-investors in Rackspace Technology.</w:t>
      </w:r>
    </w:p>
    <w:p>
      <w:pPr>
        <w:spacing w:after="0" w:line="19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As of September 30, 2023, Apollo Global Management, Inc. also held $24.3 million, or 1.1%, of the outstanding principal amount of the Term Loan Facility.</w:t>
      </w:r>
    </w:p>
    <w:p>
      <w:pPr>
        <w:spacing w:after="0" w:line="197" w:lineRule="exact"/>
        <w:rPr>
          <w:sz w:val="20"/>
          <w:szCs w:val="20"/>
          <w:color w:val="auto"/>
        </w:rPr>
      </w:pPr>
    </w:p>
    <w:p>
      <w:pPr>
        <w:ind w:right="320" w:firstLine="486"/>
        <w:spacing w:after="0" w:line="275" w:lineRule="auto"/>
        <w:rPr>
          <w:sz w:val="20"/>
          <w:szCs w:val="20"/>
          <w:color w:val="auto"/>
        </w:rPr>
      </w:pPr>
      <w:r>
        <w:rPr>
          <w:rFonts w:ascii="Arial" w:cs="Arial" w:eastAsia="Arial" w:hAnsi="Arial"/>
          <w:sz w:val="17"/>
          <w:szCs w:val="17"/>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 except in connection with a repricing event, as defined in the First Lien Credit Agreement.</w:t>
      </w:r>
    </w:p>
    <w:p>
      <w:pPr>
        <w:spacing w:after="0" w:line="203"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The fair value of the Term Loan Facility as of September 30, 2023 was $1,009.1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11" w:lineRule="exact"/>
        <w:rPr>
          <w:sz w:val="20"/>
          <w:szCs w:val="20"/>
          <w:color w:val="auto"/>
        </w:rPr>
      </w:pPr>
    </w:p>
    <w:p>
      <w:pPr>
        <w:ind w:right="140" w:firstLine="486"/>
        <w:spacing w:after="0" w:line="289" w:lineRule="auto"/>
        <w:rPr>
          <w:sz w:val="20"/>
          <w:szCs w:val="20"/>
          <w:color w:val="auto"/>
        </w:rPr>
      </w:pPr>
      <w:r>
        <w:rPr>
          <w:rFonts w:ascii="Arial" w:cs="Arial" w:eastAsia="Arial" w:hAnsi="Arial"/>
          <w:sz w:val="16"/>
          <w:szCs w:val="16"/>
          <w:color w:val="auto"/>
        </w:rPr>
        <w:t>Rackspace Technology Global is the borrower under the Senior Facilities, and all obligations under the Senior Facilities are (i) guaranteed by Inception Parent, Inc., Rackspace Technology Global's immediate parent company, on a limited recourse basis and secured by the equity interests of Rackspace Technology Global held by Inception Parent, Inc.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is equal to or greater than 35% of the Revolving Credit Facility commitments at the end of a fiscal quarter. Other covenants include limitations on restricted payments, indebtedness, investments, liens, asset sales and transactions with affiliates.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we were in compliance with all covenants under the Senior Facilities.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Revolving Credit Facility matures on August 7, 2025. During the nine months ended September 30, 2023, we borrowed and fully repaid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$50.0 million. As of September 30, 2023, we had total commitments of $375.0 million, no outstanding borrowings under the Revolving Credit Facility,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$3.5 million of letters of credit issued thereunder. As such, as of September 30, 2023, we had $375.0 million of available commitments remaining.</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3.50% Senior Secured Notes due 2028</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February 9, 2021, Rackspace Technology Global issued $550.0 million aggregate principal amount of the 3.50% Senior Secured Notes.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3.50% Senior Secured Notes will mature on February 15, 2028 and bear interest at an annual fixed rate of 3.50%. Interest is payable semiannually on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15 and August 15, commencing on August 15, 2021. The 3.50% Senior Secured Notes are not subject to registration rights. As noted above,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the net proceeds from the issuance of the 3.50% Senior Secured Notes, together with borrowings under the Term Loan Facility described above,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repay all borrowings outstanding under the Prior Term Loan Facility, to pay related fees and expenses and for general corporate purposes.</w:t>
      </w:r>
    </w:p>
    <w:p>
      <w:pPr>
        <w:spacing w:after="0" w:line="23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The indenture governing the 3.50% Senior Secured Notes (the "3.50% Notes Indenture") describes certain terms and conditions under which other current and future domestic subsidiaries are required to become guarantors of the 3.50% Senior 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Rackspace Technology Global may redeem the 3.50% Senior Secured Notes at its option, in whole at any time or in part from time to time, at the following redemption prices: prior to February 15, 2024, at a redemption price equal to 100.000% of the principal amount, plus the applicable premium described in the 3.50% Notes Indenture and accrued and unpaid interest, if any, to but excluding the redemption date;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Rackspace Technology Global may also redeem prior to February 15, 2024 up to 40.0% of the aggregate principal amount of the 3.50% Senior Secured Notes with funds in an aggregate amount not to exceed the net cash proceeds from certain equity offerings at a redemption price equal to 103.500% of the principal amount of the 3.50% Senior Secured Notes to be redeemed,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19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Rackspace Technology Global was in compliance with all covenants under the 3.50% Notes Indenture.</w:t>
      </w:r>
    </w:p>
    <w:p>
      <w:pPr>
        <w:spacing w:after="0" w:line="252"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fair value of the 3.50% Senior Secured Notes as of September 30, 2023 was $247.5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5.375% Senior Notes due 2028</w:t>
      </w:r>
    </w:p>
    <w:p>
      <w:pPr>
        <w:spacing w:after="0" w:line="252"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On December 1, 2020, Rackspace Technology Global issued $550.0 million aggregate principal amount of the 5.375% Senior Notes. The 5.375% Senior Notes will mature on December 1, 2028 and bear interest at an annual fixed rate of 5.375%. Interest is payable semiannually on each June 1 and December 1, commencing on June 1, 2021. The 5.375% Senior Notes are not subject to registration rights.</w:t>
      </w:r>
    </w:p>
    <w:p>
      <w:pPr>
        <w:spacing w:after="0" w:line="19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indenture governing the 5.375% Senior Notes (the "5.375% Notes Indenture") describes certain terms and conditions under which other current and future domestic subsidiaries are required to become guarantors of the 5.375% Senior Notes.</w:t>
      </w:r>
    </w:p>
    <w:p>
      <w:pPr>
        <w:spacing w:after="0" w:line="21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5.375% Notes Indenture and accrued and unpaid interest, if any, to but excluding the redemption date; from December 1, 2023 to November 30, 2024, at a redemption price equal to 102.688% of the principal amount, plus accrued and unpaid interest, if any, to but excluding the redemption date;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prior to December 1, 2023 up to 40.0%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During the three and nine months ended September 30, 2023, Rackspace Technology Global repurchased and surrendered for cancellation $85.2 million and $250.0 million principal amount of 5.375% Senior Notes for $29.8 million and $86.6 million, including accrued interest of $0.8 million and $2.1 million, respectively. In connection with these repurchases, we recorded a "Gain on debt extinguishment" of $55.4 million and $163.1 million, respectively, in our Condensed Consolidated Statements of Comprehensive Loss for the three and nine months ended September 30, 2023, which includes $0.8 million and $2.4 million of unamortized debt issuance costs write-offs, respectively.</w:t>
      </w:r>
    </w:p>
    <w:p>
      <w:pPr>
        <w:spacing w:after="0" w:line="203"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Rackspace Technology Global was in compliance with all covenants under the 5.375% Notes Indenture.</w:t>
      </w:r>
    </w:p>
    <w:p>
      <w:pPr>
        <w:spacing w:after="0" w:line="25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fair value of the 5.375% Senior Notes as of September 30, 2023 was $96.0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1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Subsequent to September 30, 2023 and through November 9, 2023, Rackspace Technology Global repurchased and surrendered for cancellation an additional $24.4 million aggregate principal amount of 5.375% Senior Notes for $8.9 million, including accrued interest of $0.4 million and excluding related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contingencies that arise from various litigation, claims and commitments, none of which we consider to be material.</w:t>
      </w:r>
    </w:p>
    <w:p>
      <w:pPr>
        <w:spacing w:after="0" w:line="25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198" w:lineRule="exact"/>
        <w:rPr>
          <w:sz w:val="20"/>
          <w:szCs w:val="20"/>
          <w:color w:val="auto"/>
        </w:rPr>
      </w:pPr>
    </w:p>
    <w:p>
      <w:pPr>
        <w:jc w:val="both"/>
        <w:ind w:right="300" w:firstLine="486"/>
        <w:spacing w:after="0" w:line="286"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92"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Hosted Exchange Incident</w:t>
      </w:r>
    </w:p>
    <w:p>
      <w:pPr>
        <w:spacing w:after="0" w:line="252"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We are named in several lawsuits in connection with the December 2022 ransomware incident which caused service disruptions on our Hosted Exchange email business. The pending lawsuits seek, among other things, equitable and compensatory relief. We are vigorously defending these matters. We do not expect any of these claims, individually or in the aggregate, to have a material adverse effect on our consolidated financial position or results of operations. However, at this early stage in the proceedings, we are not able to determine the probability of the outcome of these matters or a range of reasonably expected losses, if any. We maintain insurance, including coverage for cyber-attacks, subject to certain deductibles and policy limitations, in an amount that we believe appropriate. During the three and nine months ended September 30, 2023, we recorded $0.1 million and $5.0 million, respectively, of expenses related to the Hosted Exchange incident, including costs to investigate and remediate, legal and other professional services, and supplemental staff resources that were deployed to provide support to customers. We recorded $5.4 million of loss recovery insurance proceeds received or expected to be received during the three and nine months ended September 30, 2023.</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Headquarters Lease</w:t>
      </w:r>
    </w:p>
    <w:p>
      <w:pPr>
        <w:spacing w:after="0" w:line="252"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In February 2023, we signed an agreement to lease approximately 93,000 square feet of office space in San Antonio, Texas, which will serve as our new corporate headquarters. The initial lease term is 11 years, with three 5-year renewal options. In addition to monthly base rent, we will also pay a share of common area maintenance and operating expenses. As of September 30, 2023, the lease had not yet commenced.</w:t>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 Repurchase Program</w:t>
      </w:r>
    </w:p>
    <w:p>
      <w:pPr>
        <w:spacing w:after="0" w:line="256"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On March 3, 2022, our board of directors authorized a program to repurchase up to $75.0 million of shares of our common stock from time to time through open-market transactions, privately negotiated transactions, accelerated share repurchases and other transactions in accordance with applicable security laws. During the nine months ended September 30, 2022, we repurchased $31.0 million, or 3.1 million shares, of our common stock on the open market under this program. No shares were repurchased during the three months ended September 30, 2022 or the three and nine months ended September 30, 2023. Shares purchased pursuant to the program are recorded as treasury stock at cost in the Condensed Consolidated Balance Sheets. The program expired on September 30,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56"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On April 21, 2023, the Board of Directors approved an amendment to the Rackspace Technology, Inc. 2020 Equity Incentive Plan (the "2020 Incentive Plan") to increase the maximum number of shares of our common stock available for issuance under the 2020 Incentive Plan from 50.0 million shares to 57.9 million shares, subject to stockholder approval. The amendment was subsequently approved by our stockholders as part of the 2023 Annual Meeting of Stockholders held on June 16, 2023.</w:t>
      </w:r>
    </w:p>
    <w:p>
      <w:pPr>
        <w:spacing w:after="0" w:line="214"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During the nine months ended September 30, 2023, we granted 27.0 million restricted stock units ("RSUs") under the 2020 Incentive Plan with a weighted-average grant date fair value of $2.21. The majority of the RSUs were granted as part of our annual compensation award process and vest ratably over a three-year period, subject to continued service.</w:t>
      </w:r>
    </w:p>
    <w:p>
      <w:pPr>
        <w:spacing w:after="0" w:line="211"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In addition, during the nine months ended September 30, 2023, 2.8 million performance stock units ("PSUs") were granted under the 2020 Incentive Plan with a weighted-average grant date fair value of $1.90, and 5.5 million long-term incentive cash units ("LTIC units") were granted under the 2020 Incentive Plan with a weighted-average fair value as of September 30, 2023 of $0.80. Both the PSUs and LTIC units represent the target amount of grants, and the actual number of shares or units awarded upon vesting may vary depending upon the achievement of the relevant market condition which is based on Rackspace's Total Shareholder Return ("TSR") relative to the TSR of a comparator group of IT and Cloud Services Companies. The awards are eligible to vest in equal annual installments over three years based on the attainment of the market condition and the employee's continued service through the end of the applicable measurement period and were valued using a Monte Carlo simulation. As the company intends to settle the LTIC units in cash, they are classified as a liability within "Other current liabilities" and "Other non-current liabilities" in the Condensed Consolidated Balance Sheets.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share-based compensation expense is comprised of the following equity and liability classified award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classified awards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Liability classified awards</w:t>
            </w: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8"/>
        </w:trPr>
        <w:tc>
          <w:tcPr>
            <w:tcW w:w="4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share-based compensation expense recognized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r>
      <w:tr>
        <w:trPr>
          <w:trHeight w:val="213"/>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Pre-tax share-based compensation expense</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13"/>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Income tax benefit</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38"/>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 net of tax</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As of September 30, 2023, there was $94.9 million of total unrecognized compensation cost related to stock options, RSUs, PSUs, and the ESPP, which will be recognized using the service period or over our best estimate of the period over which the performance condition will be met, as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Taxes</w:t>
      </w:r>
    </w:p>
    <w:p>
      <w:pPr>
        <w:spacing w:after="0" w:line="229"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September 30, 2023, our effective tax rate is lower than the U.S. federal statutory rate of 21% primarily due to the tax impact associated with the goodwill impairment recorded in the third quarter of 2023, the majority of which was nondeductible for income tax purposes, executive compensation that is nondeductible under Internal Revenue Code ("IRC") Section 162(m), the net impact of the geographic distribution of our earnings, tax effects from nondeductible share-based compensation as well as changes in our valuation allowance. For the nine months ended September 30, 2023, our effective tax rate is lower than the U.S. federal statutory rate of 21% primarily due to the tax impact associated with the goodwill impairments recorded in the first and third quarters of 2023, the majority of which were nondeductible for income tax purposes, executive compensation that is nondeductible under IRC Section 162(m), the net impact of the geographic distribution of our earnings, tax effects from nondeductible share-based compensation as well as changes in our valuation allowance. During the first quarter of 2023, we determined that certain deferred tax assets no longer meet the more likely than not recognition criteria. As such, we have provided a valuation allowance for these assets, which is incorporated into our annual effective tax rate. In December 2021, the Organisation for Economic Co-operation and Development (the “OECD”) issued model rules for a new global minimum tax framework (Pillar Two). Governments in many of the countries where we operate have issued, or are in the process of issuing, legislation on this rule. We are currently evaluating, but do not expect this rule to have a material impact on our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w:t>
      </w:r>
    </w:p>
    <w:p>
      <w:pPr>
        <w:spacing w:after="0" w:line="256"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right="500" w:firstLine="486"/>
        <w:spacing w:after="0" w:line="301" w:lineRule="auto"/>
        <w:rPr>
          <w:sz w:val="20"/>
          <w:szCs w:val="20"/>
          <w:color w:val="auto"/>
        </w:rPr>
      </w:pPr>
      <w:r>
        <w:rPr>
          <w:rFonts w:ascii="Arial" w:cs="Arial" w:eastAsia="Arial" w:hAnsi="Arial"/>
          <w:sz w:val="16"/>
          <w:szCs w:val="16"/>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184"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Condensed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for income taxes" under the portfolio approach.</w:t>
      </w:r>
    </w:p>
    <w:p>
      <w:pPr>
        <w:spacing w:after="0" w:line="19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w:t>
      </w:r>
    </w:p>
    <w:p>
      <w:pPr>
        <w:spacing w:after="0" w:line="219"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The amount remaining in "Accumulated other comprehensive income" for the de-designated December 2016 and December 2018 swaps at the de-designation date was approximately $51.6 million, and is amortized as an increase to "Interest expense" over the effective period of the original swap agreements.</w:t>
      </w:r>
    </w:p>
    <w:p>
      <w:pPr>
        <w:spacing w:after="0" w:line="211"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 xml:space="preserve">The new receive-fixed interest rate swap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derivative for which the fair value option has been elected. This $900.0 million swap remained undesignated to economically offset the undesignated December 2016 swaps. This new swap and the December 2016 swaps matured on February 3, 2022. Cash settlements related to this receive-fixed interest rate swap offset and are classified as operating activities in the Condensed Consolidated Statements of Cash Flows.</w:t>
      </w:r>
    </w:p>
    <w:p>
      <w:pPr>
        <w:spacing w:after="0" w:line="18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 xml:space="preserve">The new pay-fixed interest rate swap also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at-market derivative that was designated as a cash flow hedge. The loan is accounted for at amortized cost over the life of the swap while the embedded at-market derivative is accounted for at fair value. The $1.35 billion swap was originally indexed to three-month LIBOR and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Condensed Consolidated Statements of Cash Flows while the portion treated as an at-market derivative will be classified as operating activities.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As discussed in Note 7, "Debt", on April 26, 2023 we executed an amendment to our First Lien Credit Agreement, which governs borrowings under our Term Loan Facility. This amendment established Term SOFR as the benchmark rate for determining the applicable interest rate, replacing LIBOR. To continue to manage our exposure to interest rate risk associated with our Term Loan Facility, effective May 9, 2023, we amended our remaining swap agreement to change the index from three-month LIBOR (subject to a floor of 0.75%) to one-month Term SOFR (subject to a floor of 0.75%). The fixed rate also changed from 2.3820% to 2.34150% as a result of the swap agreement amendment. As described in Note 1, "Company Overview, Basis of Presentation, and Summary of Significant Accounting Policies" we elected to apply certain practical expedients under GAAP to allow for this transition without any interruptions to hedge accounting treatment.</w:t>
      </w:r>
    </w:p>
    <w:p>
      <w:pPr>
        <w:spacing w:after="0" w:line="22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On a monthly basis, we net settle with the counterparty for the difference between the fixed rate of 2.34150% and the variable rate based upon the one-month Term SOFR (subject to a floor of 0.75%) as applied to the notional amount of the swap.</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2022 and September 30, 2023, the cash flow hedge was highly effective.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interest rate swaps are presented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September 30, 2023</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Effective Date</w:t>
            </w:r>
          </w:p>
        </w:tc>
        <w:tc>
          <w:tcPr>
            <w:tcW w:w="1280" w:type="dxa"/>
            <w:vAlign w:val="bottom"/>
            <w:gridSpan w:val="2"/>
          </w:tcPr>
          <w:p>
            <w:pPr>
              <w:jc w:val="center"/>
              <w:ind w:right="100"/>
              <w:spacing w:after="0" w:line="161" w:lineRule="exact"/>
              <w:rPr>
                <w:sz w:val="20"/>
                <w:szCs w:val="20"/>
                <w:color w:val="auto"/>
              </w:rPr>
            </w:pPr>
            <w:r>
              <w:rPr>
                <w:rFonts w:ascii="Arial" w:cs="Arial" w:eastAsia="Arial" w:hAnsi="Arial"/>
                <w:sz w:val="16"/>
                <w:szCs w:val="16"/>
                <w:b w:val="1"/>
                <w:bCs w:val="1"/>
                <w:color w:val="auto"/>
                <w:w w:val="92"/>
              </w:rPr>
              <w:t>Fixed Rate Paid</w:t>
            </w:r>
          </w:p>
        </w:tc>
        <w:tc>
          <w:tcPr>
            <w:tcW w:w="158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6"/>
              </w:rPr>
              <w:t>Notional Amount (in</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5"/>
              </w:rPr>
              <w:t>Status</w:t>
            </w:r>
          </w:p>
        </w:tc>
        <w:tc>
          <w:tcPr>
            <w:tcW w:w="158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8"/>
              </w:rPr>
              <w:t>Notional Amount (in</w:t>
            </w:r>
          </w:p>
        </w:tc>
        <w:tc>
          <w:tcPr>
            <w:tcW w:w="120" w:type="dxa"/>
            <w:vAlign w:val="bottom"/>
          </w:tcPr>
          <w:p>
            <w:pPr>
              <w:spacing w:after="0"/>
              <w:rPr>
                <w:sz w:val="14"/>
                <w:szCs w:val="14"/>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5"/>
              </w:rPr>
              <w:t>Status</w:t>
            </w: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22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(Received)</w:t>
            </w: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millions)</w:t>
            </w: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millions)</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Entered into December 2016:</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2017</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1.9040%</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Matured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Matured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3, 2022</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2017</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1.9040%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Matured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Matured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3, 2022</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Entered into December 2018:</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2019</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2.7490%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2020</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2.7350%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2021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2.7360%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3, 2022</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2.7800%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Terminated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Terminated</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3, 2023</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Entered into February 2021:</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3, 2021</w:t>
            </w:r>
          </w:p>
        </w:tc>
        <w:tc>
          <w:tcPr>
            <w:tcW w:w="1180" w:type="dxa"/>
            <w:vAlign w:val="bottom"/>
          </w:tcPr>
          <w:p>
            <w:pPr>
              <w:jc w:val="center"/>
              <w:spacing w:after="0"/>
              <w:rPr>
                <w:sz w:val="20"/>
                <w:szCs w:val="20"/>
                <w:color w:val="auto"/>
              </w:rPr>
            </w:pPr>
            <w:r>
              <w:rPr>
                <w:rFonts w:ascii="Arial" w:cs="Arial" w:eastAsia="Arial" w:hAnsi="Arial"/>
                <w:sz w:val="16"/>
                <w:szCs w:val="16"/>
                <w:color w:val="auto"/>
                <w:w w:val="94"/>
              </w:rPr>
              <w:t>(1.9040)%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Matured</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Matured</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February 3, 2022</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9, 2021</w:t>
            </w:r>
          </w:p>
        </w:tc>
        <w:tc>
          <w:tcPr>
            <w:tcW w:w="1180" w:type="dxa"/>
            <w:vAlign w:val="bottom"/>
            <w:shd w:val="clear" w:color="auto" w:fill="CCEEFF"/>
          </w:tcPr>
          <w:p>
            <w:pPr>
              <w:jc w:val="center"/>
              <w:spacing w:after="0" w:line="219" w:lineRule="exact"/>
              <w:rPr>
                <w:sz w:val="20"/>
                <w:szCs w:val="20"/>
                <w:color w:val="auto"/>
              </w:rPr>
            </w:pPr>
            <w:r>
              <w:rPr>
                <w:rFonts w:ascii="Arial" w:cs="Arial" w:eastAsia="Arial" w:hAnsi="Arial"/>
                <w:sz w:val="16"/>
                <w:szCs w:val="16"/>
                <w:color w:val="auto"/>
                <w:w w:val="87"/>
              </w:rPr>
              <w:t xml:space="preserve">2.34150% </w:t>
            </w:r>
            <w:r>
              <w:rPr>
                <w:rFonts w:ascii="Arial" w:cs="Arial" w:eastAsia="Arial" w:hAnsi="Arial"/>
                <w:sz w:val="21"/>
                <w:szCs w:val="21"/>
                <w:color w:val="auto"/>
                <w:w w:val="87"/>
                <w:vertAlign w:val="superscript"/>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Active</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Active</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February 9, 2026</w:t>
            </w:r>
          </w:p>
        </w:tc>
        <w:tc>
          <w:tcPr>
            <w:tcW w:w="0" w:type="dxa"/>
            <w:vAlign w:val="bottom"/>
          </w:tcPr>
          <w:p>
            <w:pPr>
              <w:spacing w:after="0"/>
              <w:rPr>
                <w:sz w:val="1"/>
                <w:szCs w:val="1"/>
                <w:color w:val="auto"/>
              </w:rPr>
            </w:pPr>
          </w:p>
        </w:tc>
      </w:tr>
      <w:tr>
        <w:trPr>
          <w:trHeight w:val="209"/>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Total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Fixed rate paid prior to the May 9, 2023 amendment was 2.3820%.</w:t>
      </w:r>
    </w:p>
    <w:p>
      <w:pPr>
        <w:spacing w:after="0" w:line="24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Our interest rate swap agreements, excluding the portion treated as debt, are recognized at fair value in the Condensed Consolidated Balance Sheets and are valued using pricing models that rely on market observable inputs such as yield curve data, which are classified as Level 2 inputs within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Derivatives on the Condensed Consolidated Balance Sheets</w:t>
      </w:r>
    </w:p>
    <w:p>
      <w:pPr>
        <w:spacing w:after="0" w:line="252"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fair values of our derivatives and their location on the Condensed Consolidated Balance Sheets as of December 31, 2022 and September 30, 2023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December 31, 2022</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48"/>
        </w:trPr>
        <w:tc>
          <w:tcPr>
            <w:tcW w:w="248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2"/>
              </w:rPr>
              <w:t>Derivatives designated as hedging</w:t>
            </w:r>
          </w:p>
        </w:tc>
        <w:tc>
          <w:tcPr>
            <w:tcW w:w="26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Location</w:t>
            </w:r>
          </w:p>
        </w:tc>
        <w:tc>
          <w:tcPr>
            <w:tcW w:w="9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6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Pr>
          <w:p>
            <w:pPr>
              <w:ind w:left="120"/>
              <w:spacing w:after="0"/>
              <w:rPr>
                <w:sz w:val="20"/>
                <w:szCs w:val="20"/>
                <w:color w:val="auto"/>
              </w:rPr>
            </w:pPr>
            <w:r>
              <w:rPr>
                <w:rFonts w:ascii="Arial" w:cs="Arial" w:eastAsia="Arial" w:hAnsi="Arial"/>
                <w:sz w:val="16"/>
                <w:szCs w:val="16"/>
                <w:color w:val="auto"/>
              </w:rPr>
              <w:t>Other non-current assets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Other current liabilities </w:t>
            </w:r>
            <w:r>
              <w:rPr>
                <w:rFonts w:ascii="Arial" w:cs="Arial" w:eastAsia="Arial" w:hAnsi="Arial"/>
                <w:sz w:val="21"/>
                <w:szCs w:val="21"/>
                <w:color w:val="auto"/>
                <w:vertAlign w:val="superscript"/>
              </w:rPr>
              <w:t>(1)</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6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Other non-current liabilities </w:t>
            </w:r>
            <w:r>
              <w:rPr>
                <w:rFonts w:ascii="Arial" w:cs="Arial" w:eastAsia="Arial" w:hAnsi="Arial"/>
                <w:sz w:val="21"/>
                <w:szCs w:val="21"/>
                <w:color w:val="auto"/>
                <w:vertAlign w:val="superscript"/>
              </w:rPr>
              <w:t>(1)</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9"/>
              </w:rPr>
              <w:t>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entire balance is comprised of the financing component of the pay-fixed interest rate swap.</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December 31, 2022</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3"/>
              </w:rPr>
              <w:t>September 30, 2023</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7"/>
              </w:rPr>
              <w:t>Effects of</w:t>
            </w: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7"/>
              </w:rPr>
              <w:t>Effects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Counterparty</w:t>
            </w:r>
          </w:p>
        </w:tc>
        <w:tc>
          <w:tcPr>
            <w:tcW w:w="11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Net Amounts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5"/>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Net Amounts</w:t>
            </w: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Netting</w:t>
            </w:r>
          </w:p>
        </w:tc>
        <w:tc>
          <w:tcPr>
            <w:tcW w:w="1180" w:type="dxa"/>
            <w:vAlign w:val="bottom"/>
            <w:gridSpan w:val="3"/>
            <w:vMerge w:val="continue"/>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94"/>
        </w:trPr>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Derivatives on the Condensed Consolidated Statements of Comprehensive Loss</w:t>
      </w:r>
    </w:p>
    <w:p>
      <w:pPr>
        <w:spacing w:after="0" w:line="252"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effect of our derivatives and their location on the Condensed Consolidated Statements of Comprehensive Loss for the three and nine months ended September 30, 2022 and 2023 was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282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48"/>
        </w:trPr>
        <w:tc>
          <w:tcPr>
            <w:tcW w:w="270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0"/>
              </w:rPr>
              <w:t>Derivatives not designated as hedging</w:t>
            </w:r>
          </w:p>
        </w:tc>
        <w:tc>
          <w:tcPr>
            <w:tcW w:w="24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Location</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4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income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6"/>
                <w:szCs w:val="16"/>
                <w:color w:val="auto"/>
                <w:w w:val="91"/>
              </w:rPr>
              <w:t>(4.7)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432"/>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w:t>
            </w:r>
          </w:p>
        </w:tc>
        <w:tc>
          <w:tcPr>
            <w:tcW w:w="24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Location</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4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income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Interest expense was $52.3 million and $56.5 million for the three months ended September 30, 2022 and 2023, respectively, and $152.9 million and $170.7 million for the nine months ended September 30, 2022 and 2023, respectively. As of September 30, 2023, the amount of cash flow hedge gain included within "Accumulated other comprehensive income" that is expected to be reclassified as a reduction to "Interest expense" over the next 12 months is approximately $56.1 million. See Note 13, "Accumulated Other Comprehensive Income (Loss)," for information regarding changes in fair value of our derivatives designated as hedging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252"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We have agreements with interest rate swap counterparties that contain a provision whereby if we default on any of our material indebtedness, then we could also be declared in default of our interest rate swap agreements. As of September 30, 2023, our outstanding interest rate swap agreement was in a net asset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c>
          <w:tcPr>
            <w:tcW w:w="0" w:type="dxa"/>
            <w:vAlign w:val="bottom"/>
          </w:tcPr>
          <w:p>
            <w:pPr>
              <w:spacing w:after="0"/>
              <w:rPr>
                <w:sz w:val="1"/>
                <w:szCs w:val="1"/>
                <w:color w:val="auto"/>
              </w:rPr>
            </w:pPr>
          </w:p>
        </w:tc>
      </w:tr>
      <w:tr>
        <w:trPr>
          <w:trHeight w:val="21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$1.7</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Unrealized gain on derivative contracts, net of tax expense of $10.8</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ind w:left="16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2"/>
        </w:trPr>
        <w:tc>
          <w:tcPr>
            <w:tcW w:w="4660" w:type="dxa"/>
            <w:vAlign w:val="bottom"/>
          </w:tcPr>
          <w:p>
            <w:pPr>
              <w:ind w:left="180"/>
              <w:spacing w:after="0" w:line="213" w:lineRule="exact"/>
              <w:rPr>
                <w:sz w:val="20"/>
                <w:szCs w:val="20"/>
                <w:color w:val="auto"/>
              </w:rPr>
            </w:pPr>
            <w:r>
              <w:rPr>
                <w:rFonts w:ascii="Arial" w:cs="Arial" w:eastAsia="Arial" w:hAnsi="Arial"/>
                <w:sz w:val="16"/>
                <w:szCs w:val="16"/>
                <w:color w:val="auto"/>
              </w:rPr>
              <w:t>(loss) into earnings, net of tax benefit of $0.2</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hanging="492"/>
        <w:spacing w:after="0" w:line="275" w:lineRule="auto"/>
        <w:tabs>
          <w:tab w:leader="none" w:pos="40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amortization of off-market swap value and accumulated loss at hedge de-designation of $4.7 million for the three months ended September 30, 2022, partially offset by a reduction to interest expense recognized of $3.9 million.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2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Accumulated Gain (Loss)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2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c>
          <w:tcPr>
            <w:tcW w:w="0" w:type="dxa"/>
            <w:vAlign w:val="bottom"/>
          </w:tcPr>
          <w:p>
            <w:pPr>
              <w:spacing w:after="0"/>
              <w:rPr>
                <w:sz w:val="1"/>
                <w:szCs w:val="1"/>
                <w:color w:val="auto"/>
              </w:rPr>
            </w:pPr>
          </w:p>
        </w:tc>
      </w:tr>
      <w:tr>
        <w:trPr>
          <w:trHeight w:val="21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$3.9</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Unrealized gain on derivative contracts, net of tax expense of $29.2</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2"/>
        </w:trPr>
        <w:tc>
          <w:tcPr>
            <w:tcW w:w="4660" w:type="dxa"/>
            <w:vAlign w:val="bottom"/>
          </w:tcPr>
          <w:p>
            <w:pPr>
              <w:ind w:left="180"/>
              <w:spacing w:after="0" w:line="213" w:lineRule="exact"/>
              <w:rPr>
                <w:sz w:val="20"/>
                <w:szCs w:val="20"/>
                <w:color w:val="auto"/>
              </w:rPr>
            </w:pPr>
            <w:r>
              <w:rPr>
                <w:rFonts w:ascii="Arial" w:cs="Arial" w:eastAsia="Arial" w:hAnsi="Arial"/>
                <w:sz w:val="16"/>
                <w:szCs w:val="16"/>
                <w:color w:val="auto"/>
              </w:rPr>
              <w:t xml:space="preserve">(loss) into earnings, net of tax benefit of $2.9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right="560" w:hanging="492"/>
        <w:spacing w:after="0" w:line="275" w:lineRule="auto"/>
        <w:tabs>
          <w:tab w:leader="none" w:pos="40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amortization of off-market swap value and accumulated loss at hedge de-designation of $13.9 million for the nine months ended September 30, 2022, partially offset by a reduction to interest expense recognized of $2.7 million.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c>
          <w:tcPr>
            <w:tcW w:w="0" w:type="dxa"/>
            <w:vAlign w:val="bottom"/>
          </w:tcPr>
          <w:p>
            <w:pPr>
              <w:spacing w:after="0"/>
              <w:rPr>
                <w:sz w:val="1"/>
                <w:szCs w:val="1"/>
                <w:color w:val="auto"/>
              </w:rPr>
            </w:pPr>
          </w:p>
        </w:tc>
      </w:tr>
      <w:tr>
        <w:trPr>
          <w:trHeight w:val="21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$0.7</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Unrealized gain on derivative contracts, net of tax expense of $3.1</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ind w:left="16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2"/>
        </w:trPr>
        <w:tc>
          <w:tcPr>
            <w:tcW w:w="4660" w:type="dxa"/>
            <w:vAlign w:val="bottom"/>
          </w:tcPr>
          <w:p>
            <w:pPr>
              <w:ind w:left="180"/>
              <w:spacing w:after="0" w:line="213" w:lineRule="exact"/>
              <w:rPr>
                <w:sz w:val="20"/>
                <w:szCs w:val="20"/>
                <w:color w:val="auto"/>
              </w:rPr>
            </w:pPr>
            <w:r>
              <w:rPr>
                <w:rFonts w:ascii="Arial" w:cs="Arial" w:eastAsia="Arial" w:hAnsi="Arial"/>
                <w:sz w:val="16"/>
                <w:szCs w:val="16"/>
                <w:color w:val="auto"/>
              </w:rPr>
              <w:t xml:space="preserve">(loss) into earnings, net of tax expense of $2.6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right="40" w:hanging="492"/>
        <w:spacing w:after="0" w:line="310" w:lineRule="auto"/>
        <w:tabs>
          <w:tab w:leader="none" w:pos="365"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a reduction to interest expense recognized of $14.8 million related to the cash flow hedge gain for the three months ended September 30, 2023, partially offset by an increase to interest expense for the amortization of off-market swap value and accumulated loss at hedge de-designation of $4.7 million.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64" w:lineRule="exact"/>
        <w:rPr>
          <w:rFonts w:ascii="Arial" w:cs="Arial" w:eastAsia="Arial" w:hAnsi="Arial"/>
          <w:sz w:val="15"/>
          <w:szCs w:val="15"/>
          <w:color w:val="auto"/>
        </w:rPr>
      </w:pPr>
    </w:p>
    <w:p>
      <w:pPr>
        <w:ind w:left="5540" w:hanging="111"/>
        <w:spacing w:after="0"/>
        <w:tabs>
          <w:tab w:leader="none" w:pos="5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Comprehensive Income</w:t>
            </w:r>
          </w:p>
        </w:tc>
        <w:tc>
          <w:tcPr>
            <w:tcW w:w="0" w:type="dxa"/>
            <w:vAlign w:val="bottom"/>
          </w:tcPr>
          <w:p>
            <w:pPr>
              <w:spacing w:after="0"/>
              <w:rPr>
                <w:sz w:val="1"/>
                <w:szCs w:val="1"/>
                <w:color w:val="auto"/>
              </w:rPr>
            </w:pPr>
          </w:p>
        </w:tc>
      </w:tr>
      <w:tr>
        <w:trPr>
          <w:trHeight w:val="21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Arial" w:cs="Arial" w:eastAsia="Arial" w:hAnsi="Arial"/>
                <w:sz w:val="16"/>
                <w:szCs w:val="16"/>
                <w:color w:val="auto"/>
                <w:w w:val="92"/>
              </w:rPr>
              <w:t>Foreign currency translation adjustments, net of tax expense of $0.2</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Unrealized gain on derivative contracts, net of tax expense of $7.8</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line="166" w:lineRule="exact"/>
              <w:rPr>
                <w:sz w:val="20"/>
                <w:szCs w:val="20"/>
                <w:color w:val="auto"/>
              </w:rPr>
            </w:pPr>
            <w:r>
              <w:rPr>
                <w:rFonts w:ascii="Arial" w:cs="Arial" w:eastAsia="Arial" w:hAnsi="Arial"/>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2"/>
        </w:trPr>
        <w:tc>
          <w:tcPr>
            <w:tcW w:w="4660" w:type="dxa"/>
            <w:vAlign w:val="bottom"/>
          </w:tcPr>
          <w:p>
            <w:pPr>
              <w:ind w:left="180"/>
              <w:spacing w:after="0" w:line="213" w:lineRule="exact"/>
              <w:rPr>
                <w:sz w:val="20"/>
                <w:szCs w:val="20"/>
                <w:color w:val="auto"/>
              </w:rPr>
            </w:pPr>
            <w:r>
              <w:rPr>
                <w:rFonts w:ascii="Arial" w:cs="Arial" w:eastAsia="Arial" w:hAnsi="Arial"/>
                <w:sz w:val="16"/>
                <w:szCs w:val="16"/>
                <w:color w:val="auto"/>
              </w:rPr>
              <w:t xml:space="preserve">(loss) into earnings, net of tax expense of $6.8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00" w:right="80" w:hanging="492"/>
        <w:spacing w:after="0" w:line="310" w:lineRule="auto"/>
        <w:tabs>
          <w:tab w:leader="none" w:pos="365"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a reduction to interest expense recognized of $40.5 million related to the cash flow hedge gain for the nine months ended September 30, 2023, partially offset by an increase to interest expense for the amortization of off-market swap value and accumulated loss at hedge de-designation of $13.8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25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Effective on January 1, 2023, we reorganized around a two-business unit operating model, Public Cloud and Private Cloud. This two-business unit operating model ensures increased focus, delivery, and service quality for our customers. We have changed our segment reporting to reflect this reorganization under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w:t>
      </w:r>
    </w:p>
    <w:p>
      <w:pPr>
        <w:spacing w:after="0" w:line="219"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Our prior Multicloud Services segment has been separated into its public and private cloud components and the offerings previously reported in our Apps &amp; Cross Platform segment have been reassigned to either the Public Cloud or Private Cloud segment based on the nature of the offering.</w:t>
      </w:r>
    </w:p>
    <w:p>
      <w:pPr>
        <w:spacing w:after="0" w:line="15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segment operating profit.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The table below presents a reconciliation of revenue by reportable segment to consolidated revenue and a reconciliation of consolidated segment operating profit to consolidated loss before income taxes for the three and nine months ended September 30, 2022 and 2023.</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Revenue by segment:</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Public Cloud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445.0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432.8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1,284.1</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1,312.3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Cloud</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925.1</w:t>
            </w:r>
          </w:p>
        </w:tc>
        <w:tc>
          <w:tcPr>
            <w:tcW w:w="0" w:type="dxa"/>
            <w:vAlign w:val="bottom"/>
          </w:tcPr>
          <w:p>
            <w:pPr>
              <w:spacing w:after="0"/>
              <w:rPr>
                <w:sz w:val="1"/>
                <w:szCs w:val="1"/>
                <w:color w:val="auto"/>
              </w:rPr>
            </w:pPr>
          </w:p>
        </w:tc>
      </w:tr>
      <w:tr>
        <w:trPr>
          <w:trHeight w:val="212"/>
        </w:trPr>
        <w:tc>
          <w:tcPr>
            <w:tcW w:w="4540" w:type="dxa"/>
            <w:vAlign w:val="bottom"/>
          </w:tcPr>
          <w:p>
            <w:pPr>
              <w:ind w:left="180"/>
              <w:spacing w:after="0"/>
              <w:rPr>
                <w:sz w:val="20"/>
                <w:szCs w:val="20"/>
                <w:color w:val="auto"/>
              </w:rPr>
            </w:pPr>
            <w:r>
              <w:rPr>
                <w:rFonts w:ascii="Arial" w:cs="Arial" w:eastAsia="Arial" w:hAnsi="Arial"/>
                <w:sz w:val="16"/>
                <w:szCs w:val="16"/>
                <w:color w:val="auto"/>
              </w:rPr>
              <w:t>Total consolidated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2,335.3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2,237.4</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i w:val="1"/>
                <w:iCs w:val="1"/>
                <w:color w:val="auto"/>
              </w:rPr>
              <w:t>Segment operating profit:</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Cloud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segment operating profit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Arial" w:cs="Arial" w:eastAsia="Arial" w:hAnsi="Arial"/>
                <w:sz w:val="16"/>
                <w:szCs w:val="16"/>
                <w:color w:val="auto"/>
              </w:rPr>
              <w:t>Corporate functions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(192.7)</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166"/>
        </w:trPr>
        <w:tc>
          <w:tcPr>
            <w:tcW w:w="454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4"/>
              </w:rPr>
              <w:t>Hosted Exchange incident expenses, net of proceeds received or</w:t>
            </w:r>
          </w:p>
        </w:tc>
        <w:tc>
          <w:tcPr>
            <w:tcW w:w="2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to be received under our insurance coverage</w:t>
            </w:r>
          </w:p>
        </w:tc>
        <w:tc>
          <w:tcPr>
            <w:tcW w:w="2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(4)</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of goodwill</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w:t>
            </w: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UK office closure </w:t>
            </w:r>
            <w:r>
              <w:rPr>
                <w:rFonts w:ascii="Arial" w:cs="Arial" w:eastAsia="Arial" w:hAnsi="Arial"/>
                <w:sz w:val="21"/>
                <w:szCs w:val="21"/>
                <w:color w:val="auto"/>
                <w:vertAlign w:val="superscript"/>
              </w:rPr>
              <w:t>(5)</w:t>
            </w: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of assets, net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Arial" w:cs="Arial" w:eastAsia="Arial" w:hAnsi="Arial"/>
                <w:sz w:val="16"/>
                <w:szCs w:val="16"/>
                <w:color w:val="auto"/>
              </w:rPr>
              <w:t>Gain on debt extinguishment</w:t>
            </w: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4540" w:type="dxa"/>
            <w:vAlign w:val="bottom"/>
          </w:tcPr>
          <w:p>
            <w:pPr>
              <w:ind w:left="240"/>
              <w:spacing w:after="0"/>
              <w:rPr>
                <w:sz w:val="20"/>
                <w:szCs w:val="20"/>
                <w:color w:val="auto"/>
              </w:rPr>
            </w:pPr>
            <w:r>
              <w:rPr>
                <w:rFonts w:ascii="Arial" w:cs="Arial" w:eastAsia="Arial" w:hAnsi="Arial"/>
                <w:sz w:val="16"/>
                <w:szCs w:val="16"/>
                <w:color w:val="auto"/>
              </w:rPr>
              <w:t>Total consolidated loss before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80" w:right="60" w:hanging="344"/>
        <w:spacing w:after="0" w:line="281" w:lineRule="auto"/>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1" w:lineRule="exact"/>
        <w:rPr>
          <w:rFonts w:ascii="Arial" w:cs="Arial" w:eastAsia="Arial" w:hAnsi="Arial"/>
          <w:sz w:val="15"/>
          <w:szCs w:val="15"/>
          <w:color w:val="auto"/>
        </w:rPr>
      </w:pPr>
    </w:p>
    <w:p>
      <w:pPr>
        <w:ind w:left="480" w:right="80" w:hanging="344"/>
        <w:spacing w:after="0" w:line="261"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7" w:lineRule="exact"/>
        <w:rPr>
          <w:rFonts w:ascii="Arial" w:cs="Arial" w:eastAsia="Arial" w:hAnsi="Arial"/>
          <w:sz w:val="16"/>
          <w:szCs w:val="16"/>
          <w:color w:val="auto"/>
        </w:rPr>
      </w:pPr>
    </w:p>
    <w:p>
      <w:pPr>
        <w:ind w:left="480" w:right="140" w:hanging="344"/>
        <w:spacing w:after="0" w:line="256"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This amount also includes total charges of $1.0 million and $5.2 million for the three and nine months ended September 30, 2022, respectively, related to the July 2021 Restructuring Plan which are not accounted for as exit and disposal costs under ASC 420, including one-time offshore build out costs.</w:t>
      </w:r>
    </w:p>
    <w:p>
      <w:pPr>
        <w:spacing w:after="0" w:line="11" w:lineRule="exact"/>
        <w:rPr>
          <w:rFonts w:ascii="Arial" w:cs="Arial" w:eastAsia="Arial" w:hAnsi="Arial"/>
          <w:sz w:val="16"/>
          <w:szCs w:val="16"/>
          <w:color w:val="auto"/>
        </w:rPr>
      </w:pPr>
    </w:p>
    <w:p>
      <w:pPr>
        <w:ind w:left="480" w:hanging="34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59" w:lineRule="exact"/>
        <w:rPr>
          <w:rFonts w:ascii="Arial" w:cs="Arial" w:eastAsia="Arial" w:hAnsi="Arial"/>
          <w:sz w:val="16"/>
          <w:szCs w:val="16"/>
          <w:color w:val="auto"/>
        </w:rPr>
      </w:pPr>
    </w:p>
    <w:p>
      <w:pPr>
        <w:ind w:left="480" w:hanging="344"/>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Expense recognized related to the closure of a UK office that we exited in the second quarter of 2023 prior to the lease end date.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5540" w:hanging="111"/>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table below presents depreciation expense included in segment operating profit above for the three and nine months ended September 30, 2022 and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90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Private Cloud</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131.0</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functions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12"/>
        </w:trPr>
        <w:tc>
          <w:tcPr>
            <w:tcW w:w="4380" w:type="dxa"/>
            <w:vAlign w:val="bottom"/>
          </w:tcPr>
          <w:p>
            <w:pPr>
              <w:ind w:left="180"/>
              <w:spacing w:after="0"/>
              <w:rPr>
                <w:sz w:val="20"/>
                <w:szCs w:val="20"/>
                <w:color w:val="auto"/>
              </w:rPr>
            </w:pPr>
            <w:r>
              <w:rPr>
                <w:rFonts w:ascii="Arial" w:cs="Arial" w:eastAsia="Arial" w:hAnsi="Arial"/>
                <w:sz w:val="16"/>
                <w:szCs w:val="16"/>
                <w:color w:val="auto"/>
              </w:rPr>
              <w:t>Total depreciation expense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w:t>
            </w:r>
          </w:p>
        </w:tc>
      </w:tr>
      <w:tr>
        <w:trPr>
          <w:trHeight w:val="21"/>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Management does not use total assets by segment to evaluate segment performance or allocate resources. As such, total assets by segment are not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2 - 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i w:val="1"/>
          <w:iCs w:val="1"/>
          <w:color w:val="auto"/>
        </w:rPr>
        <w:t>The following 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 (</w:t>
      </w:r>
      <w:r>
        <w:rPr>
          <w:rFonts w:ascii="Arial" w:cs="Arial" w:eastAsia="Arial" w:hAnsi="Arial"/>
          <w:sz w:val="17"/>
          <w:szCs w:val="17"/>
          <w:color w:val="auto"/>
        </w:rPr>
        <w:t>"</w:t>
      </w:r>
      <w:r>
        <w:rPr>
          <w:rFonts w:ascii="Arial" w:cs="Arial" w:eastAsia="Arial" w:hAnsi="Arial"/>
          <w:sz w:val="17"/>
          <w:szCs w:val="17"/>
          <w:i w:val="1"/>
          <w:iCs w:val="1"/>
          <w:color w:val="auto"/>
        </w:rPr>
        <w:t>MD&amp;A</w:t>
      </w:r>
      <w:r>
        <w:rPr>
          <w:rFonts w:ascii="Arial" w:cs="Arial" w:eastAsia="Arial" w:hAnsi="Arial"/>
          <w:sz w:val="17"/>
          <w:szCs w:val="17"/>
          <w:color w:val="auto"/>
        </w:rPr>
        <w:t>"</w:t>
      </w:r>
      <w:r>
        <w:rPr>
          <w:rFonts w:ascii="Arial" w:cs="Arial" w:eastAsia="Arial" w:hAnsi="Arial"/>
          <w:sz w:val="17"/>
          <w:szCs w:val="17"/>
          <w:i w:val="1"/>
          <w:iCs w:val="1"/>
          <w:color w:val="auto"/>
        </w:rPr>
        <w:t xml:space="preserve">) is intended to help readers understand our results of operations, financial condition and cash flows and should be read in conjunction with the condensed consolidated financial statements and the related notes included elsewhere in this Quarterly Report on Form 10-Q (this "Quarterly Report") and with the audited consolidated financial statements and the related notes included in our Annual Report. References to </w:t>
      </w:r>
      <w:r>
        <w:rPr>
          <w:rFonts w:ascii="Arial" w:cs="Arial" w:eastAsia="Arial" w:hAnsi="Arial"/>
          <w:sz w:val="17"/>
          <w:szCs w:val="17"/>
          <w:color w:val="auto"/>
        </w:rPr>
        <w:t>"</w:t>
      </w:r>
      <w:r>
        <w:rPr>
          <w:rFonts w:ascii="Arial" w:cs="Arial" w:eastAsia="Arial" w:hAnsi="Arial"/>
          <w:sz w:val="17"/>
          <w:szCs w:val="17"/>
          <w:i w:val="1"/>
          <w:iCs w:val="1"/>
          <w:color w:val="auto"/>
        </w:rPr>
        <w:t>Rackspace Technology,</w:t>
      </w:r>
      <w:r>
        <w:rPr>
          <w:rFonts w:ascii="Arial" w:cs="Arial" w:eastAsia="Arial" w:hAnsi="Arial"/>
          <w:sz w:val="17"/>
          <w:szCs w:val="17"/>
          <w:color w:val="auto"/>
        </w:rPr>
        <w:t>" "</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our company,</w:t>
      </w:r>
      <w:r>
        <w:rPr>
          <w:rFonts w:ascii="Arial" w:cs="Arial" w:eastAsia="Arial" w:hAnsi="Arial"/>
          <w:sz w:val="17"/>
          <w:szCs w:val="17"/>
          <w:color w:val="auto"/>
        </w:rPr>
        <w:t>" "</w:t>
      </w:r>
      <w:r>
        <w:rPr>
          <w:rFonts w:ascii="Arial" w:cs="Arial" w:eastAsia="Arial" w:hAnsi="Arial"/>
          <w:sz w:val="17"/>
          <w:szCs w:val="17"/>
          <w:i w:val="1"/>
          <w:iCs w:val="1"/>
          <w:color w:val="auto"/>
        </w:rPr>
        <w:t>the company,</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or</w:t>
      </w:r>
      <w:r>
        <w:rPr>
          <w:rFonts w:ascii="Arial" w:cs="Arial" w:eastAsia="Arial" w:hAnsi="Arial"/>
          <w:sz w:val="17"/>
          <w:szCs w:val="17"/>
          <w:color w:val="auto"/>
        </w:rPr>
        <w:t xml:space="preserve">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refer to Rackspace Technology, Inc. and its consolidated subsidiaries.</w:t>
      </w:r>
    </w:p>
    <w:p>
      <w:pPr>
        <w:spacing w:after="0" w:line="203"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i w:val="1"/>
          <w:iCs w:val="1"/>
          <w:color w:val="auto"/>
        </w:rPr>
        <w:t xml:space="preserve">The following discussion contains forward-looking statements that are subject to risks and uncertainties. Actual results may differ materially from those contained in any forward-looking statements. See </w:t>
      </w:r>
      <w:r>
        <w:rPr>
          <w:rFonts w:ascii="Arial" w:cs="Arial" w:eastAsia="Arial" w:hAnsi="Arial"/>
          <w:sz w:val="18"/>
          <w:szCs w:val="18"/>
          <w:color w:val="auto"/>
        </w:rPr>
        <w:t>"</w:t>
      </w:r>
      <w:r>
        <w:rPr>
          <w:rFonts w:ascii="Arial" w:cs="Arial" w:eastAsia="Arial" w:hAnsi="Arial"/>
          <w:sz w:val="18"/>
          <w:szCs w:val="18"/>
          <w:i w:val="1"/>
          <w:iCs w:val="1"/>
          <w:color w:val="auto"/>
        </w:rPr>
        <w:t>Special Note Regarding 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contained elsewhere in this Quarterly Report.</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We are a leading end-to-end, hybrid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21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July 21, 2021, we committed to an internal restructuring plan (the "July 2021 Restructuring Plan"), to drive a change in the type and location of certain positions that was expected to result in the termination of approximately 10% of our workforce. We recorded total charges of $1.0 million and $5.2 million for the three and nine months ended September 30, 2022, respectively, related to this restructuring plan which are not accounted for as exit and disposal costs under ASC 420, consisting primarily of one-time offshore build out costs.</w:t>
      </w:r>
    </w:p>
    <w:p>
      <w:pPr>
        <w:spacing w:after="0" w:line="214"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color w:val="auto"/>
        </w:rPr>
        <w:t>In December 2022, we experienced a ransomware incident which caused service disruptions for our Hosted Exchange customers. The Hosted Exchange email business is a managed email solution provided to small and medium businesses and represented approximately 1% of our total annual revenue. Following discovery of the incident, we engaged an industry-leading global cybersecurity firm to help investigate the incident and remediate as necessary. The firm confirmed that the incident was quickly contained and limited solely to the Hosted Exchange email business. We have sunset the on-premises Hosted Exchange platform and have transitioned many customers from the Hosted Exchange platform to Microsoft 365 through our reseller agreement with Microsoft. During the three and nine months ended September 30, 2023, we recorded $0.1 million and $5.0 million, respectively, of expenses related to the Hosted Exchange incident, including costs to investigate and remediate, legal and other professional services, and supplemental staff resources that were deployed to provide support to customers. We expect to continue to incur legal and other professional services costs in future periods and will expense those costs as incurred. We maintain cybersecurity insurance commensurate with the size of our business, and expect that a significant portion of the incremental costs related to the Hosted Exchange incident will be covered by insurance. However, the timing of insurance reimbursements may differ from the timing of recognition of the related expenses. During the three and nine months ended September 30, 2023, we recorded $5.4 million of loss recovery insurance proceeds received or expected to be received related to the Hosted Exchange incident.</w:t>
      </w:r>
    </w:p>
    <w:p>
      <w:pPr>
        <w:spacing w:after="0" w:line="19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Effective on January 1, 2023, we reorganized around a two-business unit operating model, Public Cloud and Private Cloud. This two-business unit operating model ensures increased focus, delivery, and service quality for our customers. Beginning in 2023, we changed our segment reporting to reflect this reorganization under two reportable segments: Public Cloud and Private Cloud. We have reflected this change in all historical comparative periods presented within this MD&amp;A.</w:t>
      </w:r>
    </w:p>
    <w:p>
      <w:pPr>
        <w:spacing w:after="0" w:line="214"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Our Public Cloud segment is a services-centric, capital-light model providing value-added cloud solutions through managed services, Elastic Engineering and professional services offerings for customer environments hosted on the Amazon Web Services ("AWS"), Microsoft Azure and Google Cloud public cloud platforms. Our Private Cloud segment is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 See Item 1 of Part I, Financial Statements - Note 14, "Segment Reporting," for additional information about our segments.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Differentiating Our Service Offerings in a Competitive Market Environment</w:t>
      </w:r>
    </w:p>
    <w:p>
      <w:pPr>
        <w:spacing w:after="0" w:line="252"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Relationships and Retention</w:t>
      </w:r>
    </w:p>
    <w:p>
      <w:pPr>
        <w:spacing w:after="0" w:line="25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Mix Shift</w:t>
      </w:r>
    </w:p>
    <w:p>
      <w:pPr>
        <w:spacing w:after="0" w:line="252" w:lineRule="exact"/>
        <w:rPr>
          <w:sz w:val="20"/>
          <w:szCs w:val="20"/>
          <w:color w:val="auto"/>
        </w:rPr>
      </w:pPr>
    </w:p>
    <w:p>
      <w:pPr>
        <w:ind w:right="280" w:firstLine="486"/>
        <w:spacing w:after="0" w:line="255" w:lineRule="auto"/>
        <w:rPr>
          <w:sz w:val="20"/>
          <w:szCs w:val="20"/>
          <w:color w:val="auto"/>
        </w:rPr>
      </w:pPr>
      <w:r>
        <w:rPr>
          <w:rFonts w:ascii="Arial" w:cs="Arial" w:eastAsia="Arial" w:hAnsi="Arial"/>
          <w:sz w:val="18"/>
          <w:szCs w:val="18"/>
          <w:color w:val="auto"/>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the focus in Public Cloud is on expanding segment operating margins by driving cost efficiencies and growing services revenue, which are expected to come at higher margins than infrastructure resale.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in Capital Intensity</w:t>
      </w:r>
    </w:p>
    <w:p>
      <w:pPr>
        <w:spacing w:after="0" w:line="25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recent years, the mix of our consolidated revenues has shifted from high capital intensity service offerings to low capital intensity service offerings and we expect this mix shift to continue. Historically, we primarily offered managed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managed public cloud services, application services and professional services, which have significantly lower success-based capital requirements because they allow us to leverage our partners' infrastructure or technology to make our capital expenditures more efficient. As a result, we have recently experienced and expect to continue to experience changes in our capital expenditures requirements.</w:t>
      </w:r>
    </w:p>
    <w:p>
      <w:pPr>
        <w:spacing w:after="0" w:line="219"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Our capital expenditures equaled 4% of our revenue for both the three months ended September 30, 2022 and 2023 and 4% and 6% of our revenue for the nine months ended September 30, 2022 and 2023, respectively. While we saw an increase in capital expenditures for the nine months ended September 30, 2023, we expect to return to our historical capital intensity levels over the longer term.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Components of Statement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and legacy OpenStack business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2"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52"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SG&amp;A also includes transaction costs related to acquisitions and financings along with costs related to integration and business transformation initiatives which may impact the comparability of SG&amp;A between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income tax benefit (provision) and deferred tax assets and liabilities reflect management's best assessment of estimated current and future taxes to be paid.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11,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discuss our historical results of operations, and the key components of those results, below. Past financial results are not necessarily indicative of future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2023</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6"/>
                <w:szCs w:val="16"/>
                <w:b w:val="1"/>
                <w:bCs w:val="1"/>
                <w:color w:val="auto"/>
                <w:w w:val="96"/>
              </w:rPr>
              <w:t>Three Months Ended September 30,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13"/>
        </w:trPr>
        <w:tc>
          <w:tcPr>
            <w:tcW w:w="3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(19.4)%</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Impairment of assets,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(49.8)%</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Loss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debt extinguishment</w:t>
            </w: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(56.7)%</w:t>
            </w:r>
          </w:p>
        </w:tc>
      </w:tr>
      <w:tr>
        <w:trPr>
          <w:trHeight w:val="213"/>
        </w:trPr>
        <w:tc>
          <w:tcPr>
            <w:tcW w:w="3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(93.7)%</w:t>
            </w:r>
          </w:p>
        </w:tc>
      </w:tr>
      <w:tr>
        <w:trPr>
          <w:trHeight w:val="206"/>
        </w:trPr>
        <w:tc>
          <w:tcPr>
            <w:tcW w:w="3240" w:type="dxa"/>
            <w:vAlign w:val="bottom"/>
          </w:tcPr>
          <w:p>
            <w:pPr>
              <w:ind w:left="360"/>
              <w:spacing w:after="0"/>
              <w:rPr>
                <w:sz w:val="20"/>
                <w:szCs w:val="20"/>
                <w:color w:val="auto"/>
              </w:rPr>
            </w:pPr>
            <w:r>
              <w:rPr>
                <w:rFonts w:ascii="Arial" w:cs="Arial" w:eastAsia="Arial" w:hAnsi="Arial"/>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(54.6)%</w:t>
            </w: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13"/>
        </w:trPr>
        <w:tc>
          <w:tcPr>
            <w:tcW w:w="3240" w:type="dxa"/>
            <w:vAlign w:val="bottom"/>
          </w:tcPr>
          <w:p>
            <w:pPr>
              <w:ind w:left="48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(55.7)%</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39" w:lineRule="exact"/>
        <w:rPr>
          <w:sz w:val="20"/>
          <w:szCs w:val="20"/>
          <w:color w:val="auto"/>
        </w:rPr>
      </w:pPr>
    </w:p>
    <w:p>
      <w:pPr>
        <w:ind w:right="440" w:firstLine="486"/>
        <w:spacing w:after="0" w:line="261" w:lineRule="auto"/>
        <w:rPr>
          <w:sz w:val="20"/>
          <w:szCs w:val="20"/>
          <w:color w:val="auto"/>
        </w:rPr>
      </w:pPr>
      <w:r>
        <w:rPr>
          <w:rFonts w:ascii="Arial" w:cs="Arial" w:eastAsia="Arial" w:hAnsi="Arial"/>
          <w:sz w:val="18"/>
          <w:szCs w:val="18"/>
          <w:color w:val="auto"/>
        </w:rPr>
        <w:t>Revenue decreased $55 million, or 7.0%, to $732 million in the three months ended September 30, 2023 from $788 million in the three months ended September 30, 2022. Revenue declined due to Private Cloud and Public Cloud, as discussed below.</w:t>
      </w:r>
    </w:p>
    <w:p>
      <w:pPr>
        <w:spacing w:after="0" w:line="21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After removing the impact of foreign currency fluctuations, on a constant currency basis, revenue decreased 7.7% year-over-year. The following table presents revenue growth by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6"/>
              </w:rPr>
              <w:t>Three Months Ended September 30,</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(a)</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Cloud</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(13.8)%</w:t>
            </w:r>
          </w:p>
        </w:tc>
      </w:tr>
      <w:tr>
        <w:trPr>
          <w:trHeight w:val="23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1" w:lineRule="exact"/>
        <w:rPr>
          <w:rFonts w:ascii="Arial" w:cs="Arial" w:eastAsia="Arial" w:hAnsi="Arial"/>
          <w:sz w:val="16"/>
          <w:szCs w:val="16"/>
          <w:color w:val="auto"/>
        </w:rPr>
      </w:pPr>
    </w:p>
    <w:p>
      <w:pPr>
        <w:ind w:left="5540" w:hanging="111"/>
        <w:spacing w:after="0"/>
        <w:tabs>
          <w:tab w:leader="none" w:pos="5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Public Cloud revenue in the three months ended September 30, 2023 decreased 3% on an actual and constant currency basis, from the three months ended September 30, 2022. The decline was due to macro-economic pressures which caused a tightening of customer discretionary spend and optimizations.</w:t>
      </w:r>
    </w:p>
    <w:p>
      <w:pPr>
        <w:spacing w:after="0" w:line="21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Private Cloud revenue in the three months ended September 30, 2023 decreased 13% on an actual basis and 14% on a constant currency basis, from the three months ended September 30, 2022, due to customers rolling off old generation private cloud offerings, expected decline in legacy OpenStack offerings, and the impact from the December 2022 Hosted Exchange ransomware incident.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Cost of revenue was flat between periods due to the following drivers. Consulting professional fees and data center costs increased primarily to support growth for certain large customers. In addition, there was an increase in usage charges for third-party infrastructure. The increase in expense was offset by a decline in personnel costs primarily due to a reduction in headcount between periods and lower non-equity incentive compensation, partially offset by higher severance expense.</w:t>
      </w:r>
    </w:p>
    <w:p>
      <w:pPr>
        <w:spacing w:after="0" w:line="214"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As a percentage of revenue, cost of revenue increased 550 basis points in the three months ended September 30, 2023 to 79.2% from 73.7% in the three months ended September 30, 2022, primarily driven by a 390 basis point increase in usage charges for third-party infrastructure. Higher data center and professional fees also contributed to the increase in basis points between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39"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Our gross profit was $152 million in the three months ended September 30, 2023, a decrease of $55 million from $207 million in the three months ended September 30, 2022. Our consolidated gross margin was 20.8% in the three months ended September 30, 2023, a decrease of 550 basis points from 26.3% in the three months ended September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Selling, general and administrative expenses decreased $43 million, or 19%, to $177 million in the three months ended September 30, 2023 from $220 million in the three months ended September 30, 2022. Contributing to the reduction in expense was a wind down of certain business optimization initiatives between periods. In addition, personnel costs declined due to a reduction in salaries driven by lower headcount and decreases in share-based compensation, non-equity incentive compensation, and commissions expense. Other non-personnel costs fluctuations include lower professional fees, driven by insurance proceeds recorded in the current period related to the December 2022 Hosted Exchange ransomware incident, and a reduction in depreciation and amortization expense between periods.</w:t>
      </w:r>
    </w:p>
    <w:p>
      <w:pPr>
        <w:spacing w:after="0" w:line="219" w:lineRule="exact"/>
        <w:rPr>
          <w:sz w:val="20"/>
          <w:szCs w:val="20"/>
          <w:color w:val="auto"/>
        </w:rPr>
      </w:pPr>
    </w:p>
    <w:p>
      <w:pPr>
        <w:ind w:right="820" w:firstLine="486"/>
        <w:spacing w:after="0" w:line="308" w:lineRule="auto"/>
        <w:rPr>
          <w:sz w:val="20"/>
          <w:szCs w:val="20"/>
          <w:color w:val="auto"/>
        </w:rPr>
      </w:pPr>
      <w:r>
        <w:rPr>
          <w:rFonts w:ascii="Arial" w:cs="Arial" w:eastAsia="Arial" w:hAnsi="Arial"/>
          <w:sz w:val="17"/>
          <w:szCs w:val="17"/>
          <w:color w:val="auto"/>
        </w:rPr>
        <w:t>As a percentage of revenue, selling, general and administrative expenses decreased 370 basis points, to 24.2% in the three months ended September 30, 2023 from 27.9% in the three months ended September 30, 2022, for the reasons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 Segment Operating Profit, and Non-GAAP Operating Profit</w:t>
      </w:r>
    </w:p>
    <w:p>
      <w:pPr>
        <w:spacing w:after="0" w:line="25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loss from operations was $239 million in the three months ended September 30, 2023, an increase of $237 million from $477 million loss from operations in the three months ended September 30, 2022. Our Non-GAAP Operating Profit was $46 million in the three months ended September 30, 2023, a decrease of $34 million from $80 million in the three months ended September 30, 2022. Non-GAAP Operating Profit is a non-GAAP financial measure. See "Non-GAAP Financial Measures" below for more information.</w:t>
      </w: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a reconciliation of loss from operations to Non-GAAP Operating Profit.</w:t>
      </w:r>
    </w:p>
    <w:p>
      <w:pPr>
        <w:spacing w:after="0" w:line="388"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w w:val="92"/>
              </w:rPr>
              <w:t>Hosted Exchange incident expenses, net of proceeds received or expected to be received under our insurance coverage</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Impairment of assets,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09"/>
        </w:trPr>
        <w:tc>
          <w:tcPr>
            <w:tcW w:w="7940" w:type="dxa"/>
            <w:vAlign w:val="bottom"/>
          </w:tcPr>
          <w:p>
            <w:pPr>
              <w:ind w:left="240"/>
              <w:spacing w:after="0"/>
              <w:rPr>
                <w:sz w:val="20"/>
                <w:szCs w:val="20"/>
                <w:color w:val="auto"/>
              </w:rPr>
            </w:pPr>
            <w:r>
              <w:rPr>
                <w:rFonts w:ascii="Arial" w:cs="Arial" w:eastAsia="Arial" w:hAnsi="Arial"/>
                <w:sz w:val="16"/>
                <w:szCs w:val="16"/>
                <w:color w:val="auto"/>
              </w:rPr>
              <w:t>Non-GAAP Operating Profit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80" w:right="80" w:hanging="339"/>
        <w:spacing w:after="0" w:line="277" w:lineRule="auto"/>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10" w:lineRule="exact"/>
        <w:rPr>
          <w:rFonts w:ascii="Arial" w:cs="Arial" w:eastAsia="Arial" w:hAnsi="Arial"/>
          <w:sz w:val="15"/>
          <w:szCs w:val="15"/>
          <w:color w:val="auto"/>
        </w:rPr>
      </w:pPr>
    </w:p>
    <w:p>
      <w:pPr>
        <w:ind w:left="480" w:right="100" w:hanging="344"/>
        <w:spacing w:after="0" w:line="252"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7" w:lineRule="exact"/>
        <w:rPr>
          <w:rFonts w:ascii="Arial" w:cs="Arial" w:eastAsia="Arial" w:hAnsi="Arial"/>
          <w:sz w:val="16"/>
          <w:szCs w:val="16"/>
          <w:color w:val="auto"/>
        </w:rPr>
      </w:pPr>
    </w:p>
    <w:p>
      <w:pPr>
        <w:ind w:left="480" w:right="160" w:hanging="339"/>
        <w:spacing w:after="0" w:line="250"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This amount also includes total charges of $1.0 million for the three months ended September 30, 2022 related to the July 2021 Restructuring Plan which are not accounted for as exit and disposal costs under ASC 420, including one-time offshore build out costs.</w:t>
      </w:r>
    </w:p>
    <w:p>
      <w:pPr>
        <w:spacing w:after="0" w:line="29" w:lineRule="exact"/>
        <w:rPr>
          <w:rFonts w:ascii="Arial" w:cs="Arial" w:eastAsia="Arial" w:hAnsi="Arial"/>
          <w:sz w:val="16"/>
          <w:szCs w:val="16"/>
          <w:color w:val="auto"/>
        </w:rPr>
      </w:pPr>
    </w:p>
    <w:p>
      <w:pPr>
        <w:ind w:left="480" w:hanging="344"/>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3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segment operating profit and segment operating margin for the periods indicated, and the change between periods is shown in the table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ind w:left="100"/>
              <w:spacing w:after="0"/>
              <w:rPr>
                <w:sz w:val="20"/>
                <w:szCs w:val="20"/>
                <w:color w:val="auto"/>
              </w:rPr>
            </w:pPr>
            <w:r>
              <w:rPr>
                <w:rFonts w:ascii="Arial" w:cs="Arial" w:eastAsia="Arial" w:hAnsi="Arial"/>
                <w:sz w:val="16"/>
                <w:szCs w:val="16"/>
                <w:b w:val="1"/>
                <w:bCs w:val="1"/>
                <w:color w:val="auto"/>
                <w:w w:val="91"/>
              </w:rPr>
              <w:t>Three Months Ended September 30,</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w w:val="84"/>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Segment operating profit:</w:t>
            </w:r>
          </w:p>
        </w:tc>
        <w:tc>
          <w:tcPr>
            <w:tcW w:w="180" w:type="dxa"/>
            <w:vAlign w:val="bottom"/>
          </w:tcPr>
          <w:p>
            <w:pPr>
              <w:spacing w:after="0"/>
              <w:rPr>
                <w:sz w:val="13"/>
                <w:szCs w:val="13"/>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9"/>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8"/>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10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2"/>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Private Cloud</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116.2</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33.9 %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consolidated segment operating profit</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Corporate functions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(64.8)</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Non-GAAP Operating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Public Cloud operating profit decreased 23% in the three months ended September 30, 2023 from the three months ended September 30, 2022. Segment operating profit as a percentage of segment revenue decreased by 130 basis points, reflecting a 3% decrease in segment revenue, partially offset by a 1% decrease in segment operating expenses.</w:t>
      </w:r>
    </w:p>
    <w:p>
      <w:pPr>
        <w:spacing w:after="0" w:line="211"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Private Cloud operating profit decreased 27% in the three months ended September 30, 2023 from the three months ended September 30, 2022. Segment operating profit as a percentage of segment revenue decreased by 560 basis points, due to a 13% decrease in segment revenue, partially offset by a 5% decrease in segment operating expenses. The decrease in costs was mainly driven by a reduction in personnel costs.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6% in the three months ended September 30, 2023 from the three months ended September 30, 2022 primarily due to a reduction in depreciation and amortization expense between periods.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more information about our segment operating profit, see Item 1 of Part I, Financial Statements - Note 14, "Segment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252"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performed an interim goodwill impairment analysis as of September 30, 2023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overall change in economic climate, changes in the industry and competitive environment, market capitalization, and earnings quality and sustainability. As a result, we determined that the carrying value of our Private Cloud reporting unit exceeded its fair value and recorded an impairment of goodwill of $166 million in the three months ended September 30, 2023.</w:t>
      </w:r>
    </w:p>
    <w:p>
      <w:pPr>
        <w:spacing w:after="0" w:line="219"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We performed an interim goodwill impairment analysis as of September 1, 2022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from prior year, overall change in economic climate, changes in the industry and competitive environment, and earnings quality and sustainability. In addition, as of September 1, 2022, we lowered our projected operating results primarily due to product mix shifts and market concerns related to inflation, supply chain disruption issues and other macroeconomic factors. As a result, we determined that the carrying value of our former Multicloud Services reporting unit exceeded its fair value and recorded an impairment of goodwill of $405 million in the three months ended September 30,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 Net</w:t>
      </w:r>
    </w:p>
    <w:p>
      <w:pPr>
        <w:spacing w:after="0" w:line="252" w:lineRule="exact"/>
        <w:rPr>
          <w:sz w:val="20"/>
          <w:szCs w:val="20"/>
          <w:color w:val="auto"/>
        </w:rPr>
      </w:pPr>
    </w:p>
    <w:p>
      <w:pPr>
        <w:ind w:right="240" w:firstLine="486"/>
        <w:spacing w:after="0" w:line="261" w:lineRule="auto"/>
        <w:rPr>
          <w:sz w:val="20"/>
          <w:szCs w:val="20"/>
          <w:color w:val="auto"/>
        </w:rPr>
      </w:pPr>
      <w:r>
        <w:rPr>
          <w:rFonts w:ascii="Arial" w:cs="Arial" w:eastAsia="Arial" w:hAnsi="Arial"/>
          <w:sz w:val="18"/>
          <w:szCs w:val="18"/>
          <w:color w:val="auto"/>
        </w:rPr>
        <w:t>We also evaluated our indefinite-lived intangible asset for impairment as of September 30, 2023. As a result of this evaluation, we recorded a $57 million impairment of our indefinite-lived intangible asset in the three months ended September 30, 2023.</w:t>
      </w:r>
    </w:p>
    <w:p>
      <w:pPr>
        <w:spacing w:after="0" w:line="21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Similarly, we also evaluated our indefinite-lived intangible asset and long-lived assets for impairment as of September 1, 2022. As a result of these evaluations, we recorded total impairment charges of $59 million in the three months ended September 30, 2022, consisting of a $21 million impairment of our indefinite-lived intangible asset and a $38 million impairment of OpenStack Public Cloud long-lived assets.</w:t>
      </w:r>
    </w:p>
    <w:p>
      <w:pPr>
        <w:spacing w:after="0" w:line="21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 addition, in the three months ended September 30, 2023, we recorded a $9 million increase in the estimated fair value, less estimated cost to sell, of our corporate headquarters which was classified as held for sale under GAAP as of December 31, 2022. See Item 1 of Part I, Financial Statements - Note 5, "Property, Equipment and Software, net" for more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right="320" w:firstLine="486"/>
        <w:spacing w:after="0" w:line="261" w:lineRule="auto"/>
        <w:rPr>
          <w:sz w:val="20"/>
          <w:szCs w:val="20"/>
          <w:color w:val="auto"/>
        </w:rPr>
      </w:pPr>
      <w:r>
        <w:rPr>
          <w:rFonts w:ascii="Arial" w:cs="Arial" w:eastAsia="Arial" w:hAnsi="Arial"/>
          <w:sz w:val="18"/>
          <w:szCs w:val="18"/>
          <w:color w:val="auto"/>
        </w:rPr>
        <w:t>Interest expense increased $4 million, or 8%, to $57 million in the three months ended September 30, 2023 from $52 million in the three months ended September 30, 2022, due primarily to rising interest rates and the impact on our variable-rate Term Loan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Debt Extinguishment</w:t>
      </w:r>
    </w:p>
    <w:p>
      <w:pPr>
        <w:spacing w:after="0" w:line="252" w:lineRule="exact"/>
        <w:rPr>
          <w:sz w:val="20"/>
          <w:szCs w:val="20"/>
          <w:color w:val="auto"/>
        </w:rPr>
      </w:pPr>
    </w:p>
    <w:p>
      <w:pPr>
        <w:ind w:right="640" w:firstLine="486"/>
        <w:spacing w:after="0" w:line="324" w:lineRule="auto"/>
        <w:rPr>
          <w:sz w:val="20"/>
          <w:szCs w:val="20"/>
          <w:color w:val="auto"/>
        </w:rPr>
      </w:pPr>
      <w:r>
        <w:rPr>
          <w:rFonts w:ascii="Arial" w:cs="Arial" w:eastAsia="Arial" w:hAnsi="Arial"/>
          <w:sz w:val="16"/>
          <w:szCs w:val="16"/>
          <w:color w:val="auto"/>
        </w:rPr>
        <w:t>We recorded a $55 million gain on debt extinguishment in the three months ended September 30, 2023 related to repurchases of $85 million principal amount of 5.375% Senior Notes. We did not record a gain on debt extinguishment in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39"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Other expense, net decreased to $3 million in the three months ended September 30, 2023 from $6 million in the three months ended September 30, 2022 primarily due to foreign currency transaction gains, partially offset by $5 million of expense recorded in the current period related to the executed Receivables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5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income tax benefit decreased to $17 million in the three months ended September 30, 2023 from $23 million in the three months ended September 30, 2022. Our effective tax rate increased to 6.8% in the three months ended September 30, 2023 from 4.4% in the three months ended September 30, 2022. The increase in the effective tax rate year-over-year and the difference between the effective tax rate and the statutory rate for the three months ended September 30, 2023 is primarily due to the tax impact associated with changes in the valuation allowance, geographic distribution of profits, the tax effects from nondeductible share-based compensation, executive compensation that is nondeductible under IRC Section 162(m), and the tax impact associated with the goodwill impairment recorded in the third quarter of 2023, the majority of which was nondeductible for income tax purposes.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Nine Months Ended September 30, 2023</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6"/>
                <w:szCs w:val="16"/>
                <w:b w:val="1"/>
                <w:bCs w:val="1"/>
                <w:color w:val="auto"/>
                <w:w w:val="97"/>
              </w:rPr>
              <w:t>Nine Months Ended September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Year-Over-Year Comparison</w:t>
            </w:r>
          </w:p>
        </w:tc>
      </w:tr>
      <w:tr>
        <w:trPr>
          <w:trHeight w:val="20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 Revenue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 Revenue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5.0 %</w:t>
            </w:r>
          </w:p>
        </w:tc>
      </w:tr>
      <w:tr>
        <w:trPr>
          <w:trHeight w:val="212"/>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3"/>
        </w:trPr>
        <w:tc>
          <w:tcPr>
            <w:tcW w:w="3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74.9 %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Impairment of assets,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(17.5)%</w:t>
            </w:r>
          </w:p>
        </w:tc>
      </w:tr>
      <w:tr>
        <w:trPr>
          <w:trHeight w:val="212"/>
        </w:trPr>
        <w:tc>
          <w:tcPr>
            <w:tcW w:w="3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95.7 %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11.6 %</w:t>
            </w:r>
          </w:p>
        </w:tc>
      </w:tr>
      <w:tr>
        <w:trPr>
          <w:trHeight w:val="213"/>
        </w:trPr>
        <w:tc>
          <w:tcPr>
            <w:tcW w:w="3240" w:type="dxa"/>
            <w:vAlign w:val="bottom"/>
          </w:tcPr>
          <w:p>
            <w:pPr>
              <w:ind w:left="140"/>
              <w:spacing w:after="0"/>
              <w:rPr>
                <w:sz w:val="20"/>
                <w:szCs w:val="20"/>
                <w:color w:val="auto"/>
              </w:rPr>
            </w:pPr>
            <w:r>
              <w:rPr>
                <w:rFonts w:ascii="Arial" w:cs="Arial" w:eastAsia="Arial" w:hAnsi="Arial"/>
                <w:sz w:val="16"/>
                <w:szCs w:val="16"/>
                <w:color w:val="auto"/>
              </w:rPr>
              <w:t>Gain (loss)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debt extinguishment</w:t>
            </w: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(98.1)%</w:t>
            </w:r>
          </w:p>
        </w:tc>
      </w:tr>
      <w:tr>
        <w:trPr>
          <w:trHeight w:val="213"/>
        </w:trPr>
        <w:tc>
          <w:tcPr>
            <w:tcW w:w="3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(95.4)%</w:t>
            </w:r>
          </w:p>
        </w:tc>
      </w:tr>
      <w:tr>
        <w:trPr>
          <w:trHeight w:val="206"/>
        </w:trPr>
        <w:tc>
          <w:tcPr>
            <w:tcW w:w="3240" w:type="dxa"/>
            <w:vAlign w:val="bottom"/>
          </w:tcPr>
          <w:p>
            <w:pPr>
              <w:ind w:left="360"/>
              <w:spacing w:after="0"/>
              <w:rPr>
                <w:sz w:val="20"/>
                <w:szCs w:val="20"/>
                <w:color w:val="auto"/>
              </w:rPr>
            </w:pPr>
            <w:r>
              <w:rPr>
                <w:rFonts w:ascii="Arial" w:cs="Arial" w:eastAsia="Arial" w:hAnsi="Arial"/>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(620.6)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(271.3)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43.7 %</w:t>
            </w: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2"/>
        </w:trPr>
        <w:tc>
          <w:tcPr>
            <w:tcW w:w="3240" w:type="dxa"/>
            <w:vAlign w:val="bottom"/>
          </w:tcPr>
          <w:p>
            <w:pPr>
              <w:ind w:left="48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46.5 %</w:t>
            </w:r>
          </w:p>
        </w:tc>
      </w:tr>
      <w:tr>
        <w:trPr>
          <w:trHeight w:val="21"/>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color w:val="auto"/>
        </w:rPr>
        <w:t>Revenue decreased $98 million, or 4.2%, to $2,237 million in the nine months ended September 30, 2023 from $2,335 million in the nine months ended September 30, 2022. Revenue declined primarily due to Private Cloud, partially offset by growth in Public Cloud, as discussed below.</w:t>
      </w:r>
    </w:p>
    <w:p>
      <w:pPr>
        <w:spacing w:after="0" w:line="15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After removing the impact from foreign currency fluctuations, on a constant currency basis, revenue decreased 4.0% year-over-year. The following table presents revenue growth by segment: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w w:val="96"/>
              </w:rPr>
              <w:t>Nine Months Ended September 30,</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9"/>
              <w:spacing w:after="0" w:line="213" w:lineRule="exact"/>
              <w:rPr>
                <w:sz w:val="20"/>
                <w:szCs w:val="20"/>
                <w:color w:val="auto"/>
              </w:rPr>
            </w:pPr>
            <w:r>
              <w:rPr>
                <w:rFonts w:ascii="Arial" w:cs="Arial" w:eastAsia="Arial" w:hAnsi="Arial"/>
                <w:sz w:val="16"/>
                <w:szCs w:val="16"/>
                <w:b w:val="1"/>
                <w:bCs w:val="1"/>
                <w:color w:val="auto"/>
                <w:w w:val="95"/>
              </w:rPr>
              <w:t xml:space="preserve">Constant Currency </w:t>
            </w:r>
            <w:r>
              <w:rPr>
                <w:rFonts w:ascii="Arial" w:cs="Arial" w:eastAsia="Arial" w:hAnsi="Arial"/>
                <w:sz w:val="21"/>
                <w:szCs w:val="21"/>
                <w:b w:val="1"/>
                <w:bCs w:val="1"/>
                <w:color w:val="auto"/>
                <w:w w:val="95"/>
                <w:vertAlign w:val="superscript"/>
              </w:rPr>
              <w:t>(a)</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Cloud</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925.1</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(11.8)%</w:t>
            </w:r>
          </w:p>
        </w:tc>
      </w:tr>
      <w:tr>
        <w:trPr>
          <w:trHeight w:val="23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2,237.4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44" w:lineRule="exact"/>
        <w:rPr>
          <w:sz w:val="20"/>
          <w:szCs w:val="20"/>
          <w:color w:val="auto"/>
        </w:rPr>
      </w:pPr>
    </w:p>
    <w:p>
      <w:pPr>
        <w:jc w:val="both"/>
        <w:ind w:right="220" w:firstLine="486"/>
        <w:spacing w:after="0" w:line="259" w:lineRule="auto"/>
        <w:rPr>
          <w:sz w:val="20"/>
          <w:szCs w:val="20"/>
          <w:color w:val="auto"/>
        </w:rPr>
      </w:pPr>
      <w:r>
        <w:rPr>
          <w:rFonts w:ascii="Arial" w:cs="Arial" w:eastAsia="Arial" w:hAnsi="Arial"/>
          <w:sz w:val="18"/>
          <w:szCs w:val="18"/>
          <w:color w:val="auto"/>
        </w:rPr>
        <w:t>Public Cloud revenue in the nine months ended September 30, 2023 increased 2% on an actual and constant currency basis, from the nine months ended September 30, 2022. Underlying growth was driven by both the acquisition of new customers and increased spend by existing customers, partially offset by cancellations by existing customers. Offerings in this segment with the strongest growth include infrastructure resale on AWS, Microsoft Azure and Google Cloud.</w:t>
      </w:r>
    </w:p>
    <w:p>
      <w:pPr>
        <w:spacing w:after="0" w:line="214"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Private Cloud revenue in the nine months ended September 30, 2023 decreased 12% on an actual and constant currency basis, from the nine months ended September 30, 2022, due to customers rolling off old generation private cloud offerings, expected decline in legacy OpenStack offerings, and the impact from the December 2022 Hosted Exchange ransomware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52"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Cost of revenue increased $85 million, or 5%, to $1,763 million in the nine months ended September 30, 2023 from $1,678 million in the nine months ended September 30, 2022, primarily due to an increase in usage charges for third-party infrastructure associated with growth in these offerings. Consulting professional fees and data center costs increased primarily to support growth for certain large customers. In addition, license expense increased as a result of increased usage between periods. Personnel costs increased slightly due to higher severance expense in the nine months ended September 30, 2023, partially offset by lower salaries as a result of headcount reduction and a decrease in non-equity incentive compensation.</w:t>
      </w:r>
    </w:p>
    <w:p>
      <w:pPr>
        <w:spacing w:after="0" w:line="188" w:lineRule="exact"/>
        <w:rPr>
          <w:sz w:val="20"/>
          <w:szCs w:val="20"/>
          <w:color w:val="auto"/>
        </w:rPr>
      </w:pPr>
    </w:p>
    <w:p>
      <w:pPr>
        <w:jc w:val="both"/>
        <w:ind w:right="200" w:firstLine="486"/>
        <w:spacing w:after="0" w:line="311" w:lineRule="auto"/>
        <w:rPr>
          <w:sz w:val="20"/>
          <w:szCs w:val="20"/>
          <w:color w:val="auto"/>
        </w:rPr>
      </w:pPr>
      <w:r>
        <w:rPr>
          <w:rFonts w:ascii="Arial" w:cs="Arial" w:eastAsia="Arial" w:hAnsi="Arial"/>
          <w:sz w:val="16"/>
          <w:szCs w:val="16"/>
          <w:color w:val="auto"/>
        </w:rPr>
        <w:t>As a percentage of revenue, cost of revenue increased 690 basis points in the nine months ended September 30, 2023 to 78.8% from 71.9% in the nine months ended September 30, 2022, primarily driven by a 450 basis point increase in usage charges for third-party infrastructure. Higher personnel, data center, professional fees, and license costs also contributed to the increase in basis points between periods.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52"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Our gross profit was $475 million in the nine months ended September 30, 2023, a decrease of $182 million from $657 million in the nine months ended September 30, 2022. Our consolidated gross margin was 21.2% in the nine months ended September 30, 2023, a decrease of 690 basis points from 28.1% in the nine months ended September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Selling, general and administrative expenses were $602 million in the nine months ended September 30, 2023 compared to $645 million in the nine months ended September 30, 2022. Contributing to the reduction in expense was a wind down of certain business optimization initiatives between periods. In addition, personnel costs declined between periods due to a reduction in salaries driven by lower headcount and decreases in share-based compensation, non-equity incentive compensation, and commissions, partially offset by higher severance expense. Other non-personnel costs fluctuations include lower marketing spend and depreciation and amortization expense, offset by higher office rent. The increase in office rent includes $12 million of expense recognized for a UK office that we exited in the second quarter of 2023, prior to the lease end date.</w:t>
      </w:r>
    </w:p>
    <w:p>
      <w:pPr>
        <w:spacing w:after="0" w:line="205" w:lineRule="exact"/>
        <w:rPr>
          <w:sz w:val="20"/>
          <w:szCs w:val="20"/>
          <w:color w:val="auto"/>
        </w:rPr>
      </w:pPr>
    </w:p>
    <w:p>
      <w:pPr>
        <w:ind w:right="980" w:firstLine="486"/>
        <w:spacing w:after="0" w:line="308" w:lineRule="auto"/>
        <w:rPr>
          <w:sz w:val="20"/>
          <w:szCs w:val="20"/>
          <w:color w:val="auto"/>
        </w:rPr>
      </w:pPr>
      <w:r>
        <w:rPr>
          <w:rFonts w:ascii="Arial" w:cs="Arial" w:eastAsia="Arial" w:hAnsi="Arial"/>
          <w:sz w:val="17"/>
          <w:szCs w:val="17"/>
          <w:color w:val="auto"/>
        </w:rPr>
        <w:t>As a percentage of revenue, selling, general and administrative expenses decreased 70 basis points, to 26.9% in the nine months ended September 30, 2023 from 27.6% in the nine months ended September 30, 2022 for the reasons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 Segment Operating Profit, and Non-GAAP Operating Profit</w:t>
      </w:r>
    </w:p>
    <w:p>
      <w:pPr>
        <w:spacing w:after="0" w:line="25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loss from operations was $884 million in the nine months ended September 30, 2023, a decrease of $432 million from $452 million loss from operations in the nine months ended September 30, 2022. Our Non-GAAP Operating Profit was $135 million in the nine months ended September 30, 2023, a decrease of $155 million from $290 million in the nine months ended September 30, 2022. Non-GAAP Operating Profit is a non-GAAP financial measure. See "Non-GAAP Financial Measures" below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reconciliation of loss from operations to Non-GAAP Operating Profit.</w:t>
      </w:r>
    </w:p>
    <w:p>
      <w:pPr>
        <w:spacing w:after="0" w:line="293"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(884.2)</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7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w w:val="92"/>
              </w:rPr>
              <w:t>Hosted Exchange incident expenses, net of proceeds received or expected to be received under our insurance coverage</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w:t>
            </w: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Impairment of assets,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r>
      <w:tr>
        <w:trPr>
          <w:trHeight w:val="216"/>
        </w:trPr>
        <w:tc>
          <w:tcPr>
            <w:tcW w:w="7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UK office closure </w:t>
            </w:r>
            <w:r>
              <w:rPr>
                <w:rFonts w:ascii="Arial" w:cs="Arial" w:eastAsia="Arial" w:hAnsi="Arial"/>
                <w:sz w:val="21"/>
                <w:szCs w:val="21"/>
                <w:color w:val="auto"/>
                <w:vertAlign w:val="superscript"/>
              </w:rPr>
              <w:t>(e)</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34"/>
        </w:trPr>
        <w:tc>
          <w:tcPr>
            <w:tcW w:w="79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Non-GAAP Operating Profit</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ind w:left="480" w:right="80" w:hanging="339"/>
        <w:spacing w:after="0" w:line="277" w:lineRule="auto"/>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10" w:lineRule="exact"/>
        <w:rPr>
          <w:rFonts w:ascii="Arial" w:cs="Arial" w:eastAsia="Arial" w:hAnsi="Arial"/>
          <w:sz w:val="15"/>
          <w:szCs w:val="15"/>
          <w:color w:val="auto"/>
        </w:rPr>
      </w:pPr>
    </w:p>
    <w:p>
      <w:pPr>
        <w:ind w:left="480" w:right="100" w:hanging="344"/>
        <w:spacing w:after="0" w:line="252"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27" w:lineRule="exact"/>
        <w:rPr>
          <w:rFonts w:ascii="Arial" w:cs="Arial" w:eastAsia="Arial" w:hAnsi="Arial"/>
          <w:sz w:val="16"/>
          <w:szCs w:val="16"/>
          <w:color w:val="auto"/>
        </w:rPr>
      </w:pPr>
    </w:p>
    <w:p>
      <w:pPr>
        <w:ind w:left="480" w:right="140" w:hanging="339"/>
        <w:spacing w:after="0" w:line="250"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This amount also includes total charges of $5.2 million for the nine months ended September 30, 2022 related to the July 2021 Restructuring Plan which are not accounted for as exit and disposal costs under ASC 420, including one-time offshore build out costs.</w:t>
      </w:r>
    </w:p>
    <w:p>
      <w:pPr>
        <w:spacing w:after="0" w:line="29" w:lineRule="exact"/>
        <w:rPr>
          <w:rFonts w:ascii="Arial" w:cs="Arial" w:eastAsia="Arial" w:hAnsi="Arial"/>
          <w:sz w:val="16"/>
          <w:szCs w:val="16"/>
          <w:color w:val="auto"/>
        </w:rPr>
      </w:pPr>
    </w:p>
    <w:p>
      <w:pPr>
        <w:ind w:left="480" w:hanging="344"/>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59" w:lineRule="exact"/>
        <w:rPr>
          <w:rFonts w:ascii="Arial" w:cs="Arial" w:eastAsia="Arial" w:hAnsi="Arial"/>
          <w:sz w:val="16"/>
          <w:szCs w:val="16"/>
          <w:color w:val="auto"/>
        </w:rPr>
      </w:pPr>
    </w:p>
    <w:p>
      <w:pPr>
        <w:ind w:left="480" w:hanging="339"/>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Expense recognized related to the closure of a UK office that we exited in the second quarter of 2023 prior to the lease end date.</w:t>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segment operating profit and segment operating margin for the periods indicated, and the change between periods is shown in the table below:</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3"/>
              </w:rPr>
              <w:t>Nine Months Ended September 30,</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w w:val="93"/>
              </w:rPr>
              <w:t>Year-Over-Year Comparison</w:t>
            </w:r>
          </w:p>
        </w:tc>
        <w:tc>
          <w:tcPr>
            <w:tcW w:w="0" w:type="dxa"/>
            <w:vAlign w:val="bottom"/>
          </w:tcPr>
          <w:p>
            <w:pPr>
              <w:spacing w:after="0"/>
              <w:rPr>
                <w:sz w:val="1"/>
                <w:szCs w:val="1"/>
                <w:color w:val="auto"/>
              </w:rPr>
            </w:pPr>
          </w:p>
        </w:tc>
      </w:tr>
      <w:tr>
        <w:trPr>
          <w:trHeight w:val="15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Segment operating profit:</w:t>
            </w:r>
          </w:p>
        </w:tc>
        <w:tc>
          <w:tcPr>
            <w:tcW w:w="180" w:type="dxa"/>
            <w:vAlign w:val="bottom"/>
          </w:tcPr>
          <w:p>
            <w:pPr>
              <w:spacing w:after="0"/>
              <w:rPr>
                <w:sz w:val="13"/>
                <w:szCs w:val="13"/>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9"/>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rPr>
              <w:t>% of Segment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120" w:type="dxa"/>
            <w:vAlign w:val="bottom"/>
          </w:tcPr>
          <w:p>
            <w:pPr>
              <w:jc w:val="right"/>
              <w:ind w:right="19"/>
              <w:spacing w:after="0" w:line="158" w:lineRule="exact"/>
              <w:rPr>
                <w:sz w:val="20"/>
                <w:szCs w:val="20"/>
                <w:color w:val="auto"/>
              </w:rPr>
            </w:pPr>
            <w:r>
              <w:rPr>
                <w:rFonts w:ascii="Arial" w:cs="Arial" w:eastAsia="Arial" w:hAnsi="Arial"/>
                <w:sz w:val="16"/>
                <w:szCs w:val="16"/>
                <w:b w:val="1"/>
                <w:bCs w:val="1"/>
                <w:color w:val="auto"/>
                <w:w w:val="94"/>
              </w:rPr>
              <w:t>% of Segment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Private Cloud</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385.7</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36.7 %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consolidated segment operating profit</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478.2</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1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Corporate functions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(188.1)</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Non-GAAP Operating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290.1</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Public Cloud operating profit decreased 32% in the nine months ended September 30, 2023 from the nine months ended September 30, 2022. Segment operating profit as a percentage of segment revenue decreased by 240 basis points, reflecting a 5% increase in segment operating expenses, partially offset by a 2% increase in segment revenue. The increase in costs was mainly driven by higher third-party infrastructure costs due to the increase in revenue with additional increases in customer licenses.</w:t>
      </w:r>
    </w:p>
    <w:p>
      <w:pPr>
        <w:spacing w:after="0" w:line="214"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Private Cloud operating profit decreased 31% in the nine months ended September 30, 2023 from the nine months ended September 30, 2022. Segment operating profit as a percentage of segment revenue decreased by 810 basis points, due to a 12% decrease in segment revenue, partially offset by a 1% decrease in segment operating expenses.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420" w:firstLine="486"/>
        <w:spacing w:after="0" w:line="279" w:lineRule="auto"/>
        <w:rPr>
          <w:sz w:val="20"/>
          <w:szCs w:val="20"/>
          <w:color w:val="auto"/>
        </w:rPr>
      </w:pPr>
      <w:r>
        <w:rPr>
          <w:rFonts w:ascii="Arial" w:cs="Arial" w:eastAsia="Arial" w:hAnsi="Arial"/>
          <w:sz w:val="17"/>
          <w:szCs w:val="17"/>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increased 2% in the nine months ended September 30, 2023 from the nine months ended September 30, 2022 primarily due to increases in payroll costs and professional fees, partially offset by a decrease in depreciation and amortization expense between periods.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more information about our segment operating profit, see Item 1 of Part I, Financial Statements - Note 14, "Segment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recorded a total of $709 million in non-cash goodwill impairment charges in the nine months ended September 30, 2023.</w:t>
      </w:r>
    </w:p>
    <w:p>
      <w:pPr>
        <w:spacing w:after="0" w:line="252"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December 31, 2022 prior to the change indicated an impairment within our former Apps &amp; Cross Platform reporting unit, and we recorded a non-cash impairment charge of $129 million in the fourth quarter of 2022 as described in our Annual Report.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0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spacing w:after="0" w:line="205"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We performed an interim goodwill impairment analysis as of September 30, 2023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overall change in economic climate, changes in the industry and competitive environment, market capitalization and earnings quality and sustainability. As a result, we determined that the carrying value of our Private Cloud reporting unit exceeded its fair value and recorded a non-cash impairment of goodwill of $166 million in the third quarter of 2023.</w:t>
      </w:r>
    </w:p>
    <w:p>
      <w:pPr>
        <w:spacing w:after="0" w:line="188"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We performed an interim goodwill impairment analysis as of September 1, 2022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from prior year, overall change in economic climate, changes in the industry and competitive environment, and earnings quality and sustainability. In addition, as of September 1, 2022, we lowered our projected operating results primarily due to product mix shifts and market concerns related to inflation, supply chain disruption issues and other macroeconomic factors. As a result, we determined that the carrying value of our former Multicloud Services reporting unit exceeded its fair value and recorded an impairment of goodwill of $405 million in the third quarter of 2022.</w:t>
      </w:r>
    </w:p>
    <w:p>
      <w:pPr>
        <w:spacing w:after="0" w:line="204" w:lineRule="exact"/>
        <w:rPr>
          <w:sz w:val="20"/>
          <w:szCs w:val="20"/>
          <w:color w:val="auto"/>
        </w:rPr>
      </w:pPr>
    </w:p>
    <w:p>
      <w:pPr>
        <w:ind w:right="540" w:firstLine="486"/>
        <w:spacing w:after="0" w:line="261" w:lineRule="auto"/>
        <w:rPr>
          <w:sz w:val="20"/>
          <w:szCs w:val="20"/>
          <w:color w:val="auto"/>
        </w:rPr>
      </w:pPr>
      <w:r>
        <w:rPr>
          <w:rFonts w:ascii="Arial" w:cs="Arial" w:eastAsia="Arial" w:hAnsi="Arial"/>
          <w:sz w:val="18"/>
          <w:szCs w:val="18"/>
          <w:color w:val="auto"/>
        </w:rPr>
        <w:t>See "Critical Accounting Policies and Estimates" in this section and Item 1 of Part I, Financial Statements - Note 6, "Goodwill and Intangible Assets"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 Net</w:t>
      </w:r>
    </w:p>
    <w:p>
      <w:pPr>
        <w:spacing w:after="0" w:line="23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also evaluated our indefinite-lived intangible asset for impairment as of September 30, 2023. As a result of this evaluation, we recorded a $57 million impairment of our indefinite-lived intangible asset in the nine months ended September 30, 2023.</w:t>
      </w:r>
    </w:p>
    <w:p>
      <w:pPr>
        <w:spacing w:after="0" w:line="184"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Similarly, we evaluated our indefinite-lived intangible asset and long-lived assets for impairment as of September 1, 2022. As a result of these evaluations, we recorded total impairment charges of $59 million in the nine months ended September 30, 2022, consisting of a $21 million impairment of our indefinite-lived intangible asset and a $38 million impairment of OpenStack Public Cloud long-lived assets.</w:t>
      </w:r>
    </w:p>
    <w:p>
      <w:pPr>
        <w:spacing w:after="0" w:line="21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In addition, in the nine months ended September 30, 2023, we recorded a $9 million increase in the estimated fair value, less estimated cost to sell, of our corporate headquarters which was classified as held for sale under GAAP as of December 31, 2022. See Item 1 of Part I, Financial Statements - Note 5, "Property, Equipment and Software, net" for more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Interest expense increased $18 million, or 12%, to $171 million in the nine months ended September 30, 2023 from $153 million in the nine months ended September 30, 2022, due primarily to rising interest rates and the impact on our variable-rate Term Loan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Debt Extinguishment</w:t>
      </w:r>
    </w:p>
    <w:p>
      <w:pPr>
        <w:spacing w:after="0" w:line="252" w:lineRule="exact"/>
        <w:rPr>
          <w:sz w:val="20"/>
          <w:szCs w:val="20"/>
          <w:color w:val="auto"/>
        </w:rPr>
      </w:pPr>
    </w:p>
    <w:p>
      <w:pPr>
        <w:ind w:right="520" w:firstLine="486"/>
        <w:spacing w:after="0" w:line="342" w:lineRule="auto"/>
        <w:rPr>
          <w:sz w:val="20"/>
          <w:szCs w:val="20"/>
          <w:color w:val="auto"/>
        </w:rPr>
      </w:pPr>
      <w:r>
        <w:rPr>
          <w:rFonts w:ascii="Arial" w:cs="Arial" w:eastAsia="Arial" w:hAnsi="Arial"/>
          <w:sz w:val="16"/>
          <w:szCs w:val="16"/>
          <w:color w:val="auto"/>
        </w:rPr>
        <w:t>We recorded a $163 million gain on debt extinguishment in the nine months ended September 30, 2023 related to repurchases of $250 million principal amount of 5.375% Senior Notes. We did not record a gain on debt extinguishment in the nine months ended September 30,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39" w:lineRule="exact"/>
        <w:rPr>
          <w:sz w:val="20"/>
          <w:szCs w:val="20"/>
          <w:color w:val="auto"/>
        </w:rPr>
      </w:pPr>
    </w:p>
    <w:p>
      <w:pPr>
        <w:ind w:right="1040" w:firstLine="486"/>
        <w:spacing w:after="0" w:line="277" w:lineRule="auto"/>
        <w:rPr>
          <w:sz w:val="20"/>
          <w:szCs w:val="20"/>
          <w:color w:val="auto"/>
        </w:rPr>
      </w:pPr>
      <w:r>
        <w:rPr>
          <w:rFonts w:ascii="Arial" w:cs="Arial" w:eastAsia="Arial" w:hAnsi="Arial"/>
          <w:sz w:val="18"/>
          <w:szCs w:val="18"/>
          <w:color w:val="auto"/>
        </w:rPr>
        <w:t>Other expense, net decreased to $0.3 million in the nine months ended September 30, 2023 from $16 million in the nine months ended September 30, 2022 primarily due to foreign currency transaction gains and losses between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5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income tax benefit decreased to $26 million in the nine months ended September 30, 2023 from $30 million in the nine months ended September 30, 2022. Our effective tax rate decreased to 2.9% in the nine months ended September 30, 2023 from 4.8% in the nine months ended September 30, 2022. The decrease in the effective tax rate year-over-year is primarily due to the tax impact associated with the goodwill impairments recorded in the first and third quarters of 2023 as well as changes in the valuation allowance. The majority of the goodwill impairments recorded in the first and third quarters of 2023 were nondeductible for income tax purposes. The difference between the effective tax rate and the statutory rate for the nine months ended September 30, 2023 is primarily due to the tax impact associated with the goodwill impairments recorded in the first and third quarters of 2023, executive compensation that is nondeductible under IRC Section 162(m), the geographic distribution of profits, tax effects from nondeductible share-based compensation as well as an increase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Revenue</w:t>
      </w:r>
    </w:p>
    <w:p>
      <w:pPr>
        <w:spacing w:after="0" w:line="239"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tables present, by segment, actual and constant currency revenue and constant currency revenue growth rates, for and between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Three Months Ended</w:t>
            </w:r>
          </w:p>
        </w:tc>
        <w:tc>
          <w:tcPr>
            <w:tcW w:w="260" w:type="dxa"/>
            <w:vAlign w:val="bottom"/>
          </w:tcPr>
          <w:p>
            <w:pPr>
              <w:spacing w:after="0"/>
              <w:rPr>
                <w:sz w:val="16"/>
                <w:szCs w:val="16"/>
                <w:color w:val="auto"/>
              </w:rPr>
            </w:pPr>
          </w:p>
        </w:tc>
        <w:tc>
          <w:tcPr>
            <w:tcW w:w="4120" w:type="dxa"/>
            <w:vAlign w:val="bottom"/>
            <w:gridSpan w:val="7"/>
            <w:vMerge w:val="restart"/>
          </w:tcPr>
          <w:p>
            <w:pPr>
              <w:jc w:val="center"/>
              <w:ind w:right="159"/>
              <w:spacing w:after="0"/>
              <w:rPr>
                <w:sz w:val="20"/>
                <w:szCs w:val="20"/>
                <w:color w:val="auto"/>
              </w:rPr>
            </w:pPr>
            <w:r>
              <w:rPr>
                <w:rFonts w:ascii="Arial" w:cs="Arial" w:eastAsia="Arial" w:hAnsi="Arial"/>
                <w:sz w:val="16"/>
                <w:szCs w:val="16"/>
                <w:b w:val="1"/>
                <w:bCs w:val="1"/>
                <w:color w:val="auto"/>
                <w:w w:val="92"/>
              </w:rPr>
              <w:t>Three Months Ended September 30, 2023</w:t>
            </w:r>
          </w:p>
        </w:tc>
        <w:tc>
          <w:tcPr>
            <w:tcW w:w="120" w:type="dxa"/>
            <w:vAlign w:val="bottom"/>
          </w:tcPr>
          <w:p>
            <w:pPr>
              <w:spacing w:after="0"/>
              <w:rPr>
                <w:sz w:val="16"/>
                <w:szCs w:val="16"/>
                <w:color w:val="auto"/>
              </w:rPr>
            </w:pPr>
          </w:p>
        </w:tc>
        <w:tc>
          <w:tcPr>
            <w:tcW w:w="1780" w:type="dxa"/>
            <w:vAlign w:val="bottom"/>
            <w:gridSpan w:val="3"/>
            <w:vMerge w:val="restart"/>
          </w:tcPr>
          <w:p>
            <w:pPr>
              <w:ind w:left="1020"/>
              <w:spacing w:after="0"/>
              <w:rPr>
                <w:sz w:val="20"/>
                <w:szCs w:val="20"/>
                <w:color w:val="auto"/>
              </w:rPr>
            </w:pPr>
            <w:r>
              <w:rPr>
                <w:rFonts w:ascii="Arial" w:cs="Arial" w:eastAsia="Arial" w:hAnsi="Arial"/>
                <w:sz w:val="16"/>
                <w:szCs w:val="16"/>
                <w:b w:val="1"/>
                <w:bCs w:val="1"/>
                <w:color w:val="auto"/>
                <w:w w:val="95"/>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w w:val="95"/>
              </w:rPr>
              <w:t>September 30, 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Revenue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Revenue</w:t>
            </w:r>
          </w:p>
        </w:tc>
        <w:tc>
          <w:tcPr>
            <w:tcW w:w="120" w:type="dxa"/>
            <w:vAlign w:val="bottom"/>
            <w:vMerge w:val="restart"/>
          </w:tcPr>
          <w:p>
            <w:pPr>
              <w:spacing w:after="0"/>
              <w:rPr>
                <w:sz w:val="13"/>
                <w:szCs w:val="13"/>
                <w:color w:val="auto"/>
              </w:rPr>
            </w:pP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200" w:type="dxa"/>
            <w:vAlign w:val="bottom"/>
          </w:tcPr>
          <w:p>
            <w:pPr>
              <w:spacing w:after="0"/>
              <w:rPr>
                <w:sz w:val="13"/>
                <w:szCs w:val="13"/>
                <w:color w:val="auto"/>
              </w:rPr>
            </w:pPr>
          </w:p>
        </w:tc>
        <w:tc>
          <w:tcPr>
            <w:tcW w:w="118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Revenue in</w:t>
            </w:r>
          </w:p>
        </w:tc>
        <w:tc>
          <w:tcPr>
            <w:tcW w:w="120" w:type="dxa"/>
            <w:vAlign w:val="bottom"/>
          </w:tcPr>
          <w:p>
            <w:pPr>
              <w:spacing w:after="0"/>
              <w:rPr>
                <w:sz w:val="13"/>
                <w:szCs w:val="13"/>
                <w:color w:val="auto"/>
              </w:rPr>
            </w:pPr>
          </w:p>
        </w:tc>
        <w:tc>
          <w:tcPr>
            <w:tcW w:w="13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Actual</w:t>
            </w:r>
          </w:p>
        </w:tc>
        <w:tc>
          <w:tcPr>
            <w:tcW w:w="120" w:type="dxa"/>
            <w:vAlign w:val="bottom"/>
            <w:vMerge w:val="restart"/>
          </w:tcPr>
          <w:p>
            <w:pPr>
              <w:spacing w:after="0"/>
              <w:rPr>
                <w:sz w:val="13"/>
                <w:szCs w:val="13"/>
                <w:color w:val="auto"/>
              </w:rPr>
            </w:pPr>
          </w:p>
        </w:tc>
        <w:tc>
          <w:tcPr>
            <w:tcW w:w="340" w:type="dxa"/>
            <w:vAlign w:val="bottom"/>
            <w:vMerge w:val="restart"/>
          </w:tcPr>
          <w:p>
            <w:pPr>
              <w:spacing w:after="0"/>
              <w:rPr>
                <w:sz w:val="13"/>
                <w:szCs w:val="13"/>
                <w:color w:val="auto"/>
              </w:rPr>
            </w:pPr>
          </w:p>
        </w:tc>
        <w:tc>
          <w:tcPr>
            <w:tcW w:w="1020" w:type="dxa"/>
            <w:vAlign w:val="bottom"/>
          </w:tcPr>
          <w:p>
            <w:pPr>
              <w:jc w:val="right"/>
              <w:ind w:right="279"/>
              <w:spacing w:after="0" w:line="158" w:lineRule="exact"/>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9"/>
              <w:spacing w:after="0" w:line="216" w:lineRule="exact"/>
              <w:rPr>
                <w:sz w:val="20"/>
                <w:szCs w:val="20"/>
                <w:color w:val="auto"/>
              </w:rPr>
            </w:pPr>
            <w:r>
              <w:rPr>
                <w:rFonts w:ascii="Arial" w:cs="Arial" w:eastAsia="Arial" w:hAnsi="Arial"/>
                <w:sz w:val="16"/>
                <w:szCs w:val="16"/>
                <w:b w:val="1"/>
                <w:bCs w:val="1"/>
                <w:color w:val="auto"/>
                <w:w w:val="90"/>
              </w:rPr>
              <w:t xml:space="preserve">Translation </w:t>
            </w:r>
            <w:r>
              <w:rPr>
                <w:rFonts w:ascii="Arial" w:cs="Arial" w:eastAsia="Arial" w:hAnsi="Arial"/>
                <w:sz w:val="21"/>
                <w:szCs w:val="21"/>
                <w:b w:val="1"/>
                <w:bCs w:val="1"/>
                <w:color w:val="auto"/>
                <w:w w:val="90"/>
                <w:vertAlign w:val="superscript"/>
              </w:rPr>
              <w:t>(a)</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Constant Currency</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1"/>
              </w:rPr>
              <w:t>Currency</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Cloud</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38"/>
        </w:trPr>
        <w:tc>
          <w:tcPr>
            <w:tcW w:w="2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effect of foreign currency is calculated by translating current period results using the average exchange rate from the prior comparative period.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6"/>
              </w:rPr>
              <w:t>Nine Months Ended</w:t>
            </w:r>
          </w:p>
        </w:tc>
        <w:tc>
          <w:tcPr>
            <w:tcW w:w="260" w:type="dxa"/>
            <w:vAlign w:val="bottom"/>
          </w:tcPr>
          <w:p>
            <w:pPr>
              <w:spacing w:after="0"/>
              <w:rPr>
                <w:sz w:val="16"/>
                <w:szCs w:val="16"/>
                <w:color w:val="auto"/>
              </w:rPr>
            </w:pPr>
          </w:p>
        </w:tc>
        <w:tc>
          <w:tcPr>
            <w:tcW w:w="4120" w:type="dxa"/>
            <w:vAlign w:val="bottom"/>
            <w:gridSpan w:val="7"/>
            <w:vMerge w:val="restart"/>
          </w:tcPr>
          <w:p>
            <w:pPr>
              <w:jc w:val="center"/>
              <w:ind w:right="179"/>
              <w:spacing w:after="0"/>
              <w:rPr>
                <w:sz w:val="20"/>
                <w:szCs w:val="20"/>
                <w:color w:val="auto"/>
              </w:rPr>
            </w:pPr>
            <w:r>
              <w:rPr>
                <w:rFonts w:ascii="Arial" w:cs="Arial" w:eastAsia="Arial" w:hAnsi="Arial"/>
                <w:sz w:val="16"/>
                <w:szCs w:val="16"/>
                <w:b w:val="1"/>
                <w:bCs w:val="1"/>
                <w:color w:val="auto"/>
                <w:w w:val="91"/>
              </w:rPr>
              <w:t>Nine Months Ended September 30, 2023</w:t>
            </w:r>
          </w:p>
        </w:tc>
        <w:tc>
          <w:tcPr>
            <w:tcW w:w="120" w:type="dxa"/>
            <w:vAlign w:val="bottom"/>
          </w:tcPr>
          <w:p>
            <w:pPr>
              <w:spacing w:after="0"/>
              <w:rPr>
                <w:sz w:val="16"/>
                <w:szCs w:val="16"/>
                <w:color w:val="auto"/>
              </w:rPr>
            </w:pPr>
          </w:p>
        </w:tc>
        <w:tc>
          <w:tcPr>
            <w:tcW w:w="1780" w:type="dxa"/>
            <w:vAlign w:val="bottom"/>
            <w:gridSpan w:val="3"/>
            <w:vMerge w:val="restart"/>
          </w:tcPr>
          <w:p>
            <w:pPr>
              <w:ind w:left="1020"/>
              <w:spacing w:after="0"/>
              <w:rPr>
                <w:sz w:val="20"/>
                <w:szCs w:val="20"/>
                <w:color w:val="auto"/>
              </w:rPr>
            </w:pPr>
            <w:r>
              <w:rPr>
                <w:rFonts w:ascii="Arial" w:cs="Arial" w:eastAsia="Arial" w:hAnsi="Arial"/>
                <w:sz w:val="16"/>
                <w:szCs w:val="16"/>
                <w:b w:val="1"/>
                <w:bCs w:val="1"/>
                <w:color w:val="auto"/>
                <w:w w:val="95"/>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September 30, 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Revenue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Revenue</w:t>
            </w:r>
          </w:p>
        </w:tc>
        <w:tc>
          <w:tcPr>
            <w:tcW w:w="120" w:type="dxa"/>
            <w:vAlign w:val="bottom"/>
            <w:vMerge w:val="restart"/>
          </w:tcPr>
          <w:p>
            <w:pPr>
              <w:spacing w:after="0"/>
              <w:rPr>
                <w:sz w:val="13"/>
                <w:szCs w:val="13"/>
                <w:color w:val="auto"/>
              </w:rPr>
            </w:pP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2"/>
              </w:rPr>
              <w:t>Foreign Currency</w:t>
            </w:r>
          </w:p>
        </w:tc>
        <w:tc>
          <w:tcPr>
            <w:tcW w:w="200" w:type="dxa"/>
            <w:vAlign w:val="bottom"/>
          </w:tcPr>
          <w:p>
            <w:pPr>
              <w:spacing w:after="0"/>
              <w:rPr>
                <w:sz w:val="13"/>
                <w:szCs w:val="13"/>
                <w:color w:val="auto"/>
              </w:rPr>
            </w:pPr>
          </w:p>
        </w:tc>
        <w:tc>
          <w:tcPr>
            <w:tcW w:w="1180" w:type="dxa"/>
            <w:vAlign w:val="bottom"/>
          </w:tcPr>
          <w:p>
            <w:pPr>
              <w:jc w:val="right"/>
              <w:ind w:right="219"/>
              <w:spacing w:after="0" w:line="158" w:lineRule="exact"/>
              <w:rPr>
                <w:sz w:val="20"/>
                <w:szCs w:val="20"/>
                <w:color w:val="auto"/>
              </w:rPr>
            </w:pPr>
            <w:r>
              <w:rPr>
                <w:rFonts w:ascii="Arial" w:cs="Arial" w:eastAsia="Arial" w:hAnsi="Arial"/>
                <w:sz w:val="16"/>
                <w:szCs w:val="16"/>
                <w:b w:val="1"/>
                <w:bCs w:val="1"/>
                <w:color w:val="auto"/>
              </w:rPr>
              <w:t>Revenue in</w:t>
            </w:r>
          </w:p>
        </w:tc>
        <w:tc>
          <w:tcPr>
            <w:tcW w:w="120" w:type="dxa"/>
            <w:vAlign w:val="bottom"/>
          </w:tcPr>
          <w:p>
            <w:pPr>
              <w:spacing w:after="0"/>
              <w:rPr>
                <w:sz w:val="13"/>
                <w:szCs w:val="13"/>
                <w:color w:val="auto"/>
              </w:rPr>
            </w:pPr>
          </w:p>
        </w:tc>
        <w:tc>
          <w:tcPr>
            <w:tcW w:w="13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Actual</w:t>
            </w:r>
          </w:p>
        </w:tc>
        <w:tc>
          <w:tcPr>
            <w:tcW w:w="120" w:type="dxa"/>
            <w:vAlign w:val="bottom"/>
            <w:vMerge w:val="restart"/>
          </w:tcPr>
          <w:p>
            <w:pPr>
              <w:spacing w:after="0"/>
              <w:rPr>
                <w:sz w:val="13"/>
                <w:szCs w:val="13"/>
                <w:color w:val="auto"/>
              </w:rPr>
            </w:pPr>
          </w:p>
        </w:tc>
        <w:tc>
          <w:tcPr>
            <w:tcW w:w="340" w:type="dxa"/>
            <w:vAlign w:val="bottom"/>
            <w:vMerge w:val="restart"/>
          </w:tcPr>
          <w:p>
            <w:pPr>
              <w:spacing w:after="0"/>
              <w:rPr>
                <w:sz w:val="13"/>
                <w:szCs w:val="13"/>
                <w:color w:val="auto"/>
              </w:rPr>
            </w:pPr>
          </w:p>
        </w:tc>
        <w:tc>
          <w:tcPr>
            <w:tcW w:w="1020" w:type="dxa"/>
            <w:vAlign w:val="bottom"/>
          </w:tcPr>
          <w:p>
            <w:pPr>
              <w:jc w:val="right"/>
              <w:ind w:right="279"/>
              <w:spacing w:after="0" w:line="158" w:lineRule="exact"/>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9"/>
              <w:spacing w:after="0" w:line="216" w:lineRule="exact"/>
              <w:rPr>
                <w:sz w:val="20"/>
                <w:szCs w:val="20"/>
                <w:color w:val="auto"/>
              </w:rPr>
            </w:pPr>
            <w:r>
              <w:rPr>
                <w:rFonts w:ascii="Arial" w:cs="Arial" w:eastAsia="Arial" w:hAnsi="Arial"/>
                <w:sz w:val="16"/>
                <w:szCs w:val="16"/>
                <w:b w:val="1"/>
                <w:bCs w:val="1"/>
                <w:color w:val="auto"/>
                <w:w w:val="90"/>
              </w:rPr>
              <w:t xml:space="preserve">Translation </w:t>
            </w:r>
            <w:r>
              <w:rPr>
                <w:rFonts w:ascii="Arial" w:cs="Arial" w:eastAsia="Arial" w:hAnsi="Arial"/>
                <w:sz w:val="21"/>
                <w:szCs w:val="21"/>
                <w:b w:val="1"/>
                <w:bCs w:val="1"/>
                <w:color w:val="auto"/>
                <w:w w:val="90"/>
                <w:vertAlign w:val="superscript"/>
              </w:rPr>
              <w:t>(a)</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Constant Currency</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1"/>
              </w:rPr>
              <w:t>Currency</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Cloud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 Cloud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927.4</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8"/>
        </w:trPr>
        <w:tc>
          <w:tcPr>
            <w:tcW w:w="2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480" w:hanging="339"/>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9" w:lineRule="exact"/>
        <w:rPr>
          <w:rFonts w:ascii="Arial" w:cs="Arial" w:eastAsia="Arial" w:hAnsi="Arial"/>
          <w:sz w:val="16"/>
          <w:szCs w:val="16"/>
          <w:color w:val="auto"/>
        </w:rPr>
      </w:pPr>
    </w:p>
    <w:p>
      <w:pPr>
        <w:ind w:left="5540" w:hanging="111"/>
        <w:spacing w:after="0"/>
        <w:tabs>
          <w:tab w:leader="none" w:pos="5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w:t>
      </w:r>
    </w:p>
    <w:p>
      <w:pPr>
        <w:spacing w:after="0" w:line="25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present Non-GAAP Gross Profit in this MD&amp;A because we believe the measure is useful in analyzing trends in our underlying, recurring gross margins. We define Non-GAAP Gross Profit as gross profit, adjusted to exclude the impact of share-based compensation expense and other non-recurring or unusual compensation items, purchase accounting-related effects, certain business transformation-related costs, and costs related to the Hosted Exchange incident.</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a reconciliation of gross profit to Non-GAAP Gross Profit: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474.7</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1"/>
                <w:szCs w:val="21"/>
                <w:color w:val="auto"/>
                <w:vertAlign w:val="superscript"/>
              </w:rPr>
              <w:t>(a)</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66"/>
        </w:trPr>
        <w:tc>
          <w:tcPr>
            <w:tcW w:w="4580" w:type="dxa"/>
            <w:vAlign w:val="bottom"/>
          </w:tcPr>
          <w:p>
            <w:pPr>
              <w:ind w:left="20"/>
              <w:spacing w:after="0" w:line="166" w:lineRule="exact"/>
              <w:rPr>
                <w:sz w:val="20"/>
                <w:szCs w:val="20"/>
                <w:color w:val="auto"/>
              </w:rPr>
            </w:pPr>
            <w:r>
              <w:rPr>
                <w:rFonts w:ascii="Arial" w:cs="Arial" w:eastAsia="Arial" w:hAnsi="Arial"/>
                <w:sz w:val="16"/>
                <w:szCs w:val="16"/>
                <w:color w:val="auto"/>
                <w:w w:val="98"/>
              </w:rPr>
              <w:t>Hosted Exchange incident expenses, net of proceeds received or</w:t>
            </w:r>
          </w:p>
        </w:tc>
        <w:tc>
          <w:tcPr>
            <w:tcW w:w="24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expected to be received under our insurance coverage</w:t>
            </w:r>
          </w:p>
        </w:tc>
        <w:tc>
          <w:tcPr>
            <w:tcW w:w="2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Non-GAAP Gross Profit</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480" w:right="80" w:hanging="454"/>
        <w:spacing w:after="0" w:line="230"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11" w:lineRule="exact"/>
        <w:rPr>
          <w:rFonts w:ascii="Arial" w:cs="Arial" w:eastAsia="Arial" w:hAnsi="Arial"/>
          <w:sz w:val="16"/>
          <w:szCs w:val="16"/>
          <w:color w:val="auto"/>
        </w:rPr>
      </w:pPr>
    </w:p>
    <w:p>
      <w:pPr>
        <w:ind w:left="480" w:hanging="454"/>
        <w:spacing w:after="0"/>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spacing w:after="0" w:line="59" w:lineRule="exact"/>
        <w:rPr>
          <w:rFonts w:ascii="Arial" w:cs="Arial" w:eastAsia="Arial" w:hAnsi="Arial"/>
          <w:sz w:val="16"/>
          <w:szCs w:val="16"/>
          <w:color w:val="auto"/>
        </w:rPr>
      </w:pPr>
    </w:p>
    <w:p>
      <w:pPr>
        <w:jc w:val="both"/>
        <w:ind w:left="480" w:right="80" w:hanging="454"/>
        <w:spacing w:after="0" w:line="230"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certain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(Loss), Non-GAAP Operating Profit and Adjusted EBITDA</w:t>
      </w:r>
    </w:p>
    <w:p>
      <w:pPr>
        <w:spacing w:after="0" w:line="252"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14"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195"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We define Non-GAAP Net Income (Loss) as net income (loss)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costs related to the closure of a UK office, and certain other non-operating, non-recurring or non-core gains and losses, as well as the tax effects of these non-GAAP adjustments.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We define Non-GAAP Operating Profit as income (loss) from operations adjusted to exclude the impact of non-cash charges for share-based compensation, special bonuses and other compensation expense, transaction-related costs and adjustments, restructuring and transformation charges, costs related to the Hosted Exchange incident, the amortization of acquired intangible assets, goodwill and asset impairment charges, costs related to the closure of a UK office, and certain other non-operating, non-recurring or non-core gains and losses.</w:t>
      </w:r>
    </w:p>
    <w:p>
      <w:pPr>
        <w:spacing w:after="0" w:line="198"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We define Adjusted EBITDA as net income (loss) adjusted to exclude the impact of non-cash charges for share-based compensation, special bonuses and other compensation expense, transaction-related costs and adjustments, restructuring and transformation charges, costs related to the Hosted Exchange incident, costs related to the closure of a UK office, certain other non-operating, non-recurring or non-core gains and losses, interest expense, income taxes, depreciation and amortization, and goodwill and asset impairment charges.</w:t>
      </w:r>
    </w:p>
    <w:p>
      <w:pPr>
        <w:spacing w:after="0" w:line="214"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spacing w:after="0" w:line="19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spacing w:after="0" w:line="208" w:lineRule="exact"/>
        <w:rPr>
          <w:sz w:val="20"/>
          <w:szCs w:val="20"/>
          <w:color w:val="auto"/>
        </w:rPr>
      </w:pPr>
    </w:p>
    <w:p>
      <w:pPr>
        <w:ind w:right="280" w:firstLine="486"/>
        <w:spacing w:after="0" w:line="270" w:lineRule="auto"/>
        <w:rPr>
          <w:sz w:val="20"/>
          <w:szCs w:val="20"/>
          <w:color w:val="auto"/>
        </w:rPr>
      </w:pPr>
      <w:r>
        <w:rPr>
          <w:rFonts w:ascii="Arial" w:cs="Arial" w:eastAsia="Arial" w:hAnsi="Arial"/>
          <w:sz w:val="17"/>
          <w:szCs w:val="17"/>
          <w:color w:val="auto"/>
        </w:rPr>
        <w:t>The following tables present a reconciliation of Non-GAAP Net Income (Loss) and Adjusted EBITDA to the most directly comparable GAAP financial measures. For a reconciliation of income (loss) from operations to Non-GAAP Operating Profit, see "</w:t>
      </w:r>
      <w:r>
        <w:rPr>
          <w:rFonts w:ascii="Arial" w:cs="Arial" w:eastAsia="Arial" w:hAnsi="Arial"/>
          <w:sz w:val="17"/>
          <w:szCs w:val="17"/>
          <w:i w:val="1"/>
          <w:iCs w:val="1"/>
          <w:color w:val="auto"/>
        </w:rPr>
        <w:t>Income (Loss) from Operations, Segment</w:t>
      </w:r>
      <w:r>
        <w:rPr>
          <w:rFonts w:ascii="Arial" w:cs="Arial" w:eastAsia="Arial" w:hAnsi="Arial"/>
          <w:sz w:val="17"/>
          <w:szCs w:val="17"/>
          <w:color w:val="auto"/>
        </w:rPr>
        <w:t xml:space="preserve"> </w:t>
      </w:r>
      <w:r>
        <w:rPr>
          <w:rFonts w:ascii="Arial" w:cs="Arial" w:eastAsia="Arial" w:hAnsi="Arial"/>
          <w:sz w:val="17"/>
          <w:szCs w:val="17"/>
          <w:i w:val="1"/>
          <w:iCs w:val="1"/>
          <w:color w:val="auto"/>
        </w:rPr>
        <w:t>Operating Profit, and Non-GAAP Operating Profit</w:t>
      </w:r>
      <w:r>
        <w:rPr>
          <w:rFonts w:ascii="Arial" w:cs="Arial" w:eastAsia="Arial" w:hAnsi="Arial"/>
          <w:sz w:val="17"/>
          <w:szCs w:val="17"/>
          <w:color w:val="auto"/>
        </w:rPr>
        <w:t>" in the year-over-year comparison under "Results of Operations"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reconciliation to Non-GAAP Net Income (Loss)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(865.8)</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166"/>
        </w:trPr>
        <w:tc>
          <w:tcPr>
            <w:tcW w:w="4580" w:type="dxa"/>
            <w:vAlign w:val="bottom"/>
          </w:tcPr>
          <w:p>
            <w:pPr>
              <w:ind w:left="20"/>
              <w:spacing w:after="0" w:line="166" w:lineRule="exact"/>
              <w:rPr>
                <w:sz w:val="20"/>
                <w:szCs w:val="20"/>
                <w:color w:val="auto"/>
              </w:rPr>
            </w:pPr>
            <w:r>
              <w:rPr>
                <w:rFonts w:ascii="Arial" w:cs="Arial" w:eastAsia="Arial" w:hAnsi="Arial"/>
                <w:sz w:val="16"/>
                <w:szCs w:val="16"/>
                <w:color w:val="auto"/>
                <w:w w:val="98"/>
              </w:rPr>
              <w:t>Hosted Exchange incident expenses, net of proceeds received or</w:t>
            </w:r>
          </w:p>
        </w:tc>
        <w:tc>
          <w:tcPr>
            <w:tcW w:w="24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expected to be received under our insurance coverage</w:t>
            </w:r>
          </w:p>
        </w:tc>
        <w:tc>
          <w:tcPr>
            <w:tcW w:w="2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UK office closure </w:t>
            </w:r>
            <w:r>
              <w:rPr>
                <w:rFonts w:ascii="Arial" w:cs="Arial" w:eastAsia="Arial" w:hAnsi="Arial"/>
                <w:sz w:val="21"/>
                <w:szCs w:val="21"/>
                <w:color w:val="auto"/>
                <w:vertAlign w:val="superscript"/>
              </w:rPr>
              <w:t>(d)</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assets, net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1"/>
                <w:szCs w:val="21"/>
                <w:color w:val="auto"/>
                <w:vertAlign w:val="superscript"/>
              </w:rPr>
              <w:t>(e)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Gain on debt extinguishment </w:t>
            </w:r>
            <w:r>
              <w:rPr>
                <w:rFonts w:ascii="Arial" w:cs="Arial" w:eastAsia="Arial" w:hAnsi="Arial"/>
                <w:sz w:val="21"/>
                <w:szCs w:val="21"/>
                <w:color w:val="auto"/>
                <w:vertAlign w:val="superscript"/>
              </w:rPr>
              <w:t>(f)</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expense, net </w:t>
            </w:r>
            <w:r>
              <w:rPr>
                <w:rFonts w:ascii="Arial" w:cs="Arial" w:eastAsia="Arial" w:hAnsi="Arial"/>
                <w:sz w:val="21"/>
                <w:szCs w:val="21"/>
                <w:color w:val="auto"/>
                <w:vertAlign w:val="superscript"/>
              </w:rPr>
              <w:t>(g)</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(h)</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1"/>
                <w:szCs w:val="21"/>
                <w:color w:val="auto"/>
                <w:vertAlign w:val="superscript"/>
              </w:rPr>
              <w:t>(i)</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Non-GAAP 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reconciliation to Adjusted EBITDA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(865.8)</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1"/>
                <w:szCs w:val="21"/>
                <w:color w:val="auto"/>
                <w:vertAlign w:val="superscript"/>
              </w:rPr>
              <w:t>(a)</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1"/>
                <w:szCs w:val="21"/>
                <w:color w:val="auto"/>
                <w:vertAlign w:val="superscript"/>
              </w:rPr>
              <w:t>(c)</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166"/>
        </w:trPr>
        <w:tc>
          <w:tcPr>
            <w:tcW w:w="4580" w:type="dxa"/>
            <w:vAlign w:val="bottom"/>
          </w:tcPr>
          <w:p>
            <w:pPr>
              <w:ind w:left="20"/>
              <w:spacing w:after="0" w:line="166" w:lineRule="exact"/>
              <w:rPr>
                <w:sz w:val="20"/>
                <w:szCs w:val="20"/>
                <w:color w:val="auto"/>
              </w:rPr>
            </w:pPr>
            <w:r>
              <w:rPr>
                <w:rFonts w:ascii="Arial" w:cs="Arial" w:eastAsia="Arial" w:hAnsi="Arial"/>
                <w:sz w:val="16"/>
                <w:szCs w:val="16"/>
                <w:color w:val="auto"/>
                <w:w w:val="98"/>
              </w:rPr>
              <w:t>Hosted Exchange incident expenses, net of proceeds received or</w:t>
            </w:r>
          </w:p>
        </w:tc>
        <w:tc>
          <w:tcPr>
            <w:tcW w:w="240" w:type="dxa"/>
            <w:vAlign w:val="bottom"/>
          </w:tcPr>
          <w:p>
            <w:pPr>
              <w:spacing w:after="0"/>
              <w:rPr>
                <w:sz w:val="14"/>
                <w:szCs w:val="14"/>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expected to be received under our insurance coverage</w:t>
            </w:r>
          </w:p>
        </w:tc>
        <w:tc>
          <w:tcPr>
            <w:tcW w:w="2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UK office closure </w:t>
            </w:r>
            <w:r>
              <w:rPr>
                <w:rFonts w:ascii="Arial" w:cs="Arial" w:eastAsia="Arial" w:hAnsi="Arial"/>
                <w:sz w:val="21"/>
                <w:szCs w:val="21"/>
                <w:color w:val="auto"/>
                <w:vertAlign w:val="superscript"/>
              </w:rPr>
              <w:t>(d)</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assets, net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1"/>
                <w:szCs w:val="21"/>
                <w:color w:val="auto"/>
                <w:vertAlign w:val="superscript"/>
              </w:rPr>
              <w:t>(e)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Gain on debt extinguishment </w:t>
            </w:r>
            <w:r>
              <w:rPr>
                <w:rFonts w:ascii="Arial" w:cs="Arial" w:eastAsia="Arial" w:hAnsi="Arial"/>
                <w:sz w:val="21"/>
                <w:szCs w:val="21"/>
                <w:color w:val="auto"/>
                <w:vertAlign w:val="superscript"/>
              </w:rPr>
              <w:t>(f)</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expense, net </w:t>
            </w:r>
            <w:r>
              <w:rPr>
                <w:rFonts w:ascii="Arial" w:cs="Arial" w:eastAsia="Arial" w:hAnsi="Arial"/>
                <w:sz w:val="21"/>
                <w:szCs w:val="21"/>
                <w:color w:val="auto"/>
                <w:vertAlign w:val="superscript"/>
              </w:rPr>
              <w:t>(g)</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Benefit for income taxes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(j)</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0" w:type="dxa"/>
            <w:vAlign w:val="bottom"/>
          </w:tcPr>
          <w:p>
            <w:pPr>
              <w:spacing w:after="0"/>
              <w:rPr>
                <w:sz w:val="1"/>
                <w:szCs w:val="1"/>
                <w:color w:val="auto"/>
              </w:rPr>
            </w:pPr>
          </w:p>
        </w:tc>
      </w:tr>
      <w:tr>
        <w:trPr>
          <w:trHeight w:val="210"/>
        </w:trPr>
        <w:tc>
          <w:tcPr>
            <w:tcW w:w="4580" w:type="dxa"/>
            <w:vAlign w:val="bottom"/>
          </w:tcPr>
          <w:p>
            <w:pPr>
              <w:ind w:left="24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80" w:right="80" w:hanging="339"/>
        <w:spacing w:after="0" w:line="281" w:lineRule="auto"/>
        <w:tabs>
          <w:tab w:leader="none" w:pos="4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 Beginning in the second quarter of 2023, includes expense related to the one-time grant of long-term incentive bonuses as a component of our annual compensation award process.</w:t>
      </w:r>
    </w:p>
    <w:p>
      <w:pPr>
        <w:spacing w:after="0" w:line="1" w:lineRule="exact"/>
        <w:rPr>
          <w:rFonts w:ascii="Arial" w:cs="Arial" w:eastAsia="Arial" w:hAnsi="Arial"/>
          <w:sz w:val="15"/>
          <w:szCs w:val="15"/>
          <w:color w:val="auto"/>
        </w:rPr>
      </w:pPr>
    </w:p>
    <w:p>
      <w:pPr>
        <w:ind w:left="480" w:right="100" w:hanging="344"/>
        <w:spacing w:after="0" w:line="261"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legal, professional, accounting and other advisory fees related to acquisitions, certain one-time compliance costs related to being a public company, integration costs of acquired businesses, purchase accounting adjustments, payroll costs for employees that dedicate significant time to supporting these projects and exploratory acquisition and divestiture costs and expenses related to financing activities.</w:t>
      </w:r>
    </w:p>
    <w:p>
      <w:pPr>
        <w:spacing w:after="0" w:line="7" w:lineRule="exact"/>
        <w:rPr>
          <w:rFonts w:ascii="Arial" w:cs="Arial" w:eastAsia="Arial" w:hAnsi="Arial"/>
          <w:sz w:val="16"/>
          <w:szCs w:val="16"/>
          <w:color w:val="auto"/>
        </w:rPr>
      </w:pPr>
    </w:p>
    <w:p>
      <w:pPr>
        <w:ind w:left="480" w:right="160" w:hanging="339"/>
        <w:spacing w:after="0" w:line="256"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certain facility closure costs, and lease termination expenses. This amount also includes total charges of $1.0 million and $5.2 million for the three and nine months ended September 30, 2022, respectively, related to the July 2021 Restructuring Plan which are not accounted for as exit and disposal costs under ASC 420, including one-time offshore build out costs.</w:t>
      </w:r>
    </w:p>
    <w:p>
      <w:pPr>
        <w:spacing w:after="0" w:line="11" w:lineRule="exact"/>
        <w:rPr>
          <w:rFonts w:ascii="Arial" w:cs="Arial" w:eastAsia="Arial" w:hAnsi="Arial"/>
          <w:sz w:val="16"/>
          <w:szCs w:val="16"/>
          <w:color w:val="auto"/>
        </w:rPr>
      </w:pPr>
    </w:p>
    <w:p>
      <w:pPr>
        <w:ind w:left="480" w:hanging="344"/>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Expense recognized related to the closure of a UK office that we exited in the second quarter of 2023 prior to the lease end date.</w:t>
      </w:r>
    </w:p>
    <w:p>
      <w:pPr>
        <w:spacing w:after="0" w:line="59" w:lineRule="exact"/>
        <w:rPr>
          <w:rFonts w:ascii="Arial" w:cs="Arial" w:eastAsia="Arial" w:hAnsi="Arial"/>
          <w:sz w:val="16"/>
          <w:szCs w:val="16"/>
          <w:color w:val="auto"/>
        </w:rPr>
      </w:pPr>
    </w:p>
    <w:p>
      <w:pPr>
        <w:ind w:left="480" w:hanging="339"/>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gains and losses on investment and from dispositions.</w:t>
      </w:r>
    </w:p>
    <w:p>
      <w:pPr>
        <w:spacing w:after="0" w:line="59" w:lineRule="exact"/>
        <w:rPr>
          <w:rFonts w:ascii="Arial" w:cs="Arial" w:eastAsia="Arial" w:hAnsi="Arial"/>
          <w:sz w:val="16"/>
          <w:szCs w:val="16"/>
          <w:color w:val="auto"/>
        </w:rPr>
      </w:pPr>
    </w:p>
    <w:p>
      <w:pPr>
        <w:ind w:left="480" w:hanging="330"/>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gains related to repurchases of 5.375% Senior Notes.</w:t>
      </w:r>
    </w:p>
    <w:p>
      <w:pPr>
        <w:spacing w:after="0" w:line="59" w:lineRule="exact"/>
        <w:rPr>
          <w:rFonts w:ascii="Arial" w:cs="Arial" w:eastAsia="Arial" w:hAnsi="Arial"/>
          <w:sz w:val="16"/>
          <w:szCs w:val="16"/>
          <w:color w:val="auto"/>
        </w:rPr>
      </w:pPr>
    </w:p>
    <w:p>
      <w:pPr>
        <w:ind w:left="480" w:hanging="344"/>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Primarily consists of foreign currency gains and losses.</w:t>
      </w:r>
    </w:p>
    <w:p>
      <w:pPr>
        <w:spacing w:after="0" w:line="59" w:lineRule="exact"/>
        <w:rPr>
          <w:rFonts w:ascii="Arial" w:cs="Arial" w:eastAsia="Arial" w:hAnsi="Arial"/>
          <w:sz w:val="16"/>
          <w:szCs w:val="16"/>
          <w:color w:val="auto"/>
        </w:rPr>
      </w:pPr>
    </w:p>
    <w:p>
      <w:pPr>
        <w:ind w:left="480" w:hanging="344"/>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59" w:lineRule="exact"/>
        <w:rPr>
          <w:sz w:val="20"/>
          <w:szCs w:val="20"/>
          <w:color w:val="auto"/>
        </w:rPr>
      </w:pPr>
    </w:p>
    <w:p>
      <w:pPr>
        <w:ind w:left="480" w:right="60" w:hanging="326"/>
        <w:spacing w:after="0" w:line="267" w:lineRule="auto"/>
        <w:tabs>
          <w:tab w:leader="none" w:pos="4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2022 and 2023 interim periods, we based it on an average of the 2021 and estimated 2022 tax rates and 2022 and estimated 2023 tax rates, respectively, recomputed to remove the tax effect of non-GAAP pre-tax adjustments and non-recurring tax adjustments, resulting in a structural non-GAAP tax rate of 26% 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3" w:lineRule="exact"/>
        <w:rPr>
          <w:rFonts w:ascii="Arial" w:cs="Arial" w:eastAsia="Arial" w:hAnsi="Arial"/>
          <w:sz w:val="15"/>
          <w:szCs w:val="15"/>
          <w:color w:val="auto"/>
        </w:rPr>
      </w:pPr>
    </w:p>
    <w:p>
      <w:pPr>
        <w:ind w:left="480" w:hanging="326"/>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accelerated depreciation expense related to facility closures.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5540" w:hanging="111"/>
        <w:spacing w:after="0"/>
        <w:tabs>
          <w:tab w:leader="none" w:pos="5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Earnings (Loss) Per Share</w:t>
      </w:r>
    </w:p>
    <w:p>
      <w:pPr>
        <w:spacing w:after="0" w:line="25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but dilutive to Non-GAAP Earnings (Loss) Per Share. Management uses Non-GAAP Earnings (Loss) Per Share to evaluate the performance of our business on a comparable basis from period to period, including by adjusting for the impact of the issuance of shares that would be dilutive to Non-GAAP Earnings (Loss) Per Share. The following table reconciles Non-GAAP Earnings (Loss) Per Share to our GAAP net loss per share on a diluted basis: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282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12"/>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(865.8)</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Non-GAAP 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9"/>
        </w:trPr>
        <w:tc>
          <w:tcPr>
            <w:tcW w:w="4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Weighted average number of shares - Diluted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214.8</w:t>
            </w:r>
          </w:p>
        </w:tc>
      </w:tr>
      <w:tr>
        <w:trPr>
          <w:trHeight w:val="219"/>
        </w:trPr>
        <w:tc>
          <w:tcPr>
            <w:tcW w:w="48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4860" w:type="dxa"/>
            <w:vAlign w:val="bottom"/>
          </w:tcPr>
          <w:p>
            <w:pPr>
              <w:ind w:left="240"/>
              <w:spacing w:after="0"/>
              <w:rPr>
                <w:sz w:val="20"/>
                <w:szCs w:val="20"/>
                <w:color w:val="auto"/>
              </w:rPr>
            </w:pPr>
            <w:r>
              <w:rPr>
                <w:rFonts w:ascii="Arial" w:cs="Arial" w:eastAsia="Arial" w:hAnsi="Arial"/>
                <w:sz w:val="16"/>
                <w:szCs w:val="16"/>
                <w:color w:val="auto"/>
              </w:rPr>
              <w:t>Non-GAAP weighted average number of shares - Diluted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Net loss per share - 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19"/>
        </w:trPr>
        <w:tc>
          <w:tcPr>
            <w:tcW w:w="48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Per share impacts of adjustments to net loss </w:t>
            </w:r>
            <w:r>
              <w:rPr>
                <w:rFonts w:ascii="Arial" w:cs="Arial" w:eastAsia="Arial" w:hAnsi="Arial"/>
                <w:sz w:val="21"/>
                <w:szCs w:val="21"/>
                <w:color w:val="auto"/>
                <w:vertAlign w:val="superscript"/>
              </w:rPr>
              <w:t>(b)</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16"/>
        </w:trPr>
        <w:tc>
          <w:tcPr>
            <w:tcW w:w="48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Per share impacts of shares dilutive after adjustments to net loss </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r>
      <w:tr>
        <w:trPr>
          <w:trHeight w:val="234"/>
        </w:trPr>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Non-GAAP Earnings (Loss) Per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right="60" w:hanging="339"/>
        <w:spacing w:after="0" w:line="251"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impact of awards that would have been anti-dilutive to net loss per share, and therefore not included in the calculation, but would be dilutive to Non-GAAP Earnings (Loss) Per Share and are therefore included in the share count for purposes of this non-GAAP measure. 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Apollo achieving pre-established performance targets based on a multiple of their invested capital ("MOI</w:t>
      </w:r>
      <w:r>
        <w:rPr>
          <w:rFonts w:ascii="Arial" w:cs="Arial" w:eastAsia="Arial" w:hAnsi="Arial"/>
          <w:sz w:val="17"/>
          <w:szCs w:val="17"/>
          <w:color w:val="auto"/>
        </w:rPr>
        <w:t>C")</w:t>
      </w:r>
      <w:r>
        <w:rPr>
          <w:rFonts w:ascii="Arial" w:cs="Arial" w:eastAsia="Arial" w:hAnsi="Arial"/>
          <w:sz w:val="16"/>
          <w:szCs w:val="16"/>
          <w:color w:val="auto"/>
        </w:rPr>
        <w:t>, which are included in the denominator for the entire period if such shares would be issuable as of the end of the reporting period assuming the end of the reporting period was the end of the contingency period.</w:t>
      </w:r>
    </w:p>
    <w:p>
      <w:pPr>
        <w:spacing w:after="0" w:line="31" w:lineRule="exact"/>
        <w:rPr>
          <w:rFonts w:ascii="Arial" w:cs="Arial" w:eastAsia="Arial" w:hAnsi="Arial"/>
          <w:sz w:val="16"/>
          <w:szCs w:val="16"/>
          <w:color w:val="auto"/>
        </w:rPr>
      </w:pPr>
    </w:p>
    <w:p>
      <w:pPr>
        <w:ind w:left="480" w:right="520" w:hanging="344"/>
        <w:spacing w:after="0" w:line="275"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the aggregate adjustments made to reconcile Non-GAAP Net Income (Loss) to our net loss, as noted in the above table, divided by the GAAP diluted number of shares outstanding for the relevant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3" w:lineRule="exact"/>
        <w:rPr>
          <w:rFonts w:ascii="Arial" w:cs="Arial" w:eastAsia="Arial" w:hAnsi="Arial"/>
          <w:sz w:val="16"/>
          <w:szCs w:val="16"/>
          <w:color w:val="auto"/>
        </w:rPr>
      </w:pPr>
    </w:p>
    <w:p>
      <w:pPr>
        <w:ind w:left="5540" w:hanging="111"/>
        <w:spacing w:after="0"/>
        <w:tabs>
          <w:tab w:leader="none" w:pos="5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We primarily finance our operations and capital expenditures with internally-generated cash from operations and hardware leases, and if necessary, borrowings under the Revolving Credit Facility. As of September 30, 2023, the Revolving Credit Facility provided for up to $375 million of borrowings, none of which was drawn and outstanding as of September 30, 2023.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the 5.375% Senior Notes and the 3.50% Senior Secured Notes,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199"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governing the 5.375% Senior Notes (the "5.375% Notes Indenture") or the indenture governing the 3.50% Senior Secured Notes (the "3.50% Notes Indenture" and, together with the 5.375% Notes Indenture, the "Indentures"), if applicable), for cash or other consideration.</w:t>
      </w:r>
    </w:p>
    <w:p>
      <w:pPr>
        <w:spacing w:after="0" w:line="188"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On September 29, 2023, indirect subsidiaries of the company entered into a revolving agreement where a bankruptcy-remote special purpose vehicle can sell accounts receivable, based upon the face amount of eligible receivables in the collateral pool, up to an aggregate maximum limit of $300 million to a financial institution on a recurring basis in exchange for cash. As of September 30, 2023, we sold $209 million face value of receivables and collected cash proceeds of $209 million. We used $50 million of the proceeds to fully repay the outstanding borrowings under the Revolving Credit Facility.</w:t>
      </w:r>
    </w:p>
    <w:p>
      <w:pPr>
        <w:spacing w:after="0" w:line="184"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On March 3, 2022, our board of directors authorized a program to repurchase up to $75 million of shares of our common stock from time to time through open-market transactions, privately negotiated transactions, accelerated share repurchases and other transactions in accordance with applicable security laws. During the nine months ended September 30, 2022, we repurchased $31 million, or 3.1 million shares, of our common stock on the open market under this program. No shares were repurchased during the nine months ended September 30, 2023 and the program authorization expired on September 30, 2023.</w:t>
      </w:r>
    </w:p>
    <w:p>
      <w:pPr>
        <w:spacing w:after="0" w:line="21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At September 30, 2023, we held $278 million in cash and cash equivalents (not including $3 million in restricted cash, which is included in "Other non-current assets"), of which $76 million was held by foreign entities.</w:t>
      </w:r>
    </w:p>
    <w:p>
      <w:pPr>
        <w:spacing w:after="0" w:line="197"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We have entered into installment payment arrangements with certain equipment and software vendors, along with sale-leaseback arrangements for equipment and certain property leases that are considered financing obligations. We had $58 million outstanding with respect to these arrangements as of September 30, 2023. We may choose to utilize these various sources of funding in future periods.</w:t>
      </w:r>
    </w:p>
    <w:p>
      <w:pPr>
        <w:spacing w:after="0" w:line="211"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We also lease certain equipment and real estate under operating and finance lease agreements. We had $524 million outstanding with respect to operating and finance lease agreements as of September 30, 2023. We may choose to utilize such leasing arrangements in future periods.</w:t>
      </w:r>
    </w:p>
    <w:p>
      <w:pPr>
        <w:spacing w:after="0" w:line="15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As of September 30, 2023, we had $3,093 million aggregate principal amount outstanding under our Term Loan Facility, 5.375% Senior Notes, and 3.50% Senior Secured Notes, with $375 million of borrowing capacity available under the Revolving Credit Facility. Our liquidity requirements are significant, primarily due to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Facilitie</w:t>
      </w:r>
      <w:r>
        <w:rPr>
          <w:rFonts w:ascii="Arial" w:cs="Arial" w:eastAsia="Arial" w:hAnsi="Arial"/>
          <w:sz w:val="18"/>
          <w:szCs w:val="18"/>
          <w:b w:val="1"/>
          <w:bCs w:val="1"/>
          <w:i w:val="1"/>
          <w:iCs w:val="1"/>
          <w:color w:val="auto"/>
        </w:rPr>
        <w:t>s</w:t>
      </w:r>
    </w:p>
    <w:p>
      <w:pPr>
        <w:spacing w:after="0" w:line="25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On February 9, 2021, we amended and restated the credit agreement governing our senior secured credit facilities (the "First Lien Credit Agreement"), which included a new seven-year $2,300 million senior secured first lien term loan facility (the "Term Loan Facility") and the Revolving Credit Facility (together, the "Senior Facilities"). We used the borrowings under the Term Loan Facility, together with the proceeds from the issuance of the 3.50% Senior Secured Notes described below (together, the "February 2021 Refinancing Transaction"), to repay all borrowings under the prior term loan facility (the "Prior Term Loan Facility"), to pay related fees and expenses and for general corporate purposes. The Term Loan Facility will mature on February 15, 2028 and the Revolving Credit Facility will mature on August 7, 2025. We may request one or more incremental term loan facilities, one or more incremental revolving credit facilities and/or increase the commitments under the Revolving Credit Facility in an amount equal to the greater of $860 million and 1.0x Pro Forma Adjusted EBITDA (as defined in the amended First Lien Credit Agreement), plus additional amounts, subject to compliance with applicable leverage ratios and certain terms and conditions.</w:t>
      </w:r>
    </w:p>
    <w:p>
      <w:pPr>
        <w:spacing w:after="0" w:line="208"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Interest on the Term Loan Facility is due at the end of each interest period elected, not exceeding 90 days, for SOFR loans and at the end of every calendar quarter for base rate loans. As of September 30, 2023, the interest rate on the Term Loan Facility was 8.19%. We are required to make quarterly amortization payments of $5.8 million, which began on June 30, 2021. The Revolving Credit Facility includes a commitment fee equal to 0.50% per annum in respect of the unused commitments that is due quarterly. This fee is subject to one step-down based on the net first lien leverage ratio. The Senior Facilities require us to make certain mandatory prepayments under certain conditions defined in the credit agreement.</w:t>
      </w:r>
    </w:p>
    <w:p>
      <w:pPr>
        <w:spacing w:after="0" w:line="20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15"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color w:val="auto"/>
        </w:rPr>
        <w:t>As of September 30, 2023, $2,243 million aggregate principal amount of the Term Loan Facility remained outstanding and no borrowings were outstanding under the Revolving Credit Facility. See Item 1 of Part I, Financial Statements - Note 7, "Debt," for more information regarding our Senior Facilities.</w:t>
      </w:r>
    </w:p>
    <w:p>
      <w:pPr>
        <w:spacing w:after="0" w:line="211"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 have entered into interest rate swap agreements to manage the interest rate risk associated with interest payments on the Term Loan Facility that result from fluctuations in Term SOFR. See Item 1 of Part I, Financial Statements - Note 12, "Derivatives," for more information on the interest rate swap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3.50% Senior Secured Notes due 2028</w:t>
      </w:r>
    </w:p>
    <w:p>
      <w:pPr>
        <w:spacing w:after="0" w:line="252"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commencing on August 15, 2021. We may redeem some or all of the 3.50% Senior Secured Notes at our option prior to February 15, 2024 subject to certain limitations and conditions outlined in the 3.50% Notes Indenture.</w:t>
      </w:r>
    </w:p>
    <w:p>
      <w:pPr>
        <w:spacing w:after="0" w:line="198"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The 3.50% Senior Secured Notes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$550 million aggregate principal amount of the 3.50% Senior Secured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 due 2028</w:t>
      </w:r>
    </w:p>
    <w:p>
      <w:pPr>
        <w:spacing w:after="0" w:line="25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The 5.375% Senior Notes are guaranteed on a senior unsecured basis by all of Rackspace Technology Global's wholly-owned domestic restricted subsidiaries that guarantee the Senior Facilities.</w:t>
      </w:r>
    </w:p>
    <w:p>
      <w:pPr>
        <w:spacing w:after="0" w:line="214"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During the nine months ended September 30, 2023, we repurchased and surrendered for cancellation $250 million aggregate principal amount of 5.375% Senior Notes for $87 million, including accrued interest of $2 million and excluding related fees and expenses.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$300 million aggregate principal amount of the 5.375% Senior Notes remained outstanding.</w:t>
      </w:r>
    </w:p>
    <w:p>
      <w:pPr>
        <w:spacing w:after="0" w:line="252"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Subsequent to September 30, 2023 and through November 9, 2023, Rackspace Technology Global repurchased and surrendered for cancellation an additional $24 million aggregate principal amount of 5.375% Senior Notes for $9 million, including accrued interest of $0.4 million and excluding related fees and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Our Term Loan Facility is not subject to a financial maintenance covenant. The Revolving Credit Facility includes a financial maintenance covenant that limits the borrower's net first lien leverage ratio to a maximum of 5.00 to 1.00.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19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5.375% Senior Notes and 3.50% Senior Secured Notes, respectively, at a price in cash equal to 101.000% of the aggregate principal amount, plus accrued and unpaid interest, if any, to, but not including the purchase date.</w:t>
      </w:r>
    </w:p>
    <w:p>
      <w:pPr>
        <w:spacing w:after="0" w:line="21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we were in compliance with all covenants under the Senior Facilities and the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capital expenditures for the periods indicated:</w:t>
      </w:r>
    </w:p>
    <w:p>
      <w:pPr>
        <w:spacing w:after="0" w:line="145"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12"/>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gear</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w:t>
            </w:r>
          </w:p>
        </w:tc>
      </w:tr>
      <w:tr>
        <w:trPr>
          <w:trHeight w:val="213"/>
        </w:trPr>
        <w:tc>
          <w:tcPr>
            <w:tcW w:w="7520" w:type="dxa"/>
            <w:vAlign w:val="bottom"/>
          </w:tcPr>
          <w:p>
            <w:pPr>
              <w:ind w:left="140"/>
              <w:spacing w:after="0"/>
              <w:rPr>
                <w:sz w:val="20"/>
                <w:szCs w:val="20"/>
                <w:color w:val="auto"/>
              </w:rPr>
            </w:pPr>
            <w:r>
              <w:rPr>
                <w:rFonts w:ascii="Arial" w:cs="Arial" w:eastAsia="Arial" w:hAnsi="Arial"/>
                <w:sz w:val="16"/>
                <w:szCs w:val="16"/>
                <w:color w:val="auto"/>
              </w:rPr>
              <w:t>Data center build outs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Office build outs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Capitalized software and other projects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r>
      <w:tr>
        <w:trPr>
          <w:trHeight w:val="238"/>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Capital expenditures were $144 million in the nine months ended September 30, 2023, compared to $99 million in the nine months ended September 30, 2022, an increase of $45 million. The increase in capital expenditures was driven by purchases of customer gear originally intended to support a specific new customer. This new customer did not materialize as expected; however, the gear is fungible and will be redeployed to support other business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certain cash flow information for the periods indicated:</w:t>
      </w:r>
    </w:p>
    <w:p>
      <w:pPr>
        <w:spacing w:after="0" w:line="145"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12"/>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(62.3)</w:t>
            </w: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52"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192"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Net cash provided by operating activities was $303 million in the nine months ended September 30, 2023 compared to $219 million in the nine months ended September 30, 2022. The increase in operating cash was primarily driven by $209 million of cash proceeds received during the nine months ended September 30, 2023 related to the sale of a portion of our receivables. Partially offsetting this increase in cash was a $92 million increase in operating expense payments, largely for third-party infrastructure costs, and a $41 million increase in interest payments on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spacing w:after="0" w:line="211"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Net cash used in investing activities decreased $21 million, or 25%, in the nine months ended September 30, 2023 compared to the nine months ended September 30, 2022. The decrease was driven by an $8 million cash payment in connection with the acquisition of Just Analytics Pte. Ltd. and a $15 million payment for the purchase of a convertible promissory note that matures in 2027 during the nine months ended September 30,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252"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Net cash used in financing activities increased $43 million, or 29%, in the nine months ended September 30, 2023 compared to the nine months ended September 30, 2022. The change was driven by an $85 million increase in net payments related to long-term debt between periods as the current period includes $85 million of 5.375% Senior Note repurchases, while the prior period only includes quarterly principal payments on our Term Loan Facility. In addition, there was an $11 million increase in finance lease principal payments between periods. Partially offsetting these drivers was $31 million in common stock share repurchases during the nine months ended September 30, 2022 as part of the program authorized in March 2022 and a $23 million reduction in principal payments of financing obligations.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critical accounting policies and estimates have not changed from those described in our Annual Report under "Management's Discussion and Analysis of Financial Condition and Results of Operations - Critical Accounting Policies and Estimates." For a description of recent accounting pronouncements, see Item 1 of Part I, Financial Statements - Note 1, "Company Overview, Basis of Presentation, and Summary of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52"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w:t>
      </w:r>
    </w:p>
    <w:p>
      <w:pPr>
        <w:spacing w:after="0" w:line="15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the results of our most recent annual or interim impairment testing, (ii) downward revisions to internal forecasts, and the magnitude thereof, if any, (iii) declines in our market capitalization below our book value, and the magnitude and duration of those declines, if any,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12"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Subsequent to the January 1, 2023 business reorganization, we have two reporting units with goodwill: Public Cloud and Private Cloud. Goodwill allocated to our third reporting unit, OpenStack Public Cloud, was fully impaired during the fourth quarter of 2021.</w:t>
      </w:r>
    </w:p>
    <w:p>
      <w:pPr>
        <w:spacing w:after="0" w:line="191"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color w:val="auto"/>
        </w:rPr>
        <w:t>We estimate the fair values of our reporting units and the Rackspace trade name using the discounted cash flow method and relief-from-royalty method, respectively. These calculations require the use of significant estimates and assumptions, such as: (i) the royalty rate; (ii) the estimation of future revenue and projected margins, which are dependent on internal cash flow forecasts; (iii) estimation of the terminal growth rates and capital spending; and</w:t>
      </w:r>
    </w:p>
    <w:p>
      <w:pPr>
        <w:spacing w:after="0" w:line="2" w:lineRule="exact"/>
        <w:rPr>
          <w:sz w:val="20"/>
          <w:szCs w:val="20"/>
          <w:color w:val="auto"/>
        </w:rPr>
      </w:pPr>
    </w:p>
    <w:p>
      <w:pPr>
        <w:ind w:right="200" w:firstLine="8"/>
        <w:spacing w:after="0" w:line="292" w:lineRule="auto"/>
        <w:tabs>
          <w:tab w:leader="none" w:pos="3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determination of discount rates. The discount rates used are based on our weighted average cost of capital and are adjusted for risks and uncertainties inherent in our business and in our estimation of future cash flows. As part of the goodwill impairment test, we also consider our market capitalization in assessing the reasonableness of the combined fair values estimated for our reporting units, including OpenStack Public Cloud.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3" w:lineRule="exact"/>
        <w:rPr>
          <w:rFonts w:ascii="Arial" w:cs="Arial" w:eastAsia="Arial" w:hAnsi="Arial"/>
          <w:sz w:val="16"/>
          <w:szCs w:val="16"/>
          <w:color w:val="auto"/>
        </w:rPr>
      </w:pPr>
    </w:p>
    <w:p>
      <w:pPr>
        <w:ind w:left="5540" w:hanging="111"/>
        <w:spacing w:after="0"/>
        <w:tabs>
          <w:tab w:leader="none" w:pos="5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For the quantitative goodwill impairment analysis, we utilize the income approach to determine the fair value of our reporting units. The income approach utilizes a discounted cash flow method which is based on the present value of projected cash flows. The discounted cash flow models reflect our assumptions regarding revenue growth rates, projected gross profit margins, risk-adjusted discount rate, terminal period growth rate, economic and market trends and other expectations about the anticipated operating results of our reporting units. The terminal period growth rate is selected based on economic conditions and consideration of growth rates used in the forecast period and historical performance of the reporting unit.</w:t>
      </w:r>
    </w:p>
    <w:p>
      <w:pPr>
        <w:spacing w:after="0" w:line="18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December 31, 2022 prior to the change indicated an impairment within our former Apps &amp; Cross Platform reporting unit, and we recorded a non-cash impairment charge of $129 million in the fourth quarter of 2022 as described in our Annual Report. We reassigned goodwill to the updated reporting units using a relative fair value approach.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22"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For the quantitative goodwill impairment analysis performed as of January 1, 2023, we utilized a range of our weighted-average cost of capital of 10.5% to 12% as our discount rate, which was risk-adjusted for each reporting unit. After determining the fair value of our reporting units, we reconciled the combined fair value of the reporting units to the company's market capitalization as of January 1, 2023. As a result, we determined that the carrying amount of our Private Cloud reporting unit exceeded its fair value and recorded a goodwill impairment charge of $271 million, which is included in "Impairment of goodwill" in our Condensed Consolidated Statements of Comprehensive Loss for the nine months ended September 30, 2023. The impairment primarily resulted from reduced growth rates as compared to the former Multicloud Services reporting unit and the reallocation of certain costs between the three reporting units to reflect the going-forward operating model following the business reorganization. The Public Cloud reporting unit was determined to have a fair value that exceeded its carrying value by approximately 20% and therefore no impairment was recognized.</w:t>
      </w:r>
    </w:p>
    <w:p>
      <w:pPr>
        <w:spacing w:after="0" w:line="19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$175 million and $67 million, respectively.</w:t>
      </w:r>
    </w:p>
    <w:p>
      <w:pPr>
        <w:spacing w:after="0" w:line="215"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spacing w:after="0" w:line="205"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For the quantitative goodwill impairment analysis performed as of March 31, 2023, we utilized a range of our weighted-average cost of capital of 10.0% to 11.5% as our discount rate, which was risk-adjusted for each reporting unit. After determining the fair value of our reporting units, we reconciled the combined fair value of the reporting units to the company's market capitalization as of March 31, 2023. As a result, we determined that the carrying amount of our Private Cloud reporting unit exceeded its fair value and recorded a goodwill impairment charge of $272 million, which is included in "Impairment of goodwill" in our Condensed Consolidated Statements of Comprehensive Loss for the nine months ended September 30, 2023. The impairment was driven by the company's most recent cash flow projections as revised in the first quarter of 2023 which reflected current market conditions and current trends in business performance, including slower than anticipated actualization of bookings. The Public Cloud reporting unit was determined to have a fair value that exceeded its carrying value by approximately 14% and therefore no impairment was recognized.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$80 million and $65 million, respectively.</w:t>
      </w:r>
    </w:p>
    <w:p>
      <w:pPr>
        <w:spacing w:after="0" w:line="21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During the third quarter of 2023, we experienced a sustained decline in our stock price resulting in our market capitalization being less than the carrying value of our combined reporting units. As of September 30,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nine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September 30, 2023.</w:t>
      </w:r>
    </w:p>
    <w:p>
      <w:pPr>
        <w:spacing w:after="0" w:line="22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For the quantitative goodwill impairment analysis performed as of September 30, 2023, we utilized a range of our weighted-average cost of capital of 11.0% to 12.5% as our discount rate, which was risk-adjusted for each reporting unit. After determining the fair value of our reporting units, we reconciled the combined fair value of the reporting units to the company's market capitalization as of September 30, 2023. As a result, we determined that the carrying amount of our Private Cloud reporting unit exceeded its fair value and recorded a goodwill impairment charge of $166 million, which is included in "Impairment of goodwill" in our Condensed Consolidated Statements of Comprehensive Loss for the three and nine months ended September 30, 2023. The impairment was driven by the company's cash flow projections as revised in the third quarter of 2023 to reflect current market conditions and business mix shifts. The Public Cloud reporting unit was determined to have a fair value that exceeded its carrying value by approximately 17% and therefore no impairment was recognized.</w:t>
      </w:r>
    </w:p>
    <w:p>
      <w:pPr>
        <w:spacing w:after="0" w:line="21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$65 million and $52 million, respectively.</w:t>
      </w:r>
    </w:p>
    <w:p>
      <w:pPr>
        <w:spacing w:after="0" w:line="21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As of September 1, 2022, after considering all available evidence in our evaluation of goodwill impairment indicators, we determined it appropriate to perform an interim quantitative assessment of our reporting unit as of September 1, 2022.</w:t>
      </w:r>
    </w:p>
    <w:p>
      <w:pPr>
        <w:spacing w:after="0" w:line="19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For the interim quantitative goodwill impairment analysis performed as of September 1, 2022, we utilized the income approach to determine the fair value of our reporting units. We utilized a range of our weighted-average cost of capital of 10.0% to 12.0% as our discount rate, which was risk-adjusted for each reporting unit. After determining the fair value of our reporting units, we reconciled the combined fair value of the reporting units to the company's market capitalization as of September 1, 2022. As a result of our interim goodwill impairment test performed as of September 1, 2022, we determined that the carrying amount of our former Multicloud Services reporting unit exceeded its fair value and recorded a goodwill impairment charge of $405 million, which is included in "Impairment of goodwill" in our Condensed Consolidated Statements of Comprehensive Loss for the three and nine months ended September 30, 2022. The impairment was driven by deteriorating forecasted margins and cash flows within this reporting unit primarily due to slower than anticipated product mix shifts. Our former Apps &amp; Cross Platform reporting unit was determined to have a fair value that exceeded its carrying value by approximately 15% and therefore no impairment was recognized.</w:t>
      </w:r>
    </w:p>
    <w:p>
      <w:pPr>
        <w:spacing w:after="0" w:line="20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performed sensitivity analyses on the key inputs and assumptions used in determining the estimated fair value of our reporting unit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former Multicloud Services and Apps &amp; Cross Platform reporting units of approximately $235 million and $33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of January 1, 2023, March 31, 2023 and September 30, 2023,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for all periods and a discount rate of 11% as of January 1, 2023 and March 31, 2023, and a discount rate of 11.9% as of September 30, 2023. We completed the quantitative assessments of our indefinite-lived intangible asset prior to testing our goodwill for impairment as of January 1, 2023 and March 31, 2023 which did not indicate any impairment of the Rackspace trade name.</w:t>
      </w:r>
    </w:p>
    <w:p>
      <w:pPr>
        <w:spacing w:after="0" w:line="219"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quantitative test as of September 30, 2023 indicated that the estimated fair value of the Rackspace trade name was less than its carrying value. As a result, we recorded a $57 million non-cash impairment charge which is included in "Impairment of assets, net" in our Condensed Consolidated Statements of Comprehensive Loss for the three and nine months ended September 30, 2023.</w:t>
      </w:r>
    </w:p>
    <w:p>
      <w:pPr>
        <w:spacing w:after="0" w:line="211"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As of September 1, 2022, prior to performing the goodwill impairment analysis, we performed a quantitative assessment of our indefinite-lived intangible asset utilizing a relief from royalty method. We utilized a royalty rate of 0.5% and a discount rate of 10.7%. We determined the estimated fair value of the Rackspace trade name was less than its carrying value. As a result, we recorded a $21 million non-cash impairment charge which is included in "Impairment of assets, net" in our Condensed Consolidated Statements of Comprehensive Loss for the three and nine months ended September 30, 2022.</w:t>
      </w:r>
    </w:p>
    <w:p>
      <w:pPr>
        <w:spacing w:after="0" w:line="18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fair value determination of our reporting units and our indefinite-lived intangible asset is judgmental in nature and requires the use of estimates and assumptions that are sensitive to changes. Assumptions include estimation of the royalty rate, estimation of future revenue and projected margins, which are dependent on internal cash flow forecasts, estimation of the terminal growth rates and capital spending, and determination of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We also performed recoverability tests of our long-lived assets in conjunction with the goodwill impairment analyses as of January 1, 2023, March 31, 2023, and September 30, 2023 which did not result in any impairment charges.</w:t>
      </w:r>
    </w:p>
    <w:p>
      <w:pPr>
        <w:spacing w:after="0" w:line="197"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As of September 1, 2022, prior to performing the goodwill impairment analysis, we performed a recoverability test of our long-lived assets, including finite-lived intangible assets. Based on the results of the recoverability test, we determined that, as of September 1, 2022, the fair value of the OpenStack Public Cloud asset group’s underlying assets was less than the carrying value. Fair values of the OpenStack Public Cloud long-lived assets were determined using the cost approach. The cost approach utilized assumptions for the current replacement costs of similar assets adjusted for estimated depreciation and deterioration of the existing equipment and economic obsolescence. Estimates of floor values for the property, equipment and software, net, were considered relative to potential economic support for the assets such that the concluded value did not fall below the estimated floor value of these assets. We concluded that the carrying value of the OpenStack Public Cloud long-lived assets, including customer relationship intangibles and property, equipment and software, net, were impaired and recorded non-cash impairment charges of $38 million, which is included in "Impairment of assets, net" in our Condensed Consolidated Statements of Comprehensive Loss for the three and nine months ended September 30, 2022.</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We are exposed to interest rate risk associated with fluctuations in interest rates on our floating-rate debt under our Senior Facilities, which includes our $375 million Revolving Credit Facility and $2,243 million outstanding under the Term Loan Facility. As of September 30, 2023, there was no outstanding borrowings under the Revolving Credit Facility and therefore our only variable-rate debt outstanding was the $2,243 million outstanding under the Term Loan Facility. As of September 30, 2023, assuming the Revolving Credit Facility was fully drawn, each 0.125% change in assumed blended interest rates would result in a $3 million change in annual interest expense on indebtedness under the Senior Facilities.</w:t>
      </w:r>
    </w:p>
    <w:p>
      <w:pPr>
        <w:spacing w:after="0" w:line="20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Term Loan Facility bears interest at an annual rate equal to an applicable margin plus one-month Term SOFR, subject to a 0.75% floor. Prior to the April 26, 2023 amendment to our First Lien Credit Agreement, three-month LIBOR was the benchmark rate for determining the applicable interest rate. As such, we have historically entered into interest rate swap agreements indexed to three-month LIBOR in order to manage our risk from fluctuations in three-month LIBOR above the 0.75% floor. During 2022, three of these swap agreements matured.</w:t>
      </w:r>
    </w:p>
    <w:p>
      <w:pPr>
        <w:spacing w:after="0" w:line="21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To continue to manage our exposure to interest rate risk associated with our Term Loan Facility, in May 2023 we amended our remaining swap agreement to change the index from three-month LIBOR (subject to a floor of 0.75%) to one-month Term SOFR (subject to a floor of 0.75%); consistent with the First Lien Credit Agreement amendment in April 2023. The fixed rate for this swap agreement is presented in the table below. As of September 30, 2023, the interest rate on the Term Loan Facility was 8.19%, equal to an applicable margin of 2.86% (including the credit spread adjustment of 0.11%) plus one-month Term SOFR for the interest period of 5.33%</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terms of the swap outstanding as of September 30, 2023 are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Transaction Date</w:t>
            </w:r>
          </w:p>
        </w:tc>
        <w:tc>
          <w:tcPr>
            <w:tcW w:w="120" w:type="dxa"/>
            <w:vAlign w:val="bottom"/>
            <w:vMerge w:val="restart"/>
          </w:tcPr>
          <w:p>
            <w:pPr>
              <w:spacing w:after="0"/>
              <w:rPr>
                <w:sz w:val="16"/>
                <w:szCs w:val="16"/>
                <w:color w:val="auto"/>
              </w:rPr>
            </w:pPr>
          </w:p>
        </w:tc>
        <w:tc>
          <w:tcPr>
            <w:tcW w:w="2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Effective Date</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Notional Amount (in</w:t>
            </w: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Fixed Rate Paid</w:t>
            </w:r>
          </w:p>
        </w:tc>
        <w:tc>
          <w:tcPr>
            <w:tcW w:w="100" w:type="dxa"/>
            <w:vAlign w:val="bottom"/>
            <w:vMerge w:val="restart"/>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millions)</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February 2021</w:t>
            </w:r>
          </w:p>
        </w:tc>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February 9,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2.34150%</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February 9, 2026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Item 1 of Part I, Financial Statements - Note 12, "Derivatives," for more information on interest rate swaps.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52" w:lineRule="exact"/>
        <w:rPr>
          <w:sz w:val="20"/>
          <w:szCs w:val="20"/>
          <w:color w:val="auto"/>
        </w:rPr>
      </w:pPr>
    </w:p>
    <w:p>
      <w:pPr>
        <w:ind w:right="100" w:firstLine="486"/>
        <w:spacing w:after="0" w:line="284" w:lineRule="auto"/>
        <w:rPr>
          <w:sz w:val="20"/>
          <w:szCs w:val="20"/>
          <w:color w:val="auto"/>
        </w:rPr>
      </w:pPr>
      <w:r>
        <w:rPr>
          <w:rFonts w:ascii="Arial" w:cs="Arial" w:eastAsia="Arial" w:hAnsi="Arial"/>
          <w:sz w:val="16"/>
          <w:szCs w:val="16"/>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Arial" w:cs="Arial" w:eastAsia="Arial" w:hAnsi="Arial"/>
          <w:sz w:val="16"/>
          <w:szCs w:val="16"/>
          <w:i w:val="1"/>
          <w:iCs w:val="1"/>
          <w:color w:val="auto"/>
        </w:rPr>
        <w:t>Constant Currency Revenue</w:t>
      </w:r>
      <w:r>
        <w:rPr>
          <w:rFonts w:ascii="Arial" w:cs="Arial" w:eastAsia="Arial" w:hAnsi="Arial"/>
          <w:sz w:val="16"/>
          <w:szCs w:val="16"/>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nine months ended September 30, 2023, we recognized foreign currency transaction gains of</w:t>
      </w:r>
    </w:p>
    <w:p>
      <w:pPr>
        <w:spacing w:after="0" w:line="4"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$3 million within "Other expense, net" in our Condensed Consolidated Statements of Comprehensive Loss. As we grow our international operations, our exposure to foreign currency translation and transaction risk could become more significant.</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in the past and may in the future enter into foreign currency hedging instruments to limit our exposure to foreign currency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Prices</w:t>
      </w:r>
    </w:p>
    <w:p>
      <w:pPr>
        <w:spacing w:after="0" w:line="239"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We are a large consumer of power. In the nine months ended September 30, 2023, we expensed approximately $35 million for utility companies to power our data centers, representing approximately 2% of our revenue. Power costs vary by geography, the source of power generation and seasonal fluctuations and are subject to certain proposed legislation that may increase our exposure to increased power costs. We have power contracts for data centers in the Dallas-Fort Worth, San Jose, Somerset, New Jersey and London areas that allow us to procure power either on a fixed price or on a variable price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252"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25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LEGAL PROCEEDINGS</w:t>
      </w:r>
    </w:p>
    <w:p>
      <w:pPr>
        <w:spacing w:after="0" w:line="256" w:lineRule="exact"/>
        <w:rPr>
          <w:sz w:val="20"/>
          <w:szCs w:val="20"/>
          <w:color w:val="auto"/>
        </w:rPr>
      </w:pPr>
    </w:p>
    <w:p>
      <w:pPr>
        <w:jc w:val="both"/>
        <w:ind w:right="600" w:firstLine="486"/>
        <w:spacing w:after="0" w:line="263" w:lineRule="auto"/>
        <w:rPr>
          <w:sz w:val="20"/>
          <w:szCs w:val="20"/>
          <w:color w:val="auto"/>
        </w:rPr>
      </w:pPr>
      <w:r>
        <w:rPr>
          <w:rFonts w:ascii="Arial" w:cs="Arial" w:eastAsia="Arial" w:hAnsi="Arial"/>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11"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11"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Hosted Exchange Incident</w:t>
      </w:r>
    </w:p>
    <w:p>
      <w:pPr>
        <w:spacing w:after="0" w:line="252"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We are named in several lawsuits in connection with our previously disclosed ransomware incident. The pending lawsuits seek, among other things, equitable and compensatory relief. We are vigorously defending these matters. We do not expect any of these claims, individually or in the aggregate, to have a material adverse effect on our consolidated financial position or results of operations. However, at this early stage in the proceedings, we are not able to determine the probability of the outcome of these matters or a range of reasonably expected losses, if any. We maintain insurance, including coverage for cyber-attacks, subject to certain deductibles and policy limitations, in an amount that we believe appropriate.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56"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We have disclosed under the heading "Risk Factors" in our Annual Report the risk factors which materially affect our business, financial condition or results of operations.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99"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On March 3, 2022, our board of directors authorized a program to repurchase up to $75.0 million of shares of our common stock. The authorization was effective immediately and can be discontinued at any time. Under the program, shares may be repurchased from time to time through open-market transactions (including pre-set trading plans), privately negotiated transactions, accelerated share repurchases and other transactions in accordance with applicable security laws.</w:t>
      </w:r>
    </w:p>
    <w:p>
      <w:pPr>
        <w:spacing w:after="0" w:line="214"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During the three months ended September 30, 2023, we did not repurchase any of our common stock and the program authorization expired on September 30, 2023.</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5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Arrangements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Durable Sell to Cover 10b5-1 Trading Arrangements</w:t>
      </w:r>
    </w:p>
    <w:p>
      <w:pPr>
        <w:spacing w:after="0" w:line="252"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officers (as defined in Rule 16a-1(f) of the Exchange Act) listed in the table below each adopted a Rule 10b5-1 trading arrangement intended to satisfy the affirmative defense conditions of Rule 10b5-1(c)(1) during the fiscal quarter ended September 30, 2023. The trading arrangements are in the form of durable sell-to-cover instructions and provide for sales of common stock necessary to satisfy such individual’s tax withholding obligations incurred in connection with the vesting or settlement of restricted stock units previously granted or that could in the future be granted by the company (whether vesting is based on the passage of time or the achievement of performance goals). The total number of shares of common stock that may be sold pursuant to the sell-to-cover instructions is not determinable and the sell-to-cover instructions will remain in place indefinitely unless revoked in writing.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56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Title</w:t>
            </w:r>
          </w:p>
        </w:tc>
        <w:tc>
          <w:tcPr>
            <w:tcW w:w="29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2"/>
              </w:rPr>
              <w:t>Date Adopted</w:t>
            </w:r>
          </w:p>
        </w:tc>
      </w:tr>
      <w:tr>
        <w:trPr>
          <w:trHeight w:val="222"/>
        </w:trPr>
        <w:tc>
          <w:tcPr>
            <w:tcW w:w="2320" w:type="dxa"/>
            <w:vAlign w:val="bottom"/>
          </w:tcPr>
          <w:p>
            <w:pPr>
              <w:ind w:left="20"/>
              <w:spacing w:after="0"/>
              <w:rPr>
                <w:sz w:val="20"/>
                <w:szCs w:val="20"/>
                <w:color w:val="auto"/>
              </w:rPr>
            </w:pPr>
            <w:r>
              <w:rPr>
                <w:rFonts w:ascii="Arial" w:cs="Arial" w:eastAsia="Arial" w:hAnsi="Arial"/>
                <w:sz w:val="18"/>
                <w:szCs w:val="18"/>
                <w:color w:val="auto"/>
              </w:rPr>
              <w:t>Amar Maletira</w:t>
            </w:r>
          </w:p>
        </w:tc>
        <w:tc>
          <w:tcPr>
            <w:tcW w:w="5640" w:type="dxa"/>
            <w:vAlign w:val="bottom"/>
          </w:tcPr>
          <w:p>
            <w:pPr>
              <w:ind w:left="400"/>
              <w:spacing w:after="0"/>
              <w:rPr>
                <w:sz w:val="20"/>
                <w:szCs w:val="20"/>
                <w:color w:val="auto"/>
              </w:rPr>
            </w:pPr>
            <w:r>
              <w:rPr>
                <w:rFonts w:ascii="Arial" w:cs="Arial" w:eastAsia="Arial" w:hAnsi="Arial"/>
                <w:sz w:val="18"/>
                <w:szCs w:val="18"/>
                <w:color w:val="auto"/>
              </w:rPr>
              <w:t>Chief Executive Officer</w:t>
            </w:r>
          </w:p>
        </w:tc>
        <w:tc>
          <w:tcPr>
            <w:tcW w:w="2980" w:type="dxa"/>
            <w:vAlign w:val="bottom"/>
          </w:tcPr>
          <w:p>
            <w:pPr>
              <w:jc w:val="center"/>
              <w:ind w:left="170"/>
              <w:spacing w:after="0"/>
              <w:rPr>
                <w:sz w:val="20"/>
                <w:szCs w:val="20"/>
                <w:color w:val="auto"/>
              </w:rPr>
            </w:pPr>
            <w:r>
              <w:rPr>
                <w:rFonts w:ascii="Arial" w:cs="Arial" w:eastAsia="Arial" w:hAnsi="Arial"/>
                <w:sz w:val="18"/>
                <w:szCs w:val="18"/>
                <w:color w:val="auto"/>
                <w:w w:val="88"/>
              </w:rPr>
              <w:t>September 14, 2023</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Naushaza Molu</w:t>
            </w:r>
          </w:p>
        </w:tc>
        <w:tc>
          <w:tcPr>
            <w:tcW w:w="5640" w:type="dxa"/>
            <w:vAlign w:val="bottom"/>
          </w:tcPr>
          <w:p>
            <w:pPr>
              <w:ind w:left="400"/>
              <w:spacing w:after="0"/>
              <w:rPr>
                <w:sz w:val="20"/>
                <w:szCs w:val="20"/>
                <w:color w:val="auto"/>
              </w:rPr>
            </w:pPr>
            <w:r>
              <w:rPr>
                <w:rFonts w:ascii="Arial" w:cs="Arial" w:eastAsia="Arial" w:hAnsi="Arial"/>
                <w:sz w:val="18"/>
                <w:szCs w:val="18"/>
                <w:color w:val="auto"/>
              </w:rPr>
              <w:t>Executive Vice President &amp; Chief Financial Officer</w:t>
            </w:r>
          </w:p>
        </w:tc>
        <w:tc>
          <w:tcPr>
            <w:tcW w:w="2980" w:type="dxa"/>
            <w:vAlign w:val="bottom"/>
          </w:tcPr>
          <w:p>
            <w:pPr>
              <w:jc w:val="center"/>
              <w:ind w:left="170"/>
              <w:spacing w:after="0"/>
              <w:rPr>
                <w:sz w:val="20"/>
                <w:szCs w:val="20"/>
                <w:color w:val="auto"/>
              </w:rPr>
            </w:pPr>
            <w:r>
              <w:rPr>
                <w:rFonts w:ascii="Arial" w:cs="Arial" w:eastAsia="Arial" w:hAnsi="Arial"/>
                <w:sz w:val="18"/>
                <w:szCs w:val="18"/>
                <w:color w:val="auto"/>
                <w:w w:val="88"/>
              </w:rPr>
              <w:t>September 6, 2023</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Dharmendra Kumar Sinha</w:t>
            </w:r>
          </w:p>
        </w:tc>
        <w:tc>
          <w:tcPr>
            <w:tcW w:w="5640" w:type="dxa"/>
            <w:vAlign w:val="bottom"/>
          </w:tcPr>
          <w:p>
            <w:pPr>
              <w:ind w:left="400"/>
              <w:spacing w:after="0"/>
              <w:rPr>
                <w:sz w:val="20"/>
                <w:szCs w:val="20"/>
                <w:color w:val="auto"/>
              </w:rPr>
            </w:pPr>
            <w:r>
              <w:rPr>
                <w:rFonts w:ascii="Arial" w:cs="Arial" w:eastAsia="Arial" w:hAnsi="Arial"/>
                <w:sz w:val="18"/>
                <w:szCs w:val="18"/>
                <w:color w:val="auto"/>
              </w:rPr>
              <w:t>President, Public Cloud</w:t>
            </w:r>
          </w:p>
        </w:tc>
        <w:tc>
          <w:tcPr>
            <w:tcW w:w="2980" w:type="dxa"/>
            <w:vAlign w:val="bottom"/>
          </w:tcPr>
          <w:p>
            <w:pPr>
              <w:jc w:val="center"/>
              <w:ind w:left="170"/>
              <w:spacing w:after="0"/>
              <w:rPr>
                <w:sz w:val="20"/>
                <w:szCs w:val="20"/>
                <w:color w:val="auto"/>
              </w:rPr>
            </w:pPr>
            <w:r>
              <w:rPr>
                <w:rFonts w:ascii="Arial" w:cs="Arial" w:eastAsia="Arial" w:hAnsi="Arial"/>
                <w:sz w:val="18"/>
                <w:szCs w:val="18"/>
                <w:color w:val="auto"/>
                <w:w w:val="88"/>
              </w:rPr>
              <w:t>September 14, 2023</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Brian Lillie</w:t>
            </w:r>
          </w:p>
        </w:tc>
        <w:tc>
          <w:tcPr>
            <w:tcW w:w="5640" w:type="dxa"/>
            <w:vAlign w:val="bottom"/>
          </w:tcPr>
          <w:p>
            <w:pPr>
              <w:ind w:left="400"/>
              <w:spacing w:after="0"/>
              <w:rPr>
                <w:sz w:val="20"/>
                <w:szCs w:val="20"/>
                <w:color w:val="auto"/>
              </w:rPr>
            </w:pPr>
            <w:r>
              <w:rPr>
                <w:rFonts w:ascii="Arial" w:cs="Arial" w:eastAsia="Arial" w:hAnsi="Arial"/>
                <w:sz w:val="18"/>
                <w:szCs w:val="18"/>
                <w:color w:val="auto"/>
              </w:rPr>
              <w:t>President, Private Cloud</w:t>
            </w:r>
          </w:p>
        </w:tc>
        <w:tc>
          <w:tcPr>
            <w:tcW w:w="2980" w:type="dxa"/>
            <w:vAlign w:val="bottom"/>
          </w:tcPr>
          <w:p>
            <w:pPr>
              <w:jc w:val="center"/>
              <w:ind w:left="170"/>
              <w:spacing w:after="0"/>
              <w:rPr>
                <w:sz w:val="20"/>
                <w:szCs w:val="20"/>
                <w:color w:val="auto"/>
              </w:rPr>
            </w:pPr>
            <w:r>
              <w:rPr>
                <w:rFonts w:ascii="Arial" w:cs="Arial" w:eastAsia="Arial" w:hAnsi="Arial"/>
                <w:sz w:val="18"/>
                <w:szCs w:val="18"/>
                <w:color w:val="auto"/>
                <w:w w:val="88"/>
              </w:rPr>
              <w:t>September 15, 2023</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Srinivas Koushik</w:t>
            </w:r>
          </w:p>
        </w:tc>
        <w:tc>
          <w:tcPr>
            <w:tcW w:w="5640" w:type="dxa"/>
            <w:vAlign w:val="bottom"/>
          </w:tcPr>
          <w:p>
            <w:pPr>
              <w:ind w:left="400"/>
              <w:spacing w:after="0"/>
              <w:rPr>
                <w:sz w:val="20"/>
                <w:szCs w:val="20"/>
                <w:color w:val="auto"/>
              </w:rPr>
            </w:pPr>
            <w:r>
              <w:rPr>
                <w:rFonts w:ascii="Arial" w:cs="Arial" w:eastAsia="Arial" w:hAnsi="Arial"/>
                <w:sz w:val="18"/>
                <w:szCs w:val="18"/>
                <w:color w:val="auto"/>
              </w:rPr>
              <w:t>President, Technology &amp; Sustainability</w:t>
            </w:r>
          </w:p>
        </w:tc>
        <w:tc>
          <w:tcPr>
            <w:tcW w:w="2980" w:type="dxa"/>
            <w:vAlign w:val="bottom"/>
          </w:tcPr>
          <w:p>
            <w:pPr>
              <w:jc w:val="center"/>
              <w:ind w:left="170"/>
              <w:spacing w:after="0"/>
              <w:rPr>
                <w:sz w:val="20"/>
                <w:szCs w:val="20"/>
                <w:color w:val="auto"/>
              </w:rPr>
            </w:pPr>
            <w:r>
              <w:rPr>
                <w:rFonts w:ascii="Arial" w:cs="Arial" w:eastAsia="Arial" w:hAnsi="Arial"/>
                <w:sz w:val="18"/>
                <w:szCs w:val="18"/>
                <w:color w:val="auto"/>
                <w:w w:val="88"/>
              </w:rPr>
              <w:t>September 12, 2023</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Kellie Teal-Guess</w:t>
            </w:r>
          </w:p>
        </w:tc>
        <w:tc>
          <w:tcPr>
            <w:tcW w:w="5640" w:type="dxa"/>
            <w:vAlign w:val="bottom"/>
          </w:tcPr>
          <w:p>
            <w:pPr>
              <w:ind w:left="400"/>
              <w:spacing w:after="0"/>
              <w:rPr>
                <w:sz w:val="20"/>
                <w:szCs w:val="20"/>
                <w:color w:val="auto"/>
              </w:rPr>
            </w:pPr>
            <w:r>
              <w:rPr>
                <w:rFonts w:ascii="Arial" w:cs="Arial" w:eastAsia="Arial" w:hAnsi="Arial"/>
                <w:sz w:val="18"/>
                <w:szCs w:val="18"/>
                <w:color w:val="auto"/>
              </w:rPr>
              <w:t>Executive Vice President &amp; Chief Human Resources Officer</w:t>
            </w:r>
          </w:p>
        </w:tc>
        <w:tc>
          <w:tcPr>
            <w:tcW w:w="2980" w:type="dxa"/>
            <w:vAlign w:val="bottom"/>
          </w:tcPr>
          <w:p>
            <w:pPr>
              <w:jc w:val="center"/>
              <w:ind w:left="170"/>
              <w:spacing w:after="0"/>
              <w:rPr>
                <w:sz w:val="20"/>
                <w:szCs w:val="20"/>
                <w:color w:val="auto"/>
              </w:rPr>
            </w:pPr>
            <w:r>
              <w:rPr>
                <w:rFonts w:ascii="Arial" w:cs="Arial" w:eastAsia="Arial" w:hAnsi="Arial"/>
                <w:sz w:val="18"/>
                <w:szCs w:val="18"/>
                <w:color w:val="auto"/>
                <w:w w:val="88"/>
              </w:rPr>
              <w:t>September 12, 2023</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Mark Marino</w:t>
            </w:r>
          </w:p>
        </w:tc>
        <w:tc>
          <w:tcPr>
            <w:tcW w:w="5640" w:type="dxa"/>
            <w:vAlign w:val="bottom"/>
          </w:tcPr>
          <w:p>
            <w:pPr>
              <w:ind w:left="400"/>
              <w:spacing w:after="0"/>
              <w:rPr>
                <w:sz w:val="20"/>
                <w:szCs w:val="20"/>
                <w:color w:val="auto"/>
              </w:rPr>
            </w:pPr>
            <w:r>
              <w:rPr>
                <w:rFonts w:ascii="Arial" w:cs="Arial" w:eastAsia="Arial" w:hAnsi="Arial"/>
                <w:sz w:val="18"/>
                <w:szCs w:val="18"/>
                <w:color w:val="auto"/>
              </w:rPr>
              <w:t>Chief Accounting Officer</w:t>
            </w:r>
          </w:p>
        </w:tc>
        <w:tc>
          <w:tcPr>
            <w:tcW w:w="2980" w:type="dxa"/>
            <w:vAlign w:val="bottom"/>
          </w:tcPr>
          <w:p>
            <w:pPr>
              <w:jc w:val="center"/>
              <w:ind w:left="170"/>
              <w:spacing w:after="0"/>
              <w:rPr>
                <w:sz w:val="20"/>
                <w:szCs w:val="20"/>
                <w:color w:val="auto"/>
              </w:rPr>
            </w:pPr>
            <w:r>
              <w:rPr>
                <w:rFonts w:ascii="Arial" w:cs="Arial" w:eastAsia="Arial" w:hAnsi="Arial"/>
                <w:sz w:val="18"/>
                <w:szCs w:val="18"/>
                <w:color w:val="auto"/>
                <w:w w:val="88"/>
              </w:rPr>
              <w:t>September 12, 2023</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Casey Shilling</w:t>
            </w:r>
          </w:p>
        </w:tc>
        <w:tc>
          <w:tcPr>
            <w:tcW w:w="5640" w:type="dxa"/>
            <w:vAlign w:val="bottom"/>
          </w:tcPr>
          <w:p>
            <w:pPr>
              <w:ind w:left="400"/>
              <w:spacing w:after="0"/>
              <w:rPr>
                <w:sz w:val="20"/>
                <w:szCs w:val="20"/>
                <w:color w:val="auto"/>
              </w:rPr>
            </w:pPr>
            <w:r>
              <w:rPr>
                <w:rFonts w:ascii="Arial" w:cs="Arial" w:eastAsia="Arial" w:hAnsi="Arial"/>
                <w:sz w:val="18"/>
                <w:szCs w:val="18"/>
                <w:color w:val="auto"/>
              </w:rPr>
              <w:t>Chief Marketing Officer</w:t>
            </w:r>
          </w:p>
        </w:tc>
        <w:tc>
          <w:tcPr>
            <w:tcW w:w="2980" w:type="dxa"/>
            <w:vAlign w:val="bottom"/>
          </w:tcPr>
          <w:p>
            <w:pPr>
              <w:jc w:val="center"/>
              <w:ind w:left="170"/>
              <w:spacing w:after="0"/>
              <w:rPr>
                <w:sz w:val="20"/>
                <w:szCs w:val="20"/>
                <w:color w:val="auto"/>
              </w:rPr>
            </w:pPr>
            <w:r>
              <w:rPr>
                <w:rFonts w:ascii="Arial" w:cs="Arial" w:eastAsia="Arial" w:hAnsi="Arial"/>
                <w:sz w:val="18"/>
                <w:szCs w:val="18"/>
                <w:color w:val="auto"/>
                <w:w w:val="88"/>
              </w:rPr>
              <w:t>September 18, 2023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Naushaza Molu, Executive Vice President and Chief Financial Officer</w:t>
      </w:r>
    </w:p>
    <w:p>
      <w:pPr>
        <w:spacing w:after="0" w:line="239" w:lineRule="exact"/>
        <w:rPr>
          <w:sz w:val="20"/>
          <w:szCs w:val="20"/>
          <w:color w:val="auto"/>
        </w:rPr>
      </w:pPr>
    </w:p>
    <w:p>
      <w:pPr>
        <w:ind w:firstLine="455"/>
        <w:spacing w:after="0" w:line="307" w:lineRule="auto"/>
        <w:rPr>
          <w:sz w:val="20"/>
          <w:szCs w:val="20"/>
          <w:color w:val="auto"/>
        </w:rPr>
      </w:pPr>
      <w:r>
        <w:rPr>
          <w:rFonts w:ascii="Arial" w:cs="Arial" w:eastAsia="Arial" w:hAnsi="Arial"/>
          <w:sz w:val="16"/>
          <w:szCs w:val="16"/>
          <w:color w:val="auto"/>
        </w:rPr>
        <w:t>In addition, on September 8, 2023, Mr. Molu adopted a Rule 10b5-1 trading arrangement providing for the sale of 50% of the net vested shares of common stock received in connection with the vesting of restricted stock units and performance units in 2024. The plan has an end date of March 29, 2024.</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30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980" w:type="dxa"/>
            <w:vAlign w:val="bottom"/>
          </w:tcPr>
          <w:p>
            <w:pPr>
              <w:spacing w:after="0"/>
              <w:rPr>
                <w:sz w:val="17"/>
                <w:szCs w:val="17"/>
                <w:color w:val="auto"/>
              </w:rPr>
            </w:pPr>
          </w:p>
        </w:tc>
      </w:tr>
      <w:tr>
        <w:trPr>
          <w:trHeight w:val="830"/>
        </w:trPr>
        <w:tc>
          <w:tcPr>
            <w:tcW w:w="1280" w:type="dxa"/>
            <w:vAlign w:val="bottom"/>
            <w:tcBorders>
              <w:top w:val="single" w:sz="8" w:color="0000FF"/>
            </w:tcBorders>
          </w:tcPr>
          <w:p>
            <w:pPr>
              <w:spacing w:after="0"/>
              <w:rPr>
                <w:sz w:val="24"/>
                <w:szCs w:val="24"/>
                <w:color w:val="auto"/>
              </w:rPr>
            </w:pPr>
          </w:p>
        </w:tc>
        <w:tc>
          <w:tcPr>
            <w:tcW w:w="1760" w:type="dxa"/>
            <w:vAlign w:val="bottom"/>
          </w:tcPr>
          <w:p>
            <w:pPr>
              <w:spacing w:after="0"/>
              <w:rPr>
                <w:sz w:val="24"/>
                <w:szCs w:val="24"/>
                <w:color w:val="auto"/>
              </w:rPr>
            </w:pPr>
          </w:p>
        </w:tc>
        <w:tc>
          <w:tcPr>
            <w:tcW w:w="3980" w:type="dxa"/>
            <w:vAlign w:val="bottom"/>
          </w:tcPr>
          <w:p>
            <w:pPr>
              <w:ind w:left="1760"/>
              <w:spacing w:after="0"/>
              <w:rPr>
                <w:sz w:val="20"/>
                <w:szCs w:val="20"/>
                <w:color w:val="auto"/>
              </w:rPr>
            </w:pPr>
            <w:r>
              <w:rPr>
                <w:rFonts w:ascii="Arial" w:cs="Arial" w:eastAsia="Arial" w:hAnsi="Arial"/>
                <w:sz w:val="18"/>
                <w:szCs w:val="18"/>
                <w:b w:val="1"/>
                <w:bCs w:val="1"/>
                <w:color w:val="auto"/>
              </w:rPr>
              <w:t>ITEM 6 – EXHIBITS</w:t>
            </w:r>
          </w:p>
        </w:tc>
      </w:tr>
      <w:tr>
        <w:trPr>
          <w:trHeight w:val="446"/>
        </w:trPr>
        <w:tc>
          <w:tcPr>
            <w:tcW w:w="3040" w:type="dxa"/>
            <w:vAlign w:val="bottom"/>
            <w:gridSpan w:val="2"/>
          </w:tcPr>
          <w:p>
            <w:pPr>
              <w:jc w:val="center"/>
              <w:ind w:right="1840"/>
              <w:spacing w:after="0"/>
              <w:rPr>
                <w:sz w:val="20"/>
                <w:szCs w:val="20"/>
                <w:color w:val="auto"/>
              </w:rPr>
            </w:pPr>
            <w:r>
              <w:rPr>
                <w:rFonts w:ascii="Arial" w:cs="Arial" w:eastAsia="Arial" w:hAnsi="Arial"/>
                <w:sz w:val="18"/>
                <w:szCs w:val="18"/>
                <w:b w:val="1"/>
                <w:bCs w:val="1"/>
                <w:color w:val="auto"/>
                <w:w w:val="93"/>
              </w:rPr>
              <w:t>Exhibit</w:t>
            </w:r>
          </w:p>
        </w:tc>
        <w:tc>
          <w:tcPr>
            <w:tcW w:w="3980" w:type="dxa"/>
            <w:vAlign w:val="bottom"/>
          </w:tcPr>
          <w:p>
            <w:pPr>
              <w:spacing w:after="0"/>
              <w:rPr>
                <w:sz w:val="24"/>
                <w:szCs w:val="24"/>
                <w:color w:val="auto"/>
              </w:rPr>
            </w:pPr>
          </w:p>
        </w:tc>
      </w:tr>
      <w:tr>
        <w:trPr>
          <w:trHeight w:val="243"/>
        </w:trPr>
        <w:tc>
          <w:tcPr>
            <w:tcW w:w="3040" w:type="dxa"/>
            <w:vAlign w:val="bottom"/>
            <w:gridSpan w:val="2"/>
          </w:tcPr>
          <w:p>
            <w:pPr>
              <w:jc w:val="center"/>
              <w:ind w:right="1840"/>
              <w:spacing w:after="0"/>
              <w:rPr>
                <w:sz w:val="20"/>
                <w:szCs w:val="20"/>
                <w:color w:val="auto"/>
              </w:rPr>
            </w:pPr>
            <w:r>
              <w:rPr>
                <w:rFonts w:ascii="Arial" w:cs="Arial" w:eastAsia="Arial" w:hAnsi="Arial"/>
                <w:sz w:val="18"/>
                <w:szCs w:val="18"/>
                <w:b w:val="1"/>
                <w:bCs w:val="1"/>
                <w:color w:val="auto"/>
                <w:w w:val="94"/>
              </w:rPr>
              <w:t>Number</w:t>
            </w:r>
          </w:p>
        </w:tc>
        <w:tc>
          <w:tcPr>
            <w:tcW w:w="3980" w:type="dxa"/>
            <w:vAlign w:val="bottom"/>
          </w:tcPr>
          <w:p>
            <w:pPr>
              <w:ind w:left="2480"/>
              <w:spacing w:after="0"/>
              <w:rPr>
                <w:sz w:val="20"/>
                <w:szCs w:val="20"/>
                <w:color w:val="auto"/>
              </w:rPr>
            </w:pPr>
            <w:r>
              <w:rPr>
                <w:rFonts w:ascii="Arial" w:cs="Arial" w:eastAsia="Arial" w:hAnsi="Arial"/>
                <w:sz w:val="18"/>
                <w:szCs w:val="18"/>
                <w:b w:val="1"/>
                <w:bCs w:val="1"/>
                <w:color w:val="auto"/>
                <w:w w:val="90"/>
              </w:rPr>
              <w:t>Exhibit Description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0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9880" w:type="dxa"/>
            <w:vAlign w:val="bottom"/>
            <w:gridSpan w:val="5"/>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Receivables Purchase Agreement, dated September 29, 2023, by and among Rackspace Receivables II LLC, the persons from time to</w:t>
              </w:r>
            </w:hyperlink>
          </w:p>
        </w:tc>
      </w:tr>
      <w:tr>
        <w:trPr>
          <w:trHeight w:val="183"/>
        </w:trPr>
        <w:tc>
          <w:tcPr>
            <w:tcW w:w="1080" w:type="dxa"/>
            <w:vAlign w:val="bottom"/>
          </w:tcPr>
          <w:p>
            <w:pPr>
              <w:spacing w:after="0"/>
              <w:rPr>
                <w:sz w:val="15"/>
                <w:szCs w:val="15"/>
                <w:color w:val="auto"/>
              </w:rPr>
            </w:pPr>
          </w:p>
        </w:tc>
        <w:tc>
          <w:tcPr>
            <w:tcW w:w="96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time party thereto, PNC Bank, National Association, Rackspace US, Inc. and PNC Capital Markets LLC (incorporated by reference</w:t>
              </w:r>
            </w:hyperlink>
          </w:p>
        </w:tc>
        <w:tc>
          <w:tcPr>
            <w:tcW w:w="260" w:type="dxa"/>
            <w:vAlign w:val="bottom"/>
            <w:tcBorders>
              <w:bottom w:val="single" w:sz="8" w:color="0000FF"/>
            </w:tcBorders>
          </w:tcPr>
          <w:p>
            <w:pPr>
              <w:spacing w:after="0" w:line="183" w:lineRule="exact"/>
              <w:rPr>
                <w:rFonts w:ascii="Arial" w:cs="Arial" w:eastAsia="Arial" w:hAnsi="Arial"/>
                <w:sz w:val="17"/>
                <w:szCs w:val="17"/>
                <w:color w:val="0000FF"/>
                <w:w w:val="70"/>
              </w:rPr>
            </w:pPr>
            <w:hyperlink r:id="rId75">
              <w:r>
                <w:rPr>
                  <w:rFonts w:ascii="Arial" w:cs="Arial" w:eastAsia="Arial" w:hAnsi="Arial"/>
                  <w:sz w:val="17"/>
                  <w:szCs w:val="17"/>
                  <w:color w:val="0000FF"/>
                  <w:w w:val="70"/>
                </w:rPr>
                <w:t>from</w:t>
              </w:r>
            </w:hyperlink>
          </w:p>
        </w:tc>
      </w:tr>
      <w:tr>
        <w:trPr>
          <w:trHeight w:val="196"/>
        </w:trPr>
        <w:tc>
          <w:tcPr>
            <w:tcW w:w="1080" w:type="dxa"/>
            <w:vAlign w:val="bottom"/>
          </w:tcPr>
          <w:p>
            <w:pPr>
              <w:spacing w:after="0"/>
              <w:rPr>
                <w:sz w:val="17"/>
                <w:szCs w:val="17"/>
                <w:color w:val="auto"/>
              </w:rPr>
            </w:pPr>
          </w:p>
        </w:tc>
        <w:tc>
          <w:tcPr>
            <w:tcW w:w="596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Exhibit 10.1 to Rackspace Technology, Inc.’s Form 8-K, filed on October 4, 2023)</w:t>
              </w:r>
            </w:hyperlink>
          </w:p>
        </w:tc>
        <w:tc>
          <w:tcPr>
            <w:tcW w:w="3920" w:type="dxa"/>
            <w:vAlign w:val="bottom"/>
            <w:gridSpan w:val="4"/>
          </w:tcPr>
          <w:p>
            <w:pPr>
              <w:spacing w:after="0"/>
              <w:rPr>
                <w:sz w:val="17"/>
                <w:szCs w:val="17"/>
                <w:color w:val="auto"/>
              </w:rPr>
            </w:pPr>
          </w:p>
        </w:tc>
      </w:tr>
      <w:tr>
        <w:trPr>
          <w:trHeight w:val="23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5"/>
              </w:rPr>
              <w:t>31.1*</w:t>
            </w:r>
          </w:p>
        </w:tc>
        <w:tc>
          <w:tcPr>
            <w:tcW w:w="74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the Chief Executive Officer pursuant to Section 302 of the Sarbanes-Oxley Act of 2002</w:t>
            </w:r>
          </w:p>
        </w:tc>
        <w:tc>
          <w:tcPr>
            <w:tcW w:w="2420" w:type="dxa"/>
            <w:vAlign w:val="bottom"/>
            <w:gridSpan w:val="2"/>
          </w:tcPr>
          <w:p>
            <w:pPr>
              <w:spacing w:after="0"/>
              <w:rPr>
                <w:sz w:val="20"/>
                <w:szCs w:val="20"/>
                <w:color w:val="auto"/>
              </w:rPr>
            </w:pPr>
          </w:p>
        </w:tc>
      </w:tr>
      <w:tr>
        <w:trPr>
          <w:trHeight w:val="236"/>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5"/>
              </w:rPr>
              <w:t>31.2*</w:t>
            </w:r>
          </w:p>
        </w:tc>
        <w:tc>
          <w:tcPr>
            <w:tcW w:w="9880" w:type="dxa"/>
            <w:vAlign w:val="bottom"/>
            <w:gridSpan w:val="5"/>
          </w:tcPr>
          <w:p>
            <w:pPr>
              <w:spacing w:after="0"/>
              <w:rPr>
                <w:sz w:val="20"/>
                <w:szCs w:val="20"/>
                <w:color w:val="auto"/>
              </w:rPr>
            </w:pPr>
            <w:r>
              <w:rPr>
                <w:rFonts w:ascii="Arial" w:cs="Arial" w:eastAsia="Arial" w:hAnsi="Arial"/>
                <w:sz w:val="18"/>
                <w:szCs w:val="18"/>
                <w:color w:val="0000FF"/>
              </w:rPr>
              <w:t>Certification of the Chief Financial Officer pursuant to Section 302 of the Sarbanes-Oxley Act of 2002</w:t>
            </w:r>
          </w:p>
        </w:tc>
      </w:tr>
      <w:tr>
        <w:trPr>
          <w:trHeight w:val="20"/>
        </w:trPr>
        <w:tc>
          <w:tcPr>
            <w:tcW w:w="1080" w:type="dxa"/>
            <w:vAlign w:val="bottom"/>
          </w:tcPr>
          <w:p>
            <w:pPr>
              <w:spacing w:after="0" w:line="20" w:lineRule="exact"/>
              <w:rPr>
                <w:sz w:val="1"/>
                <w:szCs w:val="1"/>
                <w:color w:val="auto"/>
              </w:rPr>
            </w:pPr>
          </w:p>
        </w:tc>
        <w:tc>
          <w:tcPr>
            <w:tcW w:w="7400" w:type="dxa"/>
            <w:vAlign w:val="bottom"/>
            <w:gridSpan w:val="2"/>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r>
      <w:tr>
        <w:trPr>
          <w:trHeight w:val="237"/>
        </w:trPr>
        <w:tc>
          <w:tcPr>
            <w:tcW w:w="1080" w:type="dxa"/>
            <w:vAlign w:val="bottom"/>
          </w:tcPr>
          <w:p>
            <w:pPr>
              <w:jc w:val="center"/>
              <w:ind w:right="250"/>
              <w:spacing w:after="0"/>
              <w:rPr>
                <w:sz w:val="20"/>
                <w:szCs w:val="20"/>
                <w:color w:val="auto"/>
              </w:rPr>
            </w:pPr>
            <w:r>
              <w:rPr>
                <w:rFonts w:ascii="Arial" w:cs="Arial" w:eastAsia="Arial" w:hAnsi="Arial"/>
                <w:sz w:val="18"/>
                <w:szCs w:val="18"/>
                <w:color w:val="auto"/>
              </w:rPr>
              <w:t>32.1**</w:t>
            </w:r>
          </w:p>
        </w:tc>
        <w:tc>
          <w:tcPr>
            <w:tcW w:w="74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the Chief Executive Officer pursuant to Section 906 of the Sarbanes-Oxley Act of 2002</w:t>
            </w:r>
          </w:p>
        </w:tc>
        <w:tc>
          <w:tcPr>
            <w:tcW w:w="2420" w:type="dxa"/>
            <w:vAlign w:val="bottom"/>
            <w:gridSpan w:val="2"/>
          </w:tcPr>
          <w:p>
            <w:pPr>
              <w:spacing w:after="0"/>
              <w:rPr>
                <w:sz w:val="20"/>
                <w:szCs w:val="20"/>
                <w:color w:val="auto"/>
              </w:rPr>
            </w:pPr>
          </w:p>
        </w:tc>
      </w:tr>
      <w:tr>
        <w:trPr>
          <w:trHeight w:val="236"/>
        </w:trPr>
        <w:tc>
          <w:tcPr>
            <w:tcW w:w="1080" w:type="dxa"/>
            <w:vAlign w:val="bottom"/>
          </w:tcPr>
          <w:p>
            <w:pPr>
              <w:jc w:val="center"/>
              <w:ind w:right="250"/>
              <w:spacing w:after="0"/>
              <w:rPr>
                <w:sz w:val="20"/>
                <w:szCs w:val="20"/>
                <w:color w:val="auto"/>
              </w:rPr>
            </w:pPr>
            <w:r>
              <w:rPr>
                <w:rFonts w:ascii="Arial" w:cs="Arial" w:eastAsia="Arial" w:hAnsi="Arial"/>
                <w:sz w:val="18"/>
                <w:szCs w:val="18"/>
                <w:color w:val="auto"/>
              </w:rPr>
              <w:t>32.2**</w:t>
            </w:r>
          </w:p>
        </w:tc>
        <w:tc>
          <w:tcPr>
            <w:tcW w:w="9880" w:type="dxa"/>
            <w:vAlign w:val="bottom"/>
            <w:gridSpan w:val="5"/>
          </w:tcPr>
          <w:p>
            <w:pPr>
              <w:spacing w:after="0"/>
              <w:rPr>
                <w:sz w:val="20"/>
                <w:szCs w:val="20"/>
                <w:color w:val="auto"/>
              </w:rPr>
            </w:pPr>
            <w:r>
              <w:rPr>
                <w:rFonts w:ascii="Arial" w:cs="Arial" w:eastAsia="Arial" w:hAnsi="Arial"/>
                <w:sz w:val="18"/>
                <w:szCs w:val="18"/>
                <w:color w:val="0000FF"/>
              </w:rPr>
              <w:t>Certification of the Chief Financial Officer pursuant to Section 906 of the Sarbanes-Oxley Act of 2002</w:t>
            </w:r>
          </w:p>
        </w:tc>
      </w:tr>
      <w:tr>
        <w:trPr>
          <w:trHeight w:val="20"/>
        </w:trPr>
        <w:tc>
          <w:tcPr>
            <w:tcW w:w="1080" w:type="dxa"/>
            <w:vAlign w:val="bottom"/>
          </w:tcPr>
          <w:p>
            <w:pPr>
              <w:spacing w:after="0" w:line="20" w:lineRule="exact"/>
              <w:rPr>
                <w:sz w:val="1"/>
                <w:szCs w:val="1"/>
                <w:color w:val="auto"/>
              </w:rPr>
            </w:pPr>
          </w:p>
        </w:tc>
        <w:tc>
          <w:tcPr>
            <w:tcW w:w="7400" w:type="dxa"/>
            <w:vAlign w:val="bottom"/>
            <w:gridSpan w:val="2"/>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r>
      <w:tr>
        <w:trPr>
          <w:trHeight w:val="249"/>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7"/>
              </w:rPr>
              <w:t>101.INS*</w:t>
            </w:r>
          </w:p>
        </w:tc>
        <w:tc>
          <w:tcPr>
            <w:tcW w:w="9880" w:type="dxa"/>
            <w:vAlign w:val="bottom"/>
            <w:gridSpan w:val="5"/>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30"/>
        </w:trPr>
        <w:tc>
          <w:tcPr>
            <w:tcW w:w="108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4"/>
              </w:rPr>
              <w:t>101.SCH*</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5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8"/>
              </w:rPr>
              <w:t>101.CAL*</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4"/>
              </w:rPr>
              <w:t>101.DEF*</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9"/>
              </w:rPr>
              <w:t>101.LAB*</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6"/>
        </w:trPr>
        <w:tc>
          <w:tcPr>
            <w:tcW w:w="1080" w:type="dxa"/>
            <w:vAlign w:val="bottom"/>
          </w:tcPr>
          <w:p>
            <w:pPr>
              <w:jc w:val="center"/>
              <w:ind w:right="250"/>
              <w:spacing w:after="0"/>
              <w:rPr>
                <w:sz w:val="20"/>
                <w:szCs w:val="20"/>
                <w:color w:val="auto"/>
              </w:rPr>
            </w:pPr>
            <w:r>
              <w:rPr>
                <w:rFonts w:ascii="Arial" w:cs="Arial" w:eastAsia="Arial" w:hAnsi="Arial"/>
                <w:sz w:val="18"/>
                <w:szCs w:val="18"/>
                <w:color w:val="auto"/>
                <w:w w:val="93"/>
              </w:rPr>
              <w:t>101.PRE*</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7"/>
        </w:trPr>
        <w:tc>
          <w:tcPr>
            <w:tcW w:w="1080" w:type="dxa"/>
            <w:vAlign w:val="bottom"/>
          </w:tcPr>
          <w:p>
            <w:pPr>
              <w:jc w:val="center"/>
              <w:ind w:right="230"/>
              <w:spacing w:after="0"/>
              <w:rPr>
                <w:sz w:val="20"/>
                <w:szCs w:val="20"/>
                <w:color w:val="auto"/>
              </w:rPr>
            </w:pPr>
            <w:r>
              <w:rPr>
                <w:rFonts w:ascii="Arial" w:cs="Arial" w:eastAsia="Arial" w:hAnsi="Arial"/>
                <w:sz w:val="18"/>
                <w:szCs w:val="18"/>
                <w:color w:val="auto"/>
                <w:w w:val="97"/>
              </w:rPr>
              <w:t>104*</w:t>
            </w:r>
          </w:p>
        </w:tc>
        <w:tc>
          <w:tcPr>
            <w:tcW w:w="988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98" w:lineRule="exact"/>
        <w:rPr>
          <w:sz w:val="20"/>
          <w:szCs w:val="20"/>
          <w:color w:val="auto"/>
        </w:rPr>
      </w:pPr>
    </w:p>
    <w:p>
      <w:pPr>
        <w:ind w:left="420" w:hanging="250"/>
        <w:spacing w:after="0"/>
        <w:tabs>
          <w:tab w:leader="none" w:pos="42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Arial" w:cs="Arial" w:eastAsia="Arial" w:hAnsi="Arial"/>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9, 2023</w:t>
            </w:r>
          </w:p>
        </w:tc>
        <w:tc>
          <w:tcPr>
            <w:tcW w:w="2800" w:type="dxa"/>
            <w:vAlign w:val="bottom"/>
          </w:tcPr>
          <w:p>
            <w:pPr>
              <w:ind w:left="226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Naushaza “Bobby” Molu</w:t>
            </w:r>
          </w:p>
        </w:tc>
      </w:tr>
      <w:tr>
        <w:trPr>
          <w:trHeight w:val="222"/>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Naushaza “Bobby” Molu</w:t>
            </w:r>
          </w:p>
        </w:tc>
      </w:tr>
      <w:tr>
        <w:trPr>
          <w:trHeight w:val="229"/>
        </w:trPr>
        <w:tc>
          <w:tcPr>
            <w:tcW w:w="1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r>
        <w:trPr>
          <w:trHeight w:val="904"/>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0" w:type="dxa"/>
            <w:vAlign w:val="bottom"/>
          </w:tcPr>
          <w:p>
            <w:pPr>
              <w:jc w:val="right"/>
              <w:ind w:right="1010"/>
              <w:spacing w:after="0"/>
              <w:rPr>
                <w:sz w:val="20"/>
                <w:szCs w:val="20"/>
                <w:color w:val="auto"/>
              </w:rPr>
            </w:pPr>
            <w:r>
              <w:rPr>
                <w:rFonts w:ascii="Arial" w:cs="Arial" w:eastAsia="Arial" w:hAnsi="Arial"/>
                <w:sz w:val="18"/>
                <w:szCs w:val="18"/>
                <w:color w:val="auto"/>
              </w:rPr>
              <w:t>- 64 -</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9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100" w:hanging="398"/>
        <w:spacing w:after="0" w:line="286" w:lineRule="auto"/>
        <w:tabs>
          <w:tab w:leader="none" w:pos="153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60" w:hanging="398"/>
        <w:spacing w:after="0" w:line="263"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hanging="398"/>
        <w:spacing w:after="0" w:line="263"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9, 2023</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30"/>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Bobby Molu, certify that:</w:t>
      </w:r>
    </w:p>
    <w:p>
      <w:pPr>
        <w:spacing w:after="0" w:line="252" w:lineRule="exact"/>
        <w:rPr>
          <w:sz w:val="20"/>
          <w:szCs w:val="20"/>
          <w:color w:val="auto"/>
        </w:rPr>
      </w:pPr>
    </w:p>
    <w:p>
      <w:pPr>
        <w:ind w:left="900" w:hanging="40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Rackspace Technology, Inc.;</w:t>
      </w:r>
    </w:p>
    <w:p>
      <w:pPr>
        <w:spacing w:after="0" w:line="117" w:lineRule="exact"/>
        <w:rPr>
          <w:rFonts w:ascii="Arial" w:cs="Arial" w:eastAsia="Arial" w:hAnsi="Arial"/>
          <w:sz w:val="18"/>
          <w:szCs w:val="18"/>
          <w:color w:val="auto"/>
        </w:rPr>
      </w:pPr>
    </w:p>
    <w:p>
      <w:pPr>
        <w:jc w:val="both"/>
        <w:ind w:left="900" w:right="140" w:hanging="406"/>
        <w:spacing w:after="0" w:line="263"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right="100" w:hanging="406"/>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00" w:right="80" w:hanging="406"/>
        <w:spacing w:after="0" w:line="291"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100" w:hanging="398"/>
        <w:spacing w:after="0" w:line="286" w:lineRule="auto"/>
        <w:tabs>
          <w:tab w:leader="none" w:pos="153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60" w:hanging="398"/>
        <w:spacing w:after="0" w:line="263"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right="20" w:hanging="398"/>
        <w:spacing w:after="0" w:line="263" w:lineRule="auto"/>
        <w:tabs>
          <w:tab w:leader="none" w:pos="15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hanging="398"/>
        <w:spacing w:after="0" w:line="263"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00" w:right="40" w:hanging="406"/>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398"/>
        <w:spacing w:after="0" w:line="342" w:lineRule="auto"/>
        <w:tabs>
          <w:tab w:leader="none" w:pos="153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20" w:hanging="398"/>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9, 2023</w:t>
            </w:r>
          </w:p>
        </w:tc>
        <w:tc>
          <w:tcPr>
            <w:tcW w:w="2120" w:type="dxa"/>
            <w:vAlign w:val="bottom"/>
          </w:tcPr>
          <w:p>
            <w:pPr>
              <w:ind w:left="154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Naushaza “Bobby” Molu</w:t>
            </w:r>
          </w:p>
        </w:tc>
      </w:tr>
      <w:tr>
        <w:trPr>
          <w:trHeight w:val="222"/>
        </w:trPr>
        <w:tc>
          <w:tcPr>
            <w:tcW w:w="11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Naushaza “Bobby” Molu</w:t>
            </w:r>
          </w:p>
        </w:tc>
      </w:tr>
      <w:tr>
        <w:trPr>
          <w:trHeight w:val="230"/>
        </w:trPr>
        <w:tc>
          <w:tcPr>
            <w:tcW w:w="11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36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Amar Maletira, Chief Executive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9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2023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9, 2023</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Amar Maletira</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6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Bobby Molu, Executive Vice President and Chief Financial Officer of Rackspace Technology, Inc. (the “Company”), certify pursuant to Section 906 of the Sarbanes-Oxley Act of 2002, 18 U.S.C. Section 1350, that:</w:t>
      </w:r>
    </w:p>
    <w:p>
      <w:pPr>
        <w:spacing w:after="0" w:line="197" w:lineRule="exact"/>
        <w:rPr>
          <w:sz w:val="20"/>
          <w:szCs w:val="20"/>
          <w:color w:val="auto"/>
        </w:rPr>
      </w:pPr>
    </w:p>
    <w:p>
      <w:pPr>
        <w:ind w:left="660" w:right="9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2023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9, 2023</w:t>
            </w:r>
          </w:p>
        </w:tc>
        <w:tc>
          <w:tcPr>
            <w:tcW w:w="216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Naushaza “Bobby” Molu</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Naushaza “Bobby” Molu</w:t>
            </w:r>
          </w:p>
        </w:tc>
      </w:tr>
      <w:tr>
        <w:trPr>
          <w:trHeight w:val="229"/>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amp;"/>
      <w:numFmt w:val="bullet"/>
      <w:start w:val="1"/>
    </w:lvl>
  </w:abstractNum>
  <w:abstractNum w:abstractNumId="3">
    <w:nsid w:val="41A7C4C9"/>
    <w:multiLevelType w:val="hybridMultilevel"/>
    <w:lvl w:ilvl="0">
      <w:lvlJc w:val="left"/>
      <w:lvlText w:val="%1)"/>
      <w:numFmt w:val="decimal"/>
      <w:start w:val="848"/>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lvl w:ilvl="1">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lvl w:ilvl="1">
      <w:lvlJc w:val="left"/>
      <w:lvlText w:val="-"/>
      <w:numFmt w:val="bullet"/>
      <w:start w:val="1"/>
    </w:lvl>
  </w:abstractNum>
  <w:abstractNum w:abstractNumId="11">
    <w:nsid w:val="257130A3"/>
    <w:multiLevelType w:val="hybridMultilevel"/>
    <w:lvl w:ilvl="0">
      <w:lvlJc w:val="left"/>
      <w:lvlText w:val="(%1)"/>
      <w:numFmt w:val="lowerLetter"/>
      <w:start w:val="1"/>
    </w:lvl>
    <w:lvl w:ilvl="1">
      <w:lvlJc w:val="left"/>
      <w:lvlText w:val="-"/>
      <w:numFmt w:val="bullet"/>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lvl w:ilvl="1">
      <w:lvlJc w:val="left"/>
      <w:lvlText w:val="-"/>
      <w:numFmt w:val="bullet"/>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9"/>
    </w:lvl>
    <w:lvl w:ilvl="1">
      <w:lvlJc w:val="left"/>
      <w:lvlText w:val="-"/>
      <w:numFmt w:val="bullet"/>
      <w:start w:val="1"/>
    </w:lvl>
  </w:abstractNum>
  <w:abstractNum w:abstractNumId="19">
    <w:nsid w:val="6763845E"/>
    <w:multiLevelType w:val="hybridMultilevel"/>
    <w:lvl w:ilvl="0">
      <w:lvlJc w:val="left"/>
      <w:lvlText w:val="(%1)"/>
      <w:numFmt w:val="lowerLetter"/>
      <w:start w:val="1"/>
    </w:lvl>
    <w:lvl w:ilvl="1">
      <w:lvlJc w:val="left"/>
      <w:lvlText w:val="-"/>
      <w:numFmt w:val="bullet"/>
      <w:start w:val="1"/>
    </w:lvl>
  </w:abstractNum>
  <w:abstractNum w:abstractNumId="20">
    <w:nsid w:val="75A2A8D4"/>
    <w:multiLevelType w:val="hybridMultilevel"/>
    <w:lvl w:ilvl="0">
      <w:lvlJc w:val="left"/>
      <w:lvlText w:val="(%1)"/>
      <w:numFmt w:val="lowerRoman"/>
      <w:start w:val="4"/>
    </w:lvl>
    <w:lvl w:ilvl="1">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5" Type="http://schemas.openxmlformats.org/officeDocument/2006/relationships/hyperlink" Target="https://www.sec.gov/Archives/edgar/data/1810019/000181001923000151/a01pnc_rackspace-receiv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2023-11-09T15:34:08Z</dcterms:created>
  <dcterms:modified xsi:type="dcterms:W3CDTF">2023-11-09T15:34:08Z</dcterms:modified>
</cp:coreProperties>
</file>