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4"/>
        </w:rPr>
        <w:t>Date of Report (Date of earliest event reported):</w:t>
      </w:r>
      <w:r>
        <w:rPr>
          <w:color w:val="000000"/>
          <w:shd w:fill="FFFFFF" w:val="clear"/>
        </w:rPr>
        <w:t xml:space="preserve"> </w:t>
      </w:r>
      <w:r>
        <w:rPr>
          <w:rFonts w:ascii="Times New Roman;serif" w:hAnsi="Times New Roman;serif"/>
          <w:b/>
          <w:color w:val="000000"/>
          <w:sz w:val="24"/>
          <w:shd w:fill="FFFFFF" w:val="clear"/>
        </w:rPr>
        <w:t>August 10, 2026</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RACKSPACE TECHNOLOGY,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628" w:type="dxa"/>
        <w:jc w:val="center"/>
        <w:tblInd w:w="0" w:type="dxa"/>
        <w:tblLayout w:type="fixed"/>
        <w:tblCellMar>
          <w:top w:w="28" w:type="dxa"/>
          <w:left w:w="28" w:type="dxa"/>
          <w:bottom w:w="28" w:type="dxa"/>
          <w:right w:w="28" w:type="dxa"/>
        </w:tblCellMar>
      </w:tblPr>
      <w:tblGrid>
        <w:gridCol w:w="262"/>
        <w:gridCol w:w="230"/>
        <w:gridCol w:w="230"/>
        <w:gridCol w:w="230"/>
        <w:gridCol w:w="230"/>
        <w:gridCol w:w="230"/>
        <w:gridCol w:w="230"/>
        <w:gridCol w:w="230"/>
        <w:gridCol w:w="238"/>
        <w:gridCol w:w="792"/>
        <w:gridCol w:w="792"/>
        <w:gridCol w:w="800"/>
        <w:gridCol w:w="915"/>
        <w:gridCol w:w="915"/>
        <w:gridCol w:w="1304"/>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211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001-39420</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81-3369925</w:t>
            </w:r>
          </w:p>
        </w:tc>
      </w:tr>
      <w:tr>
        <w:trPr/>
        <w:tc>
          <w:tcPr>
            <w:tcW w:w="2110"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(State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19122 US Highway 281N, Suite 127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Antonio, Texas 78258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1-800-961-4454 </w:t>
      </w:r>
    </w:p>
    <w:p>
      <w:pPr>
        <w:pStyle w:val="TextBody"/>
        <w:bidi w:val="0"/>
        <w:spacing w:lineRule="auto" w:line="264"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638" w:type="dxa"/>
        <w:jc w:val="left"/>
        <w:tblInd w:w="0" w:type="dxa"/>
        <w:tblLayout w:type="fixed"/>
        <w:tblCellMar>
          <w:top w:w="28" w:type="dxa"/>
          <w:left w:w="28" w:type="dxa"/>
          <w:bottom w:w="28" w:type="dxa"/>
          <w:right w:w="28" w:type="dxa"/>
        </w:tblCellMar>
      </w:tblPr>
      <w:tblGrid>
        <w:gridCol w:w="1252"/>
        <w:gridCol w:w="1100"/>
        <w:gridCol w:w="1113"/>
        <w:gridCol w:w="109"/>
        <w:gridCol w:w="109"/>
        <w:gridCol w:w="109"/>
        <w:gridCol w:w="564"/>
        <w:gridCol w:w="564"/>
        <w:gridCol w:w="56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pPr>
      <w:r>
        <w:rPr/>
      </w:r>
    </w:p>
    <w:p>
      <w:pPr>
        <w:pStyle w:val="TextBody"/>
        <w:bidi w:val="0"/>
        <w:spacing w:lineRule="auto" w:line="288" w:before="0" w:after="0"/>
        <w:ind w:left="0" w:right="0" w:firstLine="720"/>
        <w:jc w:val="right"/>
        <w:rPr/>
      </w:pPr>
      <w:r>
        <w:rPr>
          <w:rFonts w:ascii="Times New Roman;serif" w:hAnsi="Times New Roman;serif"/>
          <w:b w:val="false"/>
          <w:color w:val="231F2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w:t>
      </w:r>
      <w:r>
        <w:rPr>
          <w:rFonts w:ascii="Times New Roman;serif" w:hAnsi="Times New Roman;serif"/>
          <w:b w:val="false"/>
          <w:color w:val="000000"/>
          <w:sz w:val="20"/>
          <w:shd w:fill="FFFFFF" w:val="clear"/>
        </w:rPr>
        <w:t>n August 10, 2026,</w:t>
      </w:r>
      <w:r>
        <w:rPr>
          <w:color w:val="000000"/>
        </w:rPr>
        <w:t xml:space="preserve"> </w:t>
      </w:r>
      <w:r>
        <w:rPr>
          <w:rFonts w:ascii="Times New Roman;serif" w:hAnsi="Times New Roman;serif"/>
          <w:b w:val="false"/>
          <w:color w:val="000000"/>
          <w:sz w:val="20"/>
        </w:rPr>
        <w:t>Rackspace Technology, Inc. issued a press release announcing its financial results for the fiscal quarter ended June 30, 2026. A copy of the press release is attached hereto as Exhibit 99.1 and incorporated by reference herein.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7053"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658"/>
        <w:gridCol w:w="1658"/>
        <w:gridCol w:w="1663"/>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w:anchor="rxt991_q22026.htm">
              <w:r>
                <w:rPr>
                  <w:rStyle w:val="InternetLink"/>
                  <w:rFonts w:ascii="Times New Roman;serif" w:hAnsi="Times New Roman;serif"/>
                  <w:b w:val="false"/>
                  <w:color w:val="0000FF"/>
                  <w:sz w:val="20"/>
                  <w:u w:val="single"/>
                </w:rPr>
                <w:t>Press Release dated August 10, 2026.</w:t>
              </w:r>
            </w:hyperlink>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ind w:left="0" w:right="0" w:firstLine="540"/>
        <w:jc w:val="left"/>
        <w:rPr/>
      </w:pPr>
      <w:r>
        <w:rPr/>
      </w:r>
    </w:p>
    <w:tbl>
      <w:tblPr>
        <w:tblW w:w="5798"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484"/>
        <w:gridCol w:w="484"/>
        <w:gridCol w:w="484"/>
        <w:gridCol w:w="589"/>
        <w:gridCol w:w="589"/>
        <w:gridCol w:w="8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TECHNOLOGY,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Rackspace Technology Reports Second Quarter 2026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Revenue of $670 million in the Second Quarter, up 1%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Private Cloud Revenue was $263 million, up 5%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Public Cloud Revenue was $407 million, down 2%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Second Quarter 2026 Cash Flow Used in Operating Activities was $32 million; Cash Flow From Operating Activities was $104 million on a Trailing-Twelve-Month Basis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SAN ANTONIO, August 10, 2026</w:t>
      </w:r>
      <w:r>
        <w:rPr>
          <w:color w:val="000000"/>
        </w:rPr>
        <w:t xml:space="preserve"> – </w:t>
      </w:r>
      <w:r>
        <w:rPr>
          <w:rFonts w:ascii="Times New Roman;serif" w:hAnsi="Times New Roman;serif"/>
          <w:b w:val="false"/>
          <w:color w:val="000000"/>
          <w:sz w:val="24"/>
        </w:rPr>
        <w:t xml:space="preserve">Rackspace Technology, Inc. (Nasdaq: RXT), a global enterprise AI infrastructure and solutions provider, today announced results for its second quarter ended June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Gajen Kandiah, Chief Executive Officer, stated, “Enterprises in regulated industries are moving AI from experimentation into production, and they are choosing partners who can be accountable for 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Mr. Kandiah added, “This quarter, we continued to expand work across our installed base and launched our Managed Compute and Inference Platform, backed by partners including AMD and Palantir. We remain focused on disciplined execution as we build the full enterprise AI stack our customers can trust.”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Second Quarter 2026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Revenue was $670 million in the second quarter of 2026, an increase of 0.6% on a reported basis and 0.4% on a constant currency </w:t>
      </w:r>
      <w:r>
        <w:rPr>
          <w:rFonts w:ascii="Times New Roman;serif" w:hAnsi="Times New Roman;serif"/>
          <w:b w:val="false"/>
          <w:color w:val="000000"/>
          <w:sz w:val="16"/>
          <w:shd w:fill="FFFFFF" w:val="clear"/>
        </w:rPr>
        <w:t>(1)</w:t>
      </w:r>
      <w:r>
        <w:rPr>
          <w:color w:val="000000"/>
        </w:rPr>
        <w:t xml:space="preserve"> </w:t>
      </w:r>
      <w:r>
        <w:rPr>
          <w:rFonts w:ascii="Times New Roman;serif" w:hAnsi="Times New Roman;serif"/>
          <w:b w:val="false"/>
          <w:color w:val="000000"/>
          <w:sz w:val="24"/>
        </w:rPr>
        <w:t xml:space="preserve">basis compared to revenue of $666 million in the second quarter of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Private Cloud revenue was $263 million in the second quarter of 2026, an increase of 5.5% on a reported basis and 5.2% on a constant currency basis compared to revenue of $250 million in the second quarter of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Public Cloud revenue was $407 million in the second quarter of 2026, a decrease of 2.3% on a reported basis and 2.5% on a constant currency basis compared to revenue of $417 million in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Loss from operations was $(33) million in the second quarter of 2026, compared to loss from operations of $(25) million in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Net loss was $(68) million in the second quarter of 2026, compared to net loss of $(55) million in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Net loss per diluted share was $(0.27) in the second quarter of 2026, compared to net loss per diluted share of $(0.23) in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Non-GAAP Operating Profit was $27 million in both the second quarter of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Non-GAAP Loss Per Share was $(0.08) in the second quarter of 2026, a decline of 33% compared to Non-GAAP Loss Per Share of $(0.06) in the second quarter of 2025.</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Capital expenditures were $28 million in the second quarter of 2026, compared to $31 million in the second quarter of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shd w:fill="FFFFFF" w:val="clear"/>
        </w:rPr>
        <w:t xml:space="preserve">As of June 30, 2026, we had cash and cash equivalents of $111 million and total liquidity of </w:t>
      </w:r>
      <w:r>
        <w:rPr>
          <w:rFonts w:ascii="Times New Roman;serif" w:hAnsi="Times New Roman;serif"/>
          <w:b w:val="false"/>
          <w:color w:val="000000"/>
          <w:sz w:val="24"/>
        </w:rPr>
        <w:t>$202 million</w:t>
      </w:r>
      <w:r>
        <w:rPr>
          <w:rFonts w:ascii="Times New Roman;serif" w:hAnsi="Times New Roman;serif"/>
          <w:b w:val="false"/>
          <w:color w:val="000000"/>
          <w:sz w:val="24"/>
          <w:shd w:fill="FFFFFF" w:val="clear"/>
        </w:rPr>
        <w:t>, including our Revolving Credit Facility.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Constant currency revenue and certain other measures in this release are non-GAAP financial measures. See “Non-GAAP Financial Measures” and the tables that accompany this release for definitions and reconciliations of these non-GAAP measures to the most comparable GAAP measures.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Financial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Rackspace Technology is providing guidance as follows:</w:t>
      </w:r>
    </w:p>
    <w:p>
      <w:pPr>
        <w:pStyle w:val="TextBody"/>
        <w:bidi w:val="0"/>
        <w:spacing w:before="0" w:after="0"/>
        <w:jc w:val="left"/>
        <w:rPr/>
      </w:pPr>
      <w:r>
        <w:rPr/>
      </w:r>
    </w:p>
    <w:tbl>
      <w:tblPr>
        <w:tblW w:w="6678" w:type="dxa"/>
        <w:jc w:val="left"/>
        <w:tblInd w:w="0" w:type="dxa"/>
        <w:tblLayout w:type="fixed"/>
        <w:tblCellMar>
          <w:top w:w="28" w:type="dxa"/>
          <w:left w:w="28" w:type="dxa"/>
          <w:bottom w:w="28" w:type="dxa"/>
          <w:right w:w="28" w:type="dxa"/>
        </w:tblCellMar>
      </w:tblPr>
      <w:tblGrid>
        <w:gridCol w:w="1514"/>
        <w:gridCol w:w="1330"/>
        <w:gridCol w:w="1341"/>
        <w:gridCol w:w="779"/>
        <w:gridCol w:w="779"/>
        <w:gridCol w:w="781"/>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FY 2026 Guidance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 Revenue</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$2,450 - $2,550 million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Private Cloud Revenue</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$1,000 - $1,050 million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Public Cloud Revenue</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$1,450 - $1,500 million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Operating Profit</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$125 - $135 million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4"/>
              </w:rPr>
            </w:pPr>
            <w:r>
              <w:rPr>
                <w:rFonts w:ascii="Times New Roman;serif" w:hAnsi="Times New Roman;serif"/>
                <w:b/>
                <w:color w:val="000000"/>
                <w:sz w:val="24"/>
              </w:rPr>
              <w:t>Adjusted EBITDA</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$285 - $295 million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Loss Per Share</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($0.25) - ($0.30)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Other Income (Expense)</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($220) – ($230) million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Tax Expense Rate</w:t>
            </w:r>
          </w:p>
        </w:tc>
        <w:tc>
          <w:tcPr>
            <w:tcW w:w="233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Non-GAAP Weighted Average Shares</w:t>
            </w:r>
            <w:r>
              <w:rPr>
                <w:rFonts w:ascii="Times New Roman;serif" w:hAnsi="Times New Roman;serif"/>
                <w:b/>
                <w:color w:val="000000"/>
                <w:sz w:val="16"/>
              </w:rPr>
              <w:t>(1)</w:t>
            </w:r>
          </w:p>
        </w:tc>
        <w:tc>
          <w:tcPr>
            <w:tcW w:w="233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250 - 260 million</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Non-GAAP Weighted Average Shares guidance excludes any dilution from the ATM program, as future issuance under the program will depend on prevailing share price and market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Information about Rackspace Technology’s use of non-GAAP financial measures is provided below under “Non-GAAP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Definitions of non-GAAP financial measures and the reconciliations to the most directly comparable measures in accordance with generally accepted accounting principles in the United States (“GAAP”) are provided in subsequent sections of this press release narrative and supplemental schedules. Rackspace Technology has not reconciled Non-GAAP Operating Profit, Adjusted EBITDA, Non-GAAP Loss Per Share, Non-GAAP Other Income (Expense) or Non-GAAP Tax Expense Rate guidance to the most directly comparable GAAP measure because it does not provide guidance on GAAP net income (loss) or the reconciling items between these Non-GAAP measures and GAAP net income (loss) as a result of the uncertainty regarding, and the potential variability of, certain of these items, such as share-based compensation expense. Accordingly, a reconciliation of the non-GAAP financial measure guidance to the corresponding GAAP measure is not available without unreasonable effort. With respect to Non-GAAP Operating Profit, Adjusted EBITDA, Non-GAAP Loss Per Share, Non-GAAP Other Income (Expense) and Non-GAAP Tax Expense Rate guidance, adjustments in future periods are generally expected to be similar to the kinds of charges and costs excluded from these Non-GAAP measures in prior periods, but the impact of such adjustments could be significant.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Conference Call and Webcast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Rackspace Technology will hold a conference call August 11, 2026, at 7:30am CT / 8:30am ET to discuss its second quarter 2026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Interested parties may access the conference call as follows: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To listen to the live webcast or access the replay following the webcast, please visit our IR website at the following link: </w:t>
      </w:r>
      <w:r>
        <w:rPr>
          <w:rFonts w:ascii="Times New Roman;serif" w:hAnsi="Times New Roman;serif"/>
          <w:b w:val="false"/>
          <w:color w:val="000000"/>
          <w:sz w:val="24"/>
          <w:u w:val="single"/>
        </w:rPr>
        <w:t>https://ir.rackspace.com/news-and-events/events-and-presentations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 obtain a dial-in number, please pre-register at the following link:</w: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https://register-conf.media-server.com/register/BIc05fae8f41a64ec2b985a0ae9e064237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Registrants will receive dial-in information and a PIN allowing them to access the live call.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Rackspace Technology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Rackspace Technology is the operator of the full enterprise AI stack from governed private cloud to AI inference and agents in production. With an Outcomes-as-a-Service model built on secure infrastructure, data foundations, and forward-deployed engineering, Rackspace delivers business results for regulated and mission-critical industries where governance, sovereignty, and uptime are non-negotiable.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Rackspace Technology has made statements in this press release and other reports, filings, and other public written and verbal announcements that are forward-looking and therefore subject to risks and uncertainties. All statements, other than statements of historical fact, included in this press release are, or could be, “forward-looking statements” within the meaning of the Private Securities Litigation Reform Act of 1995 and are made in reliance on the safe harbor protections provided thereunder. These forward-looking statements relate to anticipated financial performance, management’s plans and objectives for future operations, business prospects, outcome of regulatory proceedings, market conditions, and other matters. Any forward-looking statement made in this press release speaks only as of the date on which it is made. We undertake no obligation to publicly update or revise any forward-looking statement, whether as a result of new information, future developments or otherwise. Forward-looking statements can be identified by various words such as “expects,” “intends,” “will,” “anticipates,” “believes,” “confident,” “continue,” “propose,” “seeks,” “could,” “may,” “should,” “estimates,” “forecasts,” “might,” “goals,” “objectives,” “targets,” “planned,” “projects,” and similar expressions. These forward-looking statements are based on management’s current beliefs and assumptions and on information currently available to management. Rackspace Technology cautions that these statements are subject to risks and uncertainties, many of which are outside of our control, and could cause future events or results to be materially different from those stated or implied in this press release, including among others, risk factors that are described in Rackspace Technology, Inc.’s Annual Reports on Form 10-K, Quarterly Reports on Form 10-Q, Current Reports on Form 8-K, and other filings with the Securities and Exchange Commission, including the sections entitled “Risk Factors” and “Management’s Discussion and Analysis of Financial Condition and Results of Operations” contained therein.</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press release includes several non-GAAP financial measures such as constant currency revenue, Non-GAAP Gross Profit, Non-GAAP Net Income (Loss), Non-GAAP Operating Profit, Adjusted EBITDA and Non-GAAP Earnings (Loss) Per Share. These non-GAAP financial measures exclude the impact of certain costs, losses and gains that are required to be included in our profit and loss measures under GAAP. Although we believe these measures are useful to investors and analysts for the same reasons they are useful to management, as described in the accompanying pages, these measures are not a substitute for, or superior to, GAAP financial measures or disclosures. Other companies may calculate similarly-titled non-GAAP measures differently, limiting their usefulness as comparative measures. We have reconciled each of these non-GAAP measures to the applicable most comparable GAAP measure in the accompanying pages.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IR 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Sagar Hebbar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Rackspace Technology Investor Relations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ir@rackspace.com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Media 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Will Link</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Rackspace Technology Media Relations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rackspace@stantonpr.com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33"/>
        <w:gridCol w:w="710"/>
        <w:gridCol w:w="716"/>
        <w:gridCol w:w="196"/>
        <w:gridCol w:w="556"/>
        <w:gridCol w:w="109"/>
        <w:gridCol w:w="109"/>
        <w:gridCol w:w="109"/>
        <w:gridCol w:w="109"/>
        <w:gridCol w:w="278"/>
        <w:gridCol w:w="278"/>
        <w:gridCol w:w="537"/>
        <w:gridCol w:w="109"/>
        <w:gridCol w:w="109"/>
        <w:gridCol w:w="109"/>
        <w:gridCol w:w="196"/>
        <w:gridCol w:w="556"/>
        <w:gridCol w:w="109"/>
        <w:gridCol w:w="109"/>
        <w:gridCol w:w="109"/>
        <w:gridCol w:w="109"/>
        <w:gridCol w:w="278"/>
        <w:gridCol w:w="278"/>
        <w:gridCol w:w="537"/>
        <w:gridCol w:w="109"/>
        <w:gridCol w:w="109"/>
        <w:gridCol w:w="109"/>
        <w:gridCol w:w="239"/>
        <w:gridCol w:w="633"/>
        <w:gridCol w:w="132"/>
        <w:gridCol w:w="132"/>
        <w:gridCol w:w="132"/>
        <w:gridCol w:w="132"/>
        <w:gridCol w:w="277"/>
        <w:gridCol w:w="279"/>
        <w:gridCol w:w="574"/>
      </w:tblGrid>
      <w:tr>
        <w:trPr/>
        <w:tc>
          <w:tcPr>
            <w:tcW w:w="103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millions, except % and per share data)</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outstanding:</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79"/>
        <w:gridCol w:w="621"/>
        <w:gridCol w:w="626"/>
        <w:gridCol w:w="196"/>
        <w:gridCol w:w="691"/>
        <w:gridCol w:w="109"/>
        <w:gridCol w:w="109"/>
        <w:gridCol w:w="109"/>
        <w:gridCol w:w="109"/>
        <w:gridCol w:w="278"/>
        <w:gridCol w:w="278"/>
        <w:gridCol w:w="537"/>
        <w:gridCol w:w="109"/>
        <w:gridCol w:w="109"/>
        <w:gridCol w:w="109"/>
        <w:gridCol w:w="196"/>
        <w:gridCol w:w="691"/>
        <w:gridCol w:w="109"/>
        <w:gridCol w:w="109"/>
        <w:gridCol w:w="109"/>
        <w:gridCol w:w="109"/>
        <w:gridCol w:w="278"/>
        <w:gridCol w:w="278"/>
        <w:gridCol w:w="537"/>
        <w:gridCol w:w="109"/>
        <w:gridCol w:w="109"/>
        <w:gridCol w:w="109"/>
        <w:gridCol w:w="237"/>
        <w:gridCol w:w="563"/>
        <w:gridCol w:w="131"/>
        <w:gridCol w:w="131"/>
        <w:gridCol w:w="131"/>
        <w:gridCol w:w="131"/>
        <w:gridCol w:w="296"/>
        <w:gridCol w:w="300"/>
        <w:gridCol w:w="573"/>
      </w:tblGrid>
      <w:tr>
        <w:trPr/>
        <w:tc>
          <w:tcPr>
            <w:tcW w:w="97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 and per share data)</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5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outstanding:</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008"/>
        <w:gridCol w:w="2358"/>
        <w:gridCol w:w="2379"/>
        <w:gridCol w:w="214"/>
        <w:gridCol w:w="757"/>
        <w:gridCol w:w="119"/>
        <w:gridCol w:w="109"/>
        <w:gridCol w:w="109"/>
        <w:gridCol w:w="109"/>
        <w:gridCol w:w="196"/>
        <w:gridCol w:w="691"/>
        <w:gridCol w:w="156"/>
      </w:tblGrid>
      <w:tr>
        <w:trPr/>
        <w:tc>
          <w:tcPr>
            <w:tcW w:w="300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and accrued customer credits of $12.2 and $12.4, respectively</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interest </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766.7 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4,019.3 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per share: 5.0 shares authorized; no shares issued or outstanding</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 1,495.0 shares authorized; 248.4 and 254.8 shares issued; 245.3 and 251.7 shares outstanding, respectively</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(3,908.2)</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 3.1 shares held</w:t>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9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(1,219.5)</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(1,281.1)</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2,799.8 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tbl>
      <w:tblPr>
        <w:tblW w:w="8516" w:type="dxa"/>
        <w:jc w:val="left"/>
        <w:tblInd w:w="0" w:type="dxa"/>
        <w:tblLayout w:type="fixed"/>
        <w:tblCellMar>
          <w:top w:w="28" w:type="dxa"/>
          <w:left w:w="28" w:type="dxa"/>
          <w:bottom w:w="28" w:type="dxa"/>
          <w:right w:w="28" w:type="dxa"/>
        </w:tblCellMar>
      </w:tblPr>
      <w:tblGrid>
        <w:gridCol w:w="2262"/>
        <w:gridCol w:w="1985"/>
        <w:gridCol w:w="1993"/>
        <w:gridCol w:w="206"/>
        <w:gridCol w:w="663"/>
        <w:gridCol w:w="114"/>
        <w:gridCol w:w="114"/>
        <w:gridCol w:w="114"/>
        <w:gridCol w:w="114"/>
        <w:gridCol w:w="206"/>
        <w:gridCol w:w="584"/>
        <w:gridCol w:w="161"/>
      </w:tblGrid>
      <w:tr>
        <w:trPr/>
        <w:tc>
          <w:tcPr>
            <w:tcW w:w="2262"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in carrying amount of operating right-of-use assets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bad debts and accrued customer credits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debt discount and premium</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and liabilities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8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software</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plans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common stock withheld for employee taxes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under long-term debt arrangements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financing component of interest rate swap</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 liabilities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financing obligations</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cash equivalents, and restricted cash</w:t>
            </w:r>
          </w:p>
        </w:tc>
        <w:tc>
          <w:tcPr>
            <w:tcW w:w="86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239" w:type="dxa"/>
        <w:jc w:val="left"/>
        <w:tblInd w:w="0" w:type="dxa"/>
        <w:tblLayout w:type="fixed"/>
        <w:tblCellMar>
          <w:top w:w="28" w:type="dxa"/>
          <w:left w:w="28" w:type="dxa"/>
          <w:bottom w:w="28" w:type="dxa"/>
          <w:right w:w="28" w:type="dxa"/>
        </w:tblCellMar>
      </w:tblPr>
      <w:tblGrid>
        <w:gridCol w:w="1931"/>
        <w:gridCol w:w="1692"/>
        <w:gridCol w:w="1702"/>
        <w:gridCol w:w="196"/>
        <w:gridCol w:w="466"/>
        <w:gridCol w:w="109"/>
        <w:gridCol w:w="109"/>
        <w:gridCol w:w="109"/>
        <w:gridCol w:w="109"/>
        <w:gridCol w:w="196"/>
        <w:gridCol w:w="466"/>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interest, net of amount capitalized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income taxes, net of refunds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equipment and software by finance leases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equipment and software by financing obligations</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property, equipment and software accrued in liabilities</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activity</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purchases of property, equipment and software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SEGMENT DATA</w:t>
      </w:r>
    </w:p>
    <w:p>
      <w:pPr>
        <w:pStyle w:val="TextBody"/>
        <w:bidi w:val="0"/>
        <w:spacing w:before="0" w:after="0"/>
        <w:jc w:val="center"/>
        <w:rPr/>
      </w:pPr>
      <w:r>
        <w:rPr/>
      </w:r>
    </w:p>
    <w:p>
      <w:pPr>
        <w:pStyle w:val="TextBody"/>
        <w:bidi w:val="0"/>
        <w:spacing w:before="0" w:after="0"/>
        <w:jc w:val="center"/>
        <w:rPr/>
      </w:pPr>
      <w:r>
        <w:rPr/>
      </w:r>
    </w:p>
    <w:tbl>
      <w:tblPr>
        <w:tblW w:w="8076" w:type="dxa"/>
        <w:jc w:val="left"/>
        <w:tblInd w:w="0" w:type="dxa"/>
        <w:tblLayout w:type="fixed"/>
        <w:tblCellMar>
          <w:top w:w="28" w:type="dxa"/>
          <w:left w:w="28" w:type="dxa"/>
          <w:bottom w:w="28" w:type="dxa"/>
          <w:right w:w="28" w:type="dxa"/>
        </w:tblCellMar>
      </w:tblPr>
      <w:tblGrid>
        <w:gridCol w:w="728"/>
        <w:gridCol w:w="638"/>
        <w:gridCol w:w="644"/>
        <w:gridCol w:w="109"/>
        <w:gridCol w:w="109"/>
        <w:gridCol w:w="109"/>
        <w:gridCol w:w="233"/>
        <w:gridCol w:w="663"/>
        <w:gridCol w:w="130"/>
        <w:gridCol w:w="130"/>
        <w:gridCol w:w="130"/>
        <w:gridCol w:w="130"/>
        <w:gridCol w:w="233"/>
        <w:gridCol w:w="663"/>
        <w:gridCol w:w="130"/>
        <w:gridCol w:w="109"/>
        <w:gridCol w:w="109"/>
        <w:gridCol w:w="109"/>
        <w:gridCol w:w="224"/>
        <w:gridCol w:w="226"/>
        <w:gridCol w:w="334"/>
        <w:gridCol w:w="109"/>
        <w:gridCol w:w="109"/>
        <w:gridCol w:w="109"/>
        <w:gridCol w:w="390"/>
        <w:gridCol w:w="390"/>
        <w:gridCol w:w="1079"/>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Constant Currency</w:t>
            </w:r>
            <w:r>
              <w:rPr>
                <w:color w:val="000000"/>
              </w:rPr>
              <w:t xml:space="preserve"> </w:t>
            </w:r>
            <w:r>
              <w:rPr>
                <w:rFonts w:ascii="Times New Roman;serif" w:hAnsi="Times New Roman;serif"/>
                <w:b/>
                <w:color w:val="000000"/>
                <w:sz w:val="12"/>
              </w:rPr>
              <w:t>(a)</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670.1 </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tbl>
      <w:tblPr>
        <w:tblW w:w="7938" w:type="dxa"/>
        <w:jc w:val="left"/>
        <w:tblInd w:w="0" w:type="dxa"/>
        <w:tblLayout w:type="fixed"/>
        <w:tblCellMar>
          <w:top w:w="28" w:type="dxa"/>
          <w:left w:w="28" w:type="dxa"/>
          <w:bottom w:w="28" w:type="dxa"/>
          <w:right w:w="28" w:type="dxa"/>
        </w:tblCellMar>
      </w:tblPr>
      <w:tblGrid>
        <w:gridCol w:w="728"/>
        <w:gridCol w:w="638"/>
        <w:gridCol w:w="644"/>
        <w:gridCol w:w="109"/>
        <w:gridCol w:w="109"/>
        <w:gridCol w:w="109"/>
        <w:gridCol w:w="196"/>
        <w:gridCol w:w="691"/>
        <w:gridCol w:w="109"/>
        <w:gridCol w:w="109"/>
        <w:gridCol w:w="109"/>
        <w:gridCol w:w="109"/>
        <w:gridCol w:w="196"/>
        <w:gridCol w:w="691"/>
        <w:gridCol w:w="109"/>
        <w:gridCol w:w="109"/>
        <w:gridCol w:w="109"/>
        <w:gridCol w:w="109"/>
        <w:gridCol w:w="224"/>
        <w:gridCol w:w="226"/>
        <w:gridCol w:w="334"/>
        <w:gridCol w:w="109"/>
        <w:gridCol w:w="109"/>
        <w:gridCol w:w="109"/>
        <w:gridCol w:w="387"/>
        <w:gridCol w:w="387"/>
        <w:gridCol w:w="1070"/>
      </w:tblGrid>
      <w:tr>
        <w:trPr/>
        <w:tc>
          <w:tcPr>
            <w:tcW w:w="7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 by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Constant Currency </w:t>
            </w:r>
            <w:r>
              <w:rPr>
                <w:rFonts w:ascii="Times New Roman;serif" w:hAnsi="Times New Roman;serif"/>
                <w:b/>
                <w:color w:val="000000"/>
                <w:sz w:val="12"/>
              </w:rPr>
              <w:t>(a)</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7666" w:type="dxa"/>
        <w:jc w:val="left"/>
        <w:tblInd w:w="0" w:type="dxa"/>
        <w:tblLayout w:type="fixed"/>
        <w:tblCellMar>
          <w:top w:w="28" w:type="dxa"/>
          <w:left w:w="28" w:type="dxa"/>
          <w:bottom w:w="28" w:type="dxa"/>
          <w:right w:w="28" w:type="dxa"/>
        </w:tblCellMar>
      </w:tblPr>
      <w:tblGrid>
        <w:gridCol w:w="124"/>
        <w:gridCol w:w="109"/>
        <w:gridCol w:w="109"/>
        <w:gridCol w:w="2388"/>
        <w:gridCol w:w="2388"/>
        <w:gridCol w:w="239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7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 to "Non-GAAP Financial Measures" in this section for further explanation and reconciliation.</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0"/>
        <w:gridCol w:w="565"/>
        <w:gridCol w:w="570"/>
        <w:gridCol w:w="196"/>
        <w:gridCol w:w="466"/>
        <w:gridCol w:w="109"/>
        <w:gridCol w:w="109"/>
        <w:gridCol w:w="109"/>
        <w:gridCol w:w="109"/>
        <w:gridCol w:w="381"/>
        <w:gridCol w:w="339"/>
        <w:gridCol w:w="798"/>
        <w:gridCol w:w="109"/>
        <w:gridCol w:w="109"/>
        <w:gridCol w:w="109"/>
        <w:gridCol w:w="196"/>
        <w:gridCol w:w="466"/>
        <w:gridCol w:w="109"/>
        <w:gridCol w:w="109"/>
        <w:gridCol w:w="109"/>
        <w:gridCol w:w="109"/>
        <w:gridCol w:w="381"/>
        <w:gridCol w:w="339"/>
        <w:gridCol w:w="798"/>
        <w:gridCol w:w="109"/>
        <w:gridCol w:w="109"/>
        <w:gridCol w:w="109"/>
        <w:gridCol w:w="292"/>
        <w:gridCol w:w="511"/>
        <w:gridCol w:w="148"/>
        <w:gridCol w:w="148"/>
        <w:gridCol w:w="148"/>
        <w:gridCol w:w="148"/>
        <w:gridCol w:w="233"/>
        <w:gridCol w:w="233"/>
        <w:gridCol w:w="573"/>
      </w:tblGrid>
      <w:tr>
        <w:trPr/>
        <w:tc>
          <w:tcPr>
            <w:tcW w:w="75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26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Segment operating profit </w:t>
            </w:r>
            <w:r>
              <w:rPr>
                <w:rFonts w:ascii="Times New Roman;serif" w:hAnsi="Times New Roman;serif"/>
                <w:b/>
                <w:color w:val="000000"/>
                <w:sz w:val="12"/>
              </w:rPr>
              <w:t>(a)</w:t>
            </w:r>
            <w:r>
              <w:rPr>
                <w:rFonts w:ascii="Times New Roman;serif" w:hAnsi="Times New Roman;serif"/>
                <w:b/>
                <w:color w:val="000000"/>
                <w:sz w:val="18"/>
              </w:rPr>
              <w:t>:</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7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7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7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7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Corporate functions </w:t>
            </w:r>
            <w:r>
              <w:rPr>
                <w:rFonts w:ascii="Times New Roman;serif" w:hAnsi="Times New Roman;serif"/>
                <w:b w:val="false"/>
                <w:color w:val="000000"/>
                <w:sz w:val="12"/>
              </w:rPr>
              <w:t>(b)</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Non-GAAP Operating Profit </w:t>
            </w:r>
            <w:r>
              <w:rPr>
                <w:rFonts w:ascii="Times New Roman;serif" w:hAnsi="Times New Roman;serif"/>
                <w:b w:val="false"/>
                <w:color w:val="000000"/>
                <w:sz w:val="12"/>
              </w:rPr>
              <w:t>(c)</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50"/>
        <w:gridCol w:w="565"/>
        <w:gridCol w:w="570"/>
        <w:gridCol w:w="196"/>
        <w:gridCol w:w="466"/>
        <w:gridCol w:w="109"/>
        <w:gridCol w:w="109"/>
        <w:gridCol w:w="109"/>
        <w:gridCol w:w="109"/>
        <w:gridCol w:w="381"/>
        <w:gridCol w:w="339"/>
        <w:gridCol w:w="798"/>
        <w:gridCol w:w="109"/>
        <w:gridCol w:w="109"/>
        <w:gridCol w:w="109"/>
        <w:gridCol w:w="196"/>
        <w:gridCol w:w="466"/>
        <w:gridCol w:w="109"/>
        <w:gridCol w:w="109"/>
        <w:gridCol w:w="109"/>
        <w:gridCol w:w="109"/>
        <w:gridCol w:w="381"/>
        <w:gridCol w:w="339"/>
        <w:gridCol w:w="798"/>
        <w:gridCol w:w="109"/>
        <w:gridCol w:w="109"/>
        <w:gridCol w:w="109"/>
        <w:gridCol w:w="292"/>
        <w:gridCol w:w="511"/>
        <w:gridCol w:w="148"/>
        <w:gridCol w:w="148"/>
        <w:gridCol w:w="148"/>
        <w:gridCol w:w="148"/>
        <w:gridCol w:w="233"/>
        <w:gridCol w:w="233"/>
        <w:gridCol w:w="573"/>
      </w:tblGrid>
      <w:tr>
        <w:trPr/>
        <w:tc>
          <w:tcPr>
            <w:tcW w:w="75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26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Segment operating profit </w:t>
            </w:r>
            <w:r>
              <w:rPr>
                <w:rFonts w:ascii="Times New Roman;serif" w:hAnsi="Times New Roman;serif"/>
                <w:b/>
                <w:color w:val="000000"/>
                <w:sz w:val="12"/>
              </w:rPr>
              <w:t>(a)</w:t>
            </w:r>
            <w:r>
              <w:rPr>
                <w:rFonts w:ascii="Times New Roman;serif" w:hAnsi="Times New Roman;serif"/>
                <w:b/>
                <w:color w:val="000000"/>
                <w:sz w:val="18"/>
              </w:rPr>
              <w:t>:</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7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7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5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7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79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Corporate functions </w:t>
            </w:r>
            <w:r>
              <w:rPr>
                <w:rFonts w:ascii="Times New Roman;serif" w:hAnsi="Times New Roman;serif"/>
                <w:b w:val="false"/>
                <w:color w:val="000000"/>
                <w:sz w:val="12"/>
              </w:rPr>
              <w:t>(b)</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Non-GAAP Operating Profit </w:t>
            </w:r>
            <w:r>
              <w:rPr>
                <w:rFonts w:ascii="Times New Roman;serif" w:hAnsi="Times New Roman;serif"/>
                <w:b w:val="false"/>
                <w:color w:val="000000"/>
                <w:sz w:val="12"/>
              </w:rPr>
              <w:t>(c)</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5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43"/>
        <w:gridCol w:w="2855"/>
        <w:gridCol w:w="4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revenue less expenses directly attributable to running the respective segments’ business. These expenses exclude centralized corporate function costs.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that are not allocated to segments. These costs are related to centralized corporate functions that provide services to the segments in areas such as accounting, information technology, marketing, legal and human resources.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Refer to "Non-GAAP Financial Measures" in this section for further explanation and reconciliation.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Constant Currency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78"/>
        <w:gridCol w:w="331"/>
        <w:gridCol w:w="334"/>
        <w:gridCol w:w="109"/>
        <w:gridCol w:w="109"/>
        <w:gridCol w:w="109"/>
        <w:gridCol w:w="344"/>
        <w:gridCol w:w="977"/>
        <w:gridCol w:w="191"/>
        <w:gridCol w:w="109"/>
        <w:gridCol w:w="109"/>
        <w:gridCol w:w="109"/>
        <w:gridCol w:w="196"/>
        <w:gridCol w:w="556"/>
        <w:gridCol w:w="109"/>
        <w:gridCol w:w="109"/>
        <w:gridCol w:w="109"/>
        <w:gridCol w:w="109"/>
        <w:gridCol w:w="430"/>
        <w:gridCol w:w="860"/>
        <w:gridCol w:w="240"/>
        <w:gridCol w:w="109"/>
        <w:gridCol w:w="109"/>
        <w:gridCol w:w="109"/>
        <w:gridCol w:w="318"/>
        <w:gridCol w:w="903"/>
        <w:gridCol w:w="177"/>
        <w:gridCol w:w="109"/>
        <w:gridCol w:w="109"/>
        <w:gridCol w:w="109"/>
        <w:gridCol w:w="204"/>
        <w:gridCol w:w="205"/>
        <w:gridCol w:w="334"/>
        <w:gridCol w:w="109"/>
        <w:gridCol w:w="109"/>
        <w:gridCol w:w="109"/>
        <w:gridCol w:w="251"/>
        <w:gridCol w:w="238"/>
        <w:gridCol w:w="667"/>
      </w:tblGrid>
      <w:tr>
        <w:trPr/>
        <w:tc>
          <w:tcPr>
            <w:tcW w:w="3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Foreign Currency Translation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 in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6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64"/>
        <w:gridCol w:w="320"/>
        <w:gridCol w:w="322"/>
        <w:gridCol w:w="109"/>
        <w:gridCol w:w="109"/>
        <w:gridCol w:w="109"/>
        <w:gridCol w:w="289"/>
        <w:gridCol w:w="1021"/>
        <w:gridCol w:w="161"/>
        <w:gridCol w:w="109"/>
        <w:gridCol w:w="109"/>
        <w:gridCol w:w="109"/>
        <w:gridCol w:w="196"/>
        <w:gridCol w:w="691"/>
        <w:gridCol w:w="109"/>
        <w:gridCol w:w="109"/>
        <w:gridCol w:w="109"/>
        <w:gridCol w:w="109"/>
        <w:gridCol w:w="413"/>
        <w:gridCol w:w="826"/>
        <w:gridCol w:w="231"/>
        <w:gridCol w:w="109"/>
        <w:gridCol w:w="109"/>
        <w:gridCol w:w="109"/>
        <w:gridCol w:w="282"/>
        <w:gridCol w:w="994"/>
        <w:gridCol w:w="156"/>
        <w:gridCol w:w="109"/>
        <w:gridCol w:w="109"/>
        <w:gridCol w:w="109"/>
        <w:gridCol w:w="203"/>
        <w:gridCol w:w="204"/>
        <w:gridCol w:w="334"/>
        <w:gridCol w:w="109"/>
        <w:gridCol w:w="109"/>
        <w:gridCol w:w="109"/>
        <w:gridCol w:w="245"/>
        <w:gridCol w:w="232"/>
        <w:gridCol w:w="650"/>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Foreign Currency Translation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 in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832.2 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6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1,331.7 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1,340.7 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 of foreign currency is calculated by translating current period results using the average exchange rate from the prior comparative period.</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Non-GAAP Gross Profit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present Non-GAAP Gross Profit because we believe the measure is useful in analyzing trends in our underlying, recurring gross margins. We define Non-GAAP Gross Profit as gross profit, adjusted to exclude the impact of share-based compensation expense, purchase accounting-related effects, and certain business transformation-related costs.</w:t>
      </w:r>
    </w:p>
    <w:p>
      <w:pPr>
        <w:pStyle w:val="TextBody"/>
        <w:bidi w:val="0"/>
        <w:spacing w:before="0" w:after="0"/>
        <w:jc w:val="left"/>
        <w:rPr/>
      </w:pPr>
      <w:r>
        <w:rPr/>
      </w:r>
    </w:p>
    <w:tbl>
      <w:tblPr>
        <w:tblW w:w="8388" w:type="dxa"/>
        <w:jc w:val="left"/>
        <w:tblInd w:w="0" w:type="dxa"/>
        <w:tblLayout w:type="fixed"/>
        <w:tblCellMar>
          <w:top w:w="28" w:type="dxa"/>
          <w:left w:w="28" w:type="dxa"/>
          <w:bottom w:w="28" w:type="dxa"/>
          <w:right w:w="28" w:type="dxa"/>
        </w:tblCellMar>
      </w:tblPr>
      <w:tblGrid>
        <w:gridCol w:w="1212"/>
        <w:gridCol w:w="1061"/>
        <w:gridCol w:w="1071"/>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21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Purchase accounting impact on expense </w:t>
            </w:r>
            <w:r>
              <w:rPr>
                <w:rFonts w:ascii="Times New Roman;serif" w:hAnsi="Times New Roman;serif"/>
                <w:b w:val="false"/>
                <w:color w:val="000000"/>
                <w:sz w:val="12"/>
              </w:rPr>
              <w:t>(a)</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59"/>
        <w:gridCol w:w="2847"/>
        <w:gridCol w:w="4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for the impact of purchase accounting from the November 2016 merger on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Adjustment for the impact of business transformation and optimization activities, as well as associated severance, certain facility closure costs and lease termination expenses. Also includes payroll taxes associated with the exercise of stock options and vesting of restricted stock. </w:t>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Net Income (Loss), Non-GAAP Operating Profit and Adjusted EBITDA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Non-GAAP Net Income (Loss) as net income (loss) adjusted to exclude the impact of non-cash charges for share-based compensation, transaction-related costs and adjustments, restructuring and transformation charges, the amortization of acquired intangible assets, goodwill and asset impairment charges, the interest expense impact from the refinancing transactions announced in March 2024 (the "March 2024 Refinancing Transactions"), and certain other non-operating, non-recurring or non-core gains and losses, as well as the tax effects of these non-GAAP adjustments.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Non-GAAP Operating Profit as income (loss) from operations adjusted to exclude the impact of non-cash charges for share-based compensation, transaction-related costs and adjustments, restructuring and transformation charges, the amortization of acquired intangible assets, goodwill and asset impairment charges, and certain other non-operating, non-recurring or non-core gains and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Adjusted EBITDA as net income (loss) adjusted to exclude the impact of non-cash charges for share-based compensation, transaction-related costs and adjustments, restructuring and transformation charges, certain other non-operating, non-recurring or non-core gains and losses, interest expense, expenses for our Receivables Purchase Agreement, income taxes, depreciation and amortization, and goodwill and asset impairment charges.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These non-GAAP measures are not intended to imply that we would have generated higher income or avoided net losses if the November 2016 merger and the subsequent transactions and initiatives had not occurred. In the future we may incur expenses or charges such as those adde</w:t>
      </w:r>
      <w:r>
        <w:rPr>
          <w:rFonts w:ascii="Times New Roman;serif" w:hAnsi="Times New Roman;serif"/>
          <w:b w:val="false"/>
          <w:color w:val="000000"/>
          <w:sz w:val="20"/>
        </w:rPr>
        <w:t xml:space="preserve">d back to calculate Non-GAAP Net Income (Loss), </w:t>
      </w:r>
      <w:r>
        <w:rPr>
          <w:rFonts w:ascii="Times New Roman;serif" w:hAnsi="Times New Roman;serif"/>
          <w:b w:val="false"/>
          <w:color w:val="000000"/>
          <w:sz w:val="20"/>
          <w:shd w:fill="FFFFFF" w:val="clear"/>
        </w:rPr>
        <w:t>Non-GAAP Operating Profit or Adjusted EBITDA</w:t>
      </w:r>
      <w:r>
        <w:rPr>
          <w:rFonts w:ascii="Times New Roman;serif" w:hAnsi="Times New Roman;serif"/>
          <w:b w:val="false"/>
          <w:color w:val="000000"/>
          <w:sz w:val="20"/>
        </w:rPr>
        <w:t xml:space="preserve">. Our presentation of Non-GAAP Net Income (Loss), </w:t>
      </w:r>
      <w:r>
        <w:rPr>
          <w:rFonts w:ascii="Times New Roman;serif" w:hAnsi="Times New Roman;serif"/>
          <w:b w:val="false"/>
          <w:color w:val="000000"/>
          <w:sz w:val="20"/>
          <w:shd w:fill="FFFFFF" w:val="clear"/>
        </w:rPr>
        <w:t xml:space="preserve">Non-GAAP Operating Profit and Adjusted EBITDA </w:t>
      </w:r>
      <w:r>
        <w:rPr>
          <w:rFonts w:ascii="Times New Roman;serif" w:hAnsi="Times New Roman;serif"/>
          <w:b w:val="false"/>
          <w:color w:val="000000"/>
          <w:sz w:val="20"/>
        </w:rPr>
        <w:t>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 reconciliation to Non-GAAP Net Loss</w:t>
      </w:r>
    </w:p>
    <w:tbl>
      <w:tblPr>
        <w:tblW w:w="10205" w:type="dxa"/>
        <w:jc w:val="left"/>
        <w:tblInd w:w="0" w:type="dxa"/>
        <w:tblLayout w:type="fixed"/>
        <w:tblCellMar>
          <w:top w:w="28" w:type="dxa"/>
          <w:left w:w="28" w:type="dxa"/>
          <w:bottom w:w="28" w:type="dxa"/>
          <w:right w:w="28" w:type="dxa"/>
        </w:tblCellMar>
      </w:tblPr>
      <w:tblGrid>
        <w:gridCol w:w="1892"/>
        <w:gridCol w:w="1643"/>
        <w:gridCol w:w="1656"/>
        <w:gridCol w:w="235"/>
        <w:gridCol w:w="647"/>
        <w:gridCol w:w="130"/>
        <w:gridCol w:w="130"/>
        <w:gridCol w:w="130"/>
        <w:gridCol w:w="130"/>
        <w:gridCol w:w="235"/>
        <w:gridCol w:w="647"/>
        <w:gridCol w:w="130"/>
        <w:gridCol w:w="109"/>
        <w:gridCol w:w="109"/>
        <w:gridCol w:w="109"/>
        <w:gridCol w:w="206"/>
        <w:gridCol w:w="663"/>
        <w:gridCol w:w="114"/>
        <w:gridCol w:w="114"/>
        <w:gridCol w:w="114"/>
        <w:gridCol w:w="114"/>
        <w:gridCol w:w="206"/>
        <w:gridCol w:w="567"/>
        <w:gridCol w:w="175"/>
      </w:tblGrid>
      <w:tr>
        <w:trPr/>
        <w:tc>
          <w:tcPr>
            <w:tcW w:w="1892"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gain on divestiture and investments</w:t>
            </w:r>
            <w:r>
              <w:rPr>
                <w:color w:val="000000"/>
              </w:rPr>
              <w:t xml:space="preserve"> </w:t>
            </w:r>
            <w:r>
              <w:rPr>
                <w:rFonts w:ascii="Times New Roman;serif" w:hAnsi="Times New Roman;serif"/>
                <w:b w:val="false"/>
                <w:color w:val="000000"/>
                <w:sz w:val="12"/>
              </w:rPr>
              <w:t>(c)</w:t>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expense impact from the March 2024 Refinancing Transactions </w:t>
            </w:r>
            <w:r>
              <w:rPr>
                <w:rFonts w:ascii="Times New Roman;serif" w:hAnsi="Times New Roman;serif"/>
                <w:b w:val="false"/>
                <w:color w:val="000000"/>
                <w:sz w:val="12"/>
              </w:rPr>
              <w:t>(d)</w:t>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adjustments </w:t>
            </w:r>
            <w:r>
              <w:rPr>
                <w:rFonts w:ascii="Times New Roman;serif" w:hAnsi="Times New Roman;serif"/>
                <w:b w:val="false"/>
                <w:color w:val="000000"/>
                <w:sz w:val="12"/>
              </w:rPr>
              <w:t>(e)</w:t>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(f)</w:t>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effect of non-GAAP adjustments </w:t>
            </w:r>
            <w:r>
              <w:rPr>
                <w:rFonts w:ascii="Times New Roman;serif" w:hAnsi="Times New Roman;serif"/>
                <w:b w:val="false"/>
                <w:color w:val="000000"/>
                <w:sz w:val="12"/>
              </w:rPr>
              <w:t>(g)</w:t>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Loss</w:t>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Loss from operations reconciliation to Non-GAAP Operating Profit</w:t>
      </w:r>
    </w:p>
    <w:tbl>
      <w:tblPr>
        <w:tblW w:w="8392" w:type="dxa"/>
        <w:jc w:val="left"/>
        <w:tblInd w:w="0" w:type="dxa"/>
        <w:tblLayout w:type="fixed"/>
        <w:tblCellMar>
          <w:top w:w="28" w:type="dxa"/>
          <w:left w:w="28" w:type="dxa"/>
          <w:bottom w:w="28" w:type="dxa"/>
          <w:right w:w="28" w:type="dxa"/>
        </w:tblCellMar>
      </w:tblPr>
      <w:tblGrid>
        <w:gridCol w:w="1213"/>
        <w:gridCol w:w="1064"/>
        <w:gridCol w:w="1068"/>
        <w:gridCol w:w="237"/>
        <w:gridCol w:w="655"/>
        <w:gridCol w:w="132"/>
        <w:gridCol w:w="132"/>
        <w:gridCol w:w="132"/>
        <w:gridCol w:w="132"/>
        <w:gridCol w:w="237"/>
        <w:gridCol w:w="655"/>
        <w:gridCol w:w="132"/>
        <w:gridCol w:w="109"/>
        <w:gridCol w:w="109"/>
        <w:gridCol w:w="109"/>
        <w:gridCol w:w="216"/>
        <w:gridCol w:w="597"/>
        <w:gridCol w:w="120"/>
        <w:gridCol w:w="120"/>
        <w:gridCol w:w="120"/>
        <w:gridCol w:w="120"/>
        <w:gridCol w:w="216"/>
        <w:gridCol w:w="597"/>
        <w:gridCol w:w="170"/>
      </w:tblGrid>
      <w:tr>
        <w:trPr/>
        <w:tc>
          <w:tcPr>
            <w:tcW w:w="121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(f)</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 reconciliation to Adjusted EBITDA</w:t>
      </w:r>
    </w:p>
    <w:tbl>
      <w:tblPr>
        <w:tblW w:w="8391" w:type="dxa"/>
        <w:jc w:val="left"/>
        <w:tblInd w:w="0" w:type="dxa"/>
        <w:tblLayout w:type="fixed"/>
        <w:tblCellMar>
          <w:top w:w="28" w:type="dxa"/>
          <w:left w:w="28" w:type="dxa"/>
          <w:bottom w:w="28" w:type="dxa"/>
          <w:right w:w="28" w:type="dxa"/>
        </w:tblCellMar>
      </w:tblPr>
      <w:tblGrid>
        <w:gridCol w:w="1212"/>
        <w:gridCol w:w="1062"/>
        <w:gridCol w:w="1070"/>
        <w:gridCol w:w="237"/>
        <w:gridCol w:w="655"/>
        <w:gridCol w:w="132"/>
        <w:gridCol w:w="132"/>
        <w:gridCol w:w="132"/>
        <w:gridCol w:w="132"/>
        <w:gridCol w:w="237"/>
        <w:gridCol w:w="655"/>
        <w:gridCol w:w="132"/>
        <w:gridCol w:w="109"/>
        <w:gridCol w:w="109"/>
        <w:gridCol w:w="109"/>
        <w:gridCol w:w="206"/>
        <w:gridCol w:w="663"/>
        <w:gridCol w:w="114"/>
        <w:gridCol w:w="114"/>
        <w:gridCol w:w="114"/>
        <w:gridCol w:w="114"/>
        <w:gridCol w:w="206"/>
        <w:gridCol w:w="584"/>
        <w:gridCol w:w="161"/>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gain on divestiture and investments</w:t>
            </w:r>
            <w:r>
              <w:rPr>
                <w:color w:val="000000"/>
              </w:rPr>
              <w:t xml:space="preserve"> </w:t>
            </w:r>
            <w:r>
              <w:rPr>
                <w:rFonts w:ascii="Times New Roman;serif" w:hAnsi="Times New Roman;serif"/>
                <w:b w:val="false"/>
                <w:color w:val="000000"/>
                <w:sz w:val="12"/>
              </w:rPr>
              <w:t>(c)</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expense, net </w:t>
            </w:r>
            <w:r>
              <w:rPr>
                <w:rFonts w:ascii="Times New Roman;serif" w:hAnsi="Times New Roman;serif"/>
                <w:b w:val="false"/>
                <w:color w:val="000000"/>
                <w:sz w:val="12"/>
              </w:rPr>
              <w:t>(h)</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Depreciation and amortization </w:t>
            </w:r>
            <w:r>
              <w:rPr>
                <w:rFonts w:ascii="Times New Roman;serif" w:hAnsi="Times New Roman;serif"/>
                <w:b w:val="false"/>
                <w:color w:val="000000"/>
                <w:sz w:val="12"/>
              </w:rPr>
              <w:t>(i)</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979"/>
        <w:gridCol w:w="2845"/>
        <w:gridCol w:w="4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gains and losses on investment and from dispositions.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impact due to the accounting for contractual interest payments on debt instruments entered into as part of the March 2024 Refinancing Transactions, which reduced interest expense relative to contractual interest cost.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Primarily consists of foreign currency gains and losses.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November 2016 merger.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2025 and 2026 interim periods, we based it on an average of the 2024 and estimated 2025 tax rates and 2025 and estimated 2026 tax rates, respectively, recomputed to remove the tax effect of non-GAAP pre-tax adjustments and non-recurring tax adjustments, resulting in a structural non-GAAP tax rate of 26% for all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Primarily consists of foreign currency gains and losses and expense related to our Receivables Purchase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accelerated depreciation expense related to facility closures.</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Non-GAAP Earnings (Loss)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Management uses Non-GAAP Earnings (Loss) Per Share to evaluate the performance of our business on a comparable basis from period to period, including by adjusting for the impact of the issuance of shares. </w:t>
      </w:r>
    </w:p>
    <w:p>
      <w:pPr>
        <w:pStyle w:val="TextBody"/>
        <w:bidi w:val="0"/>
        <w:spacing w:before="0" w:after="0"/>
        <w:jc w:val="left"/>
        <w:rPr/>
      </w:pPr>
      <w:r>
        <w:rPr/>
      </w:r>
    </w:p>
    <w:tbl>
      <w:tblPr>
        <w:tblW w:w="9307" w:type="dxa"/>
        <w:jc w:val="left"/>
        <w:tblInd w:w="0" w:type="dxa"/>
        <w:tblLayout w:type="fixed"/>
        <w:tblCellMar>
          <w:top w:w="28" w:type="dxa"/>
          <w:left w:w="28" w:type="dxa"/>
          <w:bottom w:w="28" w:type="dxa"/>
          <w:right w:w="28" w:type="dxa"/>
        </w:tblCellMar>
      </w:tblPr>
      <w:tblGrid>
        <w:gridCol w:w="1542"/>
        <w:gridCol w:w="1353"/>
        <w:gridCol w:w="1364"/>
        <w:gridCol w:w="237"/>
        <w:gridCol w:w="655"/>
        <w:gridCol w:w="132"/>
        <w:gridCol w:w="132"/>
        <w:gridCol w:w="132"/>
        <w:gridCol w:w="132"/>
        <w:gridCol w:w="237"/>
        <w:gridCol w:w="655"/>
        <w:gridCol w:w="132"/>
        <w:gridCol w:w="109"/>
        <w:gridCol w:w="109"/>
        <w:gridCol w:w="109"/>
        <w:gridCol w:w="207"/>
        <w:gridCol w:w="668"/>
        <w:gridCol w:w="115"/>
        <w:gridCol w:w="115"/>
        <w:gridCol w:w="115"/>
        <w:gridCol w:w="115"/>
        <w:gridCol w:w="207"/>
        <w:gridCol w:w="572"/>
        <w:gridCol w:w="163"/>
      </w:tblGrid>
      <w:tr>
        <w:trPr/>
        <w:tc>
          <w:tcPr>
            <w:tcW w:w="15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Loss</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 Diluted</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Effect of dilutive securities </w:t>
            </w:r>
            <w:r>
              <w:rPr>
                <w:rFonts w:ascii="Times New Roman;serif" w:hAnsi="Times New Roman;serif"/>
                <w:b w:val="false"/>
                <w:color w:val="000000"/>
                <w:sz w:val="12"/>
              </w:rPr>
              <w:t>(a)</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weighted average number of shares - Diluted</w:t>
            </w:r>
          </w:p>
        </w:tc>
        <w:tc>
          <w:tcPr>
            <w:tcW w:w="8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 Diluted</w:t>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 share impacts of adjustments to net loss </w:t>
            </w:r>
            <w:r>
              <w:rPr>
                <w:rFonts w:ascii="Times New Roman;serif" w:hAnsi="Times New Roman;serif"/>
                <w:b w:val="false"/>
                <w:color w:val="000000"/>
                <w:sz w:val="12"/>
              </w:rPr>
              <w:t>(b)</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 share impacts of shares after adjustments to net loss </w:t>
            </w:r>
            <w:r>
              <w:rPr>
                <w:rFonts w:ascii="Times New Roman;serif" w:hAnsi="Times New Roman;serif"/>
                <w:b w:val="false"/>
                <w:color w:val="000000"/>
                <w:sz w:val="12"/>
              </w:rPr>
              <w:t>(a)</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Loss Per Share</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Potential common share equivalents consist of shares issuable upon the exercise of stock options, vesting of restricted stock units (including performance-based restricted stock units) or purchases under the Employee Stock Purchase Plan as well as contingent shares associated with our acquisition of Datapipe Parent, Inc. Certain of our potential common share equivalents are contingent on certain investment funds managed by affiliates of Apollo Global Management, Inc. achieving pre-established performance targets based on a multiple of their invested capital, which are included in the denominator for the entire period if such shares would be issuable as of the end of the reporting period assuming the end of the reporting period was the end of the contingency period.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Reflects the aggregate adjustments made to reconcile Non-GAAP Net Loss to our net loss, as noted in the above table, divided by the GAAP diluted number of shares outstanding for the relevant period.</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5248</Words>
  <Characters>29130</Characters>
  <CharactersWithSpaces>33452</CharactersWithSpaces>
  <Paragraphs>1337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