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Weston Michael Arlo</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060" w:type="dxa"/>
            <w:vAlign w:val="bottom"/>
            <w:tcBorders>
              <w:top w:val="single" w:sz="8" w:color="0000EE"/>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Rackspace Technology,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RXT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9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9 WEST 57TH STREET, 41ST</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FLOOR</w:t>
      </w:r>
    </w:p>
    <w:p>
      <w:pPr>
        <w:spacing w:after="0" w:line="37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NEW</w:t>
            </w:r>
          </w:p>
        </w:tc>
        <w:tc>
          <w:tcPr>
            <w:tcW w:w="90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NY</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10019</w:t>
            </w:r>
          </w:p>
        </w:tc>
        <w:tc>
          <w:tcPr>
            <w:tcW w:w="0" w:type="dxa"/>
            <w:vAlign w:val="bottom"/>
          </w:tcPr>
          <w:p>
            <w:pPr>
              <w:spacing w:after="0"/>
              <w:rPr>
                <w:sz w:val="1"/>
                <w:szCs w:val="1"/>
                <w:color w:val="auto"/>
              </w:rPr>
            </w:pPr>
          </w:p>
        </w:tc>
      </w:tr>
      <w:tr>
        <w:trPr>
          <w:trHeight w:val="134"/>
        </w:trPr>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YORK</w:t>
            </w:r>
          </w:p>
        </w:tc>
        <w:tc>
          <w:tcPr>
            <w:tcW w:w="90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9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right="320"/>
        <w:spacing w:after="0" w:line="237" w:lineRule="auto"/>
        <w:rPr>
          <w:sz w:val="20"/>
          <w:szCs w:val="20"/>
          <w:color w:val="auto"/>
        </w:rPr>
      </w:pPr>
      <w:r>
        <w:rPr>
          <w:rFonts w:ascii="Times New Roman" w:cs="Times New Roman" w:eastAsia="Times New Roman" w:hAnsi="Times New Roman"/>
          <w:sz w:val="15"/>
          <w:szCs w:val="15"/>
          <w:color w:val="008000"/>
        </w:rPr>
        <w:t>Michael Weston is associated with Apollo Management, L.P. ("Apollo Management") and its affiliated investment managers. This report does not include any securities of Rackspace Technology, Inc. (the "Issuer") that may be beneficially owned or held of record by Apollo Management or any of the investment managers or investment advisors affiliated with Apollo Management, or any entity directly or indirectly managed by Apollo Management or any of their respective affiliates. Mr. Weston disclaims beneficial ownership of all such securities, and this report shall not be deemed an admission that Mr. Weston is the beneficial owner of, or has any pecuniary interest in, such securities for purposes of Section 16 of the Securities Exchange Act of 1934, as amended, or for any other purpose.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8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w w:val="95"/>
              </w:rPr>
              <w:t>/s/ Sarah Alexander, by</w:t>
            </w: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power of attorney from</w:t>
            </w:r>
          </w:p>
        </w:tc>
        <w:tc>
          <w:tcPr>
            <w:tcW w:w="9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0000FF"/>
                <w:w w:val="96"/>
              </w:rPr>
              <w:t>06/25/2026</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800" w:type="dxa"/>
            <w:vAlign w:val="bottom"/>
            <w:tcBorders>
              <w:top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rPr>
              <w:t>Michael Weston</w:t>
            </w:r>
          </w:p>
        </w:tc>
        <w:tc>
          <w:tcPr>
            <w:tcW w:w="380" w:type="dxa"/>
            <w:vAlign w:val="bottom"/>
            <w:gridSpan w:val="2"/>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LIMITED POWER OF ATTORNEY</w:t>
      </w:r>
    </w:p>
    <w:p>
      <w:pPr>
        <w:spacing w:after="0" w:line="287" w:lineRule="exact"/>
        <w:rPr>
          <w:sz w:val="20"/>
          <w:szCs w:val="20"/>
          <w:color w:val="auto"/>
        </w:rPr>
      </w:pPr>
    </w:p>
    <w:p>
      <w:pPr>
        <w:ind w:firstLine="720"/>
        <w:spacing w:after="0" w:line="277" w:lineRule="auto"/>
        <w:rPr>
          <w:sz w:val="20"/>
          <w:szCs w:val="20"/>
          <w:color w:val="auto"/>
        </w:rPr>
      </w:pPr>
      <w:r>
        <w:rPr>
          <w:rFonts w:ascii="Times New Roman" w:cs="Times New Roman" w:eastAsia="Times New Roman" w:hAnsi="Times New Roman"/>
          <w:sz w:val="22"/>
          <w:szCs w:val="22"/>
          <w:color w:val="auto"/>
        </w:rPr>
        <w:t xml:space="preserve">Know all by these presents, that the undersigned hereby constitutes and appoints each of </w:t>
      </w:r>
      <w:r>
        <w:rPr>
          <w:rFonts w:ascii="Times New Roman" w:cs="Times New Roman" w:eastAsia="Times New Roman" w:hAnsi="Times New Roman"/>
          <w:sz w:val="22"/>
          <w:szCs w:val="22"/>
          <w:b w:val="1"/>
          <w:bCs w:val="1"/>
          <w:color w:val="auto"/>
        </w:rPr>
        <w:t>Sarah Beth Alexander</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Michael Bross</w:t>
      </w:r>
      <w:r>
        <w:rPr>
          <w:rFonts w:ascii="Times New Roman" w:cs="Times New Roman" w:eastAsia="Times New Roman" w:hAnsi="Times New Roman"/>
          <w:sz w:val="22"/>
          <w:szCs w:val="22"/>
          <w:color w:val="auto"/>
        </w:rPr>
        <w:t>, and each person serving from time to time in the capacity of:</w:t>
      </w:r>
    </w:p>
    <w:p>
      <w:pPr>
        <w:spacing w:after="0" w:line="215" w:lineRule="exact"/>
        <w:rPr>
          <w:sz w:val="20"/>
          <w:szCs w:val="20"/>
          <w:color w:val="auto"/>
        </w:rPr>
      </w:pPr>
    </w:p>
    <w:p>
      <w:pPr>
        <w:ind w:left="1140" w:hanging="420"/>
        <w:spacing w:after="0"/>
        <w:tabs>
          <w:tab w:leader="none" w:pos="11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Chief Legal Officer,</w:t>
      </w:r>
    </w:p>
    <w:p>
      <w:pPr>
        <w:spacing w:after="0" w:line="26" w:lineRule="exact"/>
        <w:rPr>
          <w:rFonts w:ascii="Times New Roman" w:cs="Times New Roman" w:eastAsia="Times New Roman" w:hAnsi="Times New Roman"/>
          <w:sz w:val="22"/>
          <w:szCs w:val="22"/>
          <w:color w:val="auto"/>
        </w:rPr>
      </w:pPr>
    </w:p>
    <w:p>
      <w:pPr>
        <w:ind w:left="1200" w:hanging="480"/>
        <w:spacing w:after="0"/>
        <w:tabs>
          <w:tab w:leader="none" w:pos="12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General Counsel,</w:t>
      </w:r>
    </w:p>
    <w:p>
      <w:pPr>
        <w:spacing w:after="0" w:line="9" w:lineRule="exact"/>
        <w:rPr>
          <w:rFonts w:ascii="Times New Roman" w:cs="Times New Roman" w:eastAsia="Times New Roman" w:hAnsi="Times New Roman"/>
          <w:sz w:val="22"/>
          <w:szCs w:val="22"/>
          <w:color w:val="auto"/>
        </w:rPr>
      </w:pPr>
    </w:p>
    <w:p>
      <w:pPr>
        <w:ind w:left="1280" w:hanging="560"/>
        <w:spacing w:after="0"/>
        <w:tabs>
          <w:tab w:leader="none" w:pos="12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Chief Financial Officer, and</w:t>
      </w:r>
    </w:p>
    <w:p>
      <w:pPr>
        <w:spacing w:after="0" w:line="17" w:lineRule="exact"/>
        <w:rPr>
          <w:rFonts w:ascii="Times New Roman" w:cs="Times New Roman" w:eastAsia="Times New Roman" w:hAnsi="Times New Roman"/>
          <w:sz w:val="22"/>
          <w:szCs w:val="22"/>
          <w:color w:val="auto"/>
        </w:rPr>
      </w:pPr>
    </w:p>
    <w:p>
      <w:pPr>
        <w:ind w:left="1260" w:hanging="540"/>
        <w:spacing w:after="0"/>
        <w:tabs>
          <w:tab w:leader="none" w:pos="12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Deputy General Counsel</w:t>
      </w:r>
    </w:p>
    <w:p>
      <w:pPr>
        <w:spacing w:after="0" w:line="25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2"/>
          <w:szCs w:val="22"/>
          <w:color w:val="auto"/>
        </w:rPr>
        <w:t>of Rackspace Technology, Inc., a Delaware corporation (the “Company”), each signing singly, as the undersigned’s true and lawful attorney-in-fact with full power of substitution and resubstitution, to:</w:t>
      </w:r>
    </w:p>
    <w:p>
      <w:pPr>
        <w:spacing w:after="0" w:line="190" w:lineRule="exact"/>
        <w:rPr>
          <w:sz w:val="20"/>
          <w:szCs w:val="20"/>
          <w:color w:val="auto"/>
        </w:rPr>
      </w:pPr>
    </w:p>
    <w:p>
      <w:pPr>
        <w:ind w:left="720" w:hanging="720"/>
        <w:spacing w:after="0" w:line="253" w:lineRule="auto"/>
        <w:tabs>
          <w:tab w:leader="none" w:pos="55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execute, deliver and file, for and on behalf of the undersigned, in the undersigned’s capacity as an officer, director or holder of 10% or more of the registered class of securities of the Company, (a) any Forms 3, 4 and 5 and any other forms or any amendments thereto (the "Section 16 Forms"), required to be filed in accordance with Section 16(a) of the Securities Exchange Act of 1934, as amended, and the rules and regulations thereunder as amended from time to time (the "Exchange Act"), (b) a Form ID and any other forms or applications, including applications for EDGAR access codes and passwords, required to be filed or submitted in accordance with the rules promulgated by the United States Securities and Exchange Commission (the "SEC") in order to file a Section 16 Form electronically and/or enroll in EdgarNEXT (a "Form ID"), and (c) any Forms 144 and any amendments thereto (the "Rule 144 Forms"), required to be filed in accordance with Rule 144 under the Securities Act of 1933, as amended, and the rules and regulations thereunder as amended from time to time (the "Securities Act") (the Section 16 Forms, Form ID, and Rule 144 Forms, collectively, the "Forms");</w:t>
      </w:r>
    </w:p>
    <w:p>
      <w:pPr>
        <w:spacing w:after="0" w:line="247" w:lineRule="exact"/>
        <w:rPr>
          <w:rFonts w:ascii="Times New Roman" w:cs="Times New Roman" w:eastAsia="Times New Roman" w:hAnsi="Times New Roman"/>
          <w:sz w:val="22"/>
          <w:szCs w:val="22"/>
          <w:color w:val="auto"/>
        </w:rPr>
      </w:pPr>
    </w:p>
    <w:p>
      <w:pPr>
        <w:ind w:left="720" w:hanging="720"/>
        <w:spacing w:after="0" w:line="264" w:lineRule="auto"/>
        <w:tabs>
          <w:tab w:leader="none" w:pos="519"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that may be necessary or desirable to complete and execute any such Forms and any amendments thereto, and the timely filing of such forms with the SEC and any stock exchange or similar authority;</w:t>
      </w:r>
    </w:p>
    <w:p>
      <w:pPr>
        <w:spacing w:after="0" w:line="230" w:lineRule="exact"/>
        <w:rPr>
          <w:rFonts w:ascii="Times New Roman" w:cs="Times New Roman" w:eastAsia="Times New Roman" w:hAnsi="Times New Roman"/>
          <w:sz w:val="22"/>
          <w:szCs w:val="22"/>
          <w:color w:val="auto"/>
        </w:rPr>
      </w:pPr>
    </w:p>
    <w:p>
      <w:pPr>
        <w:ind w:left="720" w:hanging="720"/>
        <w:spacing w:after="0" w:line="257" w:lineRule="auto"/>
        <w:tabs>
          <w:tab w:leader="none" w:pos="497"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foregoing attorneys-in-fact and approves and ratifies any such release of information; and</w:t>
      </w:r>
    </w:p>
    <w:p>
      <w:pPr>
        <w:spacing w:after="0" w:line="237" w:lineRule="exact"/>
        <w:rPr>
          <w:rFonts w:ascii="Times New Roman" w:cs="Times New Roman" w:eastAsia="Times New Roman" w:hAnsi="Times New Roman"/>
          <w:sz w:val="22"/>
          <w:szCs w:val="22"/>
          <w:color w:val="auto"/>
        </w:rPr>
      </w:pPr>
    </w:p>
    <w:p>
      <w:pPr>
        <w:ind w:left="720" w:hanging="720"/>
        <w:spacing w:after="0" w:line="256" w:lineRule="auto"/>
        <w:tabs>
          <w:tab w:leader="none" w:pos="497"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type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undersigned acknowledges and agrees that:</w:t>
      </w:r>
    </w:p>
    <w:p>
      <w:pPr>
        <w:spacing w:after="0" w:line="287" w:lineRule="exact"/>
        <w:rPr>
          <w:sz w:val="20"/>
          <w:szCs w:val="20"/>
          <w:color w:val="auto"/>
        </w:rPr>
      </w:pPr>
    </w:p>
    <w:p>
      <w:pPr>
        <w:ind w:left="720" w:hanging="720"/>
        <w:spacing w:after="0" w:line="273" w:lineRule="auto"/>
        <w:tabs>
          <w:tab w:leader="none" w:pos="4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Limited Power of Attorney authorizes, but does not require, such attorneys-in-fact to act in their discretion and to rely on written and oral information provided to such attorneys-in-fact by</w:t>
      </w:r>
    </w:p>
    <w:p>
      <w:pPr>
        <w:sectPr>
          <w:pgSz w:w="11900" w:h="16838" w:orient="portrait"/>
          <w:cols w:equalWidth="0" w:num="1">
            <w:col w:w="10940"/>
          </w:cols>
          <w:pgMar w:left="480" w:top="1440" w:right="479" w:bottom="1440" w:gutter="0" w:footer="0" w:header="0"/>
        </w:sectPr>
      </w:pPr>
    </w:p>
    <w:bookmarkStart w:id="2" w:name="page3"/>
    <w:bookmarkEnd w:id="2"/>
    <w:p>
      <w:pPr>
        <w:spacing w:after="0" w:line="11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the undersigned or its brokers or other agents without independent verification of such information;</w:t>
      </w:r>
    </w:p>
    <w:p>
      <w:pPr>
        <w:spacing w:after="0" w:line="287" w:lineRule="exact"/>
        <w:rPr>
          <w:sz w:val="20"/>
          <w:szCs w:val="20"/>
          <w:color w:val="auto"/>
        </w:rPr>
      </w:pPr>
    </w:p>
    <w:p>
      <w:pPr>
        <w:ind w:left="720" w:hanging="720"/>
        <w:spacing w:after="0" w:line="264" w:lineRule="auto"/>
        <w:tabs>
          <w:tab w:leader="none" w:pos="587"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documents prepared and/or executed by such attorneys-in-fact on behalf of the undersigned pursuant to this Limited Power of Attorney will be in such form and will contain such information and disclosure as such attorneys-in-fact, in their discretion, deem necessary or desirable;</w:t>
      </w:r>
    </w:p>
    <w:p>
      <w:pPr>
        <w:spacing w:after="0" w:line="215" w:lineRule="exact"/>
        <w:rPr>
          <w:rFonts w:ascii="Times New Roman" w:cs="Times New Roman" w:eastAsia="Times New Roman" w:hAnsi="Times New Roman"/>
          <w:sz w:val="22"/>
          <w:szCs w:val="22"/>
          <w:color w:val="auto"/>
        </w:rPr>
      </w:pPr>
    </w:p>
    <w:p>
      <w:pPr>
        <w:ind w:left="720" w:hanging="720"/>
        <w:spacing w:after="0" w:line="271" w:lineRule="auto"/>
        <w:tabs>
          <w:tab w:leader="none" w:pos="535"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attorneys-in-fact and the Company are not responsible for determining whether or not the transactions reported could be matched with any other transactions for the purpose of determining liability for short-swing profits under Section 16(b); and</w:t>
      </w:r>
    </w:p>
    <w:p>
      <w:pPr>
        <w:spacing w:after="0" w:line="208" w:lineRule="exact"/>
        <w:rPr>
          <w:rFonts w:ascii="Times New Roman" w:cs="Times New Roman" w:eastAsia="Times New Roman" w:hAnsi="Times New Roman"/>
          <w:sz w:val="22"/>
          <w:szCs w:val="22"/>
          <w:color w:val="auto"/>
        </w:rPr>
      </w:pPr>
    </w:p>
    <w:p>
      <w:pPr>
        <w:ind w:left="720" w:hanging="720"/>
        <w:spacing w:after="0" w:line="254" w:lineRule="auto"/>
        <w:tabs>
          <w:tab w:leader="none" w:pos="649"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Limited Power of Attorney does not relieve the undersigned from responsibility for compliance with the undersigned’s obligations under the Exchange Act or the Securities Act, including without limitation the reporting requirements under Section 16 of the Exchange Act and the filing requirements under Rule 144 under the Securities Act, and neither the Company nor such attorneys-in-fact assume (i) any liability for the undersigned’s responsibility to comply with the requirements of Section 13 or Section 16 of the Exchange Act or Rule 144, (ii) any liability of the undersigned for any failure to comply with such requirements, or (iii) any obligation or liability of the undersigned for profit disgorgement under Section 16(b) of the Exchange Act, or (iv) any liability of the undersigned for any failure to comply with the requirements of Rule 144 under the Securities Act.</w:t>
      </w:r>
    </w:p>
    <w:p>
      <w:pPr>
        <w:spacing w:after="0" w:line="2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color w:val="auto"/>
        </w:rPr>
        <w:t>The undersigned hereby gives and grants to the foregoing attorneys-in-fact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provided that any substitute attorney-in-fact appointed hereunder shall be an officer of the Company described in clauses (i) through (iv) above; hereby ratifying and confirming all that such attorney-in-fact, or such attorney-in-fact’s substitute or substitutes, shall lawfully do or cause to be done by virtue of this Limited Power of Attorney and the rights and powers herein granted.</w:t>
      </w:r>
    </w:p>
    <w:p>
      <w:pPr>
        <w:spacing w:after="0" w:line="2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242424"/>
        </w:rPr>
        <w:t>This Limited Power of Attorney shall remain in full force and effect until the undersigned is no longer required to file Forms with respect to the undersigned’s holdings of and transactions in securities issued by the Company, unless earlier revoked by the undersigned in a signed writing delivered to the foregoing attorneys-in-fact. The authority of any remaining attorney-in-fact hereunder shall not be affected by the death, incapacity, resignation, or removal of any other attorney-in-fact named herein.</w:t>
      </w:r>
    </w:p>
    <w:p>
      <w:pPr>
        <w:spacing w:after="0" w:line="241"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2"/>
          <w:szCs w:val="22"/>
          <w:color w:val="242424"/>
        </w:rPr>
        <w:t>From and after the date hereof, any Power of Attorney previously granted by the undersigned concerning the subject matter hereof is hereby revoked.</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2"/>
          <w:szCs w:val="22"/>
          <w:color w:val="242424"/>
        </w:rPr>
        <w:t>The undersigned understands and acknowledges that the Securities and Exchange Commission requires any electronic requests for a Form ID and/or passphrase be authenticated. The undersigned hereby confirms the authenticity of any such electronic request submitted for a Form ID and/or passphrase, or any update thereto, by any of the foregoing attorneys-in-fact on or after the date hereof.</w:t>
      </w:r>
    </w:p>
    <w:p>
      <w:pPr>
        <w:spacing w:after="0" w:line="23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2"/>
          <w:szCs w:val="22"/>
          <w:color w:val="242424"/>
        </w:rPr>
        <w:t>This Limited Power of Attorney may be filed with the SEC as a confirming statement of the authority granted herein. This Limited Power of Attorney shall be governed by and construed in accordance with</w:t>
      </w:r>
    </w:p>
    <w:p>
      <w:pPr>
        <w:sectPr>
          <w:pgSz w:w="11900" w:h="16838" w:orient="portrait"/>
          <w:cols w:equalWidth="0" w:num="1">
            <w:col w:w="10940"/>
          </w:cols>
          <w:pgMar w:left="480" w:top="1440" w:right="479" w:bottom="1440" w:gutter="0" w:footer="0" w:header="0"/>
        </w:sectPr>
      </w:pPr>
    </w:p>
    <w:bookmarkStart w:id="3" w:name="page4"/>
    <w:bookmarkEnd w:id="3"/>
    <w:p>
      <w:pPr>
        <w:spacing w:after="0" w:line="11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2"/>
          <w:szCs w:val="22"/>
          <w:color w:val="242424"/>
        </w:rPr>
        <w:t>the laws of the State of Delaware, without giving effect to any choice of law or conflict of law rules or provisions that would cause the application of the laws of any other jurisdiction.</w:t>
      </w:r>
    </w:p>
    <w:p>
      <w:pPr>
        <w:sectPr>
          <w:pgSz w:w="11900" w:h="16838" w:orient="portrait"/>
          <w:cols w:equalWidth="0" w:num="1">
            <w:col w:w="10940"/>
          </w:cols>
          <w:pgMar w:left="480" w:top="1440" w:right="479" w:bottom="1440" w:gutter="0" w:footer="0" w:header="0"/>
        </w:sectPr>
      </w:pPr>
    </w:p>
    <w:bookmarkStart w:id="4" w:name="page5"/>
    <w:bookmarkEnd w:id="4"/>
    <w:p>
      <w:pPr>
        <w:spacing w:after="0" w:line="116" w:lineRule="exact"/>
        <w:rPr>
          <w:sz w:val="20"/>
          <w:szCs w:val="20"/>
          <w:color w:val="auto"/>
        </w:rPr>
      </w:pPr>
    </w:p>
    <w:p>
      <w:pPr>
        <w:ind w:firstLine="720"/>
        <w:spacing w:after="0" w:line="287" w:lineRule="auto"/>
        <w:rPr>
          <w:sz w:val="20"/>
          <w:szCs w:val="20"/>
          <w:color w:val="auto"/>
        </w:rPr>
      </w:pPr>
      <w:r>
        <w:rPr>
          <w:rFonts w:ascii="Times New Roman" w:cs="Times New Roman" w:eastAsia="Times New Roman" w:hAnsi="Times New Roman"/>
          <w:sz w:val="22"/>
          <w:szCs w:val="22"/>
          <w:color w:val="auto"/>
        </w:rPr>
        <w:t>IN WITNESS WHEREOF, the undersigned has caused this Limited Power of Attorney to be executed as of this 24th day of June,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22"/>
          <w:szCs w:val="22"/>
          <w:color w:val="auto"/>
        </w:rPr>
        <w:t>/s/ Michael Weston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4002405</wp:posOffset>
            </wp:positionH>
            <wp:positionV relativeFrom="paragraph">
              <wp:posOffset>26670</wp:posOffset>
            </wp:positionV>
            <wp:extent cx="294449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944495" cy="9525"/>
                    </a:xfrm>
                    <a:prstGeom prst="rect">
                      <a:avLst/>
                    </a:prstGeom>
                    <a:noFill/>
                  </pic:spPr>
                </pic:pic>
              </a:graphicData>
            </a:graphic>
          </wp:anchor>
        </w:drawing>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22"/>
          <w:szCs w:val="22"/>
          <w:color w:val="auto"/>
        </w:rPr>
        <w:t>Name: Michael Weston</w:t>
      </w:r>
    </w:p>
    <w:sectPr>
      <w:pgSz w:w="11900" w:h="16838" w:orient="portrait"/>
      <w:cols w:equalWidth="0" w:num="1">
        <w:col w:w="10560"/>
      </w:cols>
      <w:pgMar w:left="480" w:top="1440"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lowerRoman"/>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2142356" TargetMode="External"/><Relationship Id="rId11" Type="http://schemas.openxmlformats.org/officeDocument/2006/relationships/hyperlink" Target="http://www.sec.gov/cgi-bin/browse-edgar?action=getcompany&amp;CIK=0001810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2026-06-26T18:44:48Z</dcterms:created>
  <dcterms:modified xsi:type="dcterms:W3CDTF">2026-06-26T18:44:48Z</dcterms:modified>
</cp:coreProperties>
</file>