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001-39420</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48"/>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drawing>
          <wp:inline distT="0" distB="0" distL="0" distR="0">
            <wp:extent cx="400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 cy="504825"/>
                    </a:xfrm>
                    <a:prstGeom prst="rect">
                      <a:avLst/>
                    </a:prstGeom>
                  </pic:spPr>
                </pic:pic>
              </a:graphicData>
            </a:graphic>
          </wp:inline>
        </w:drawing>
      </w:r>
    </w:p>
    <w:p>
      <w:pPr>
        <w:pStyle w:val="TextBody"/>
        <w:bidi w:val="0"/>
        <w:spacing w:before="0" w:after="0"/>
        <w:jc w:val="left"/>
        <w:rPr/>
      </w:pPr>
      <w:r>
        <w:rPr/>
      </w:r>
    </w:p>
    <w:tbl>
      <w:tblPr>
        <w:tblW w:w="8695" w:type="dxa"/>
        <w:jc w:val="left"/>
        <w:tblInd w:w="0" w:type="dxa"/>
        <w:tblLayout w:type="fixed"/>
        <w:tblCellMar>
          <w:top w:w="28" w:type="dxa"/>
          <w:left w:w="28" w:type="dxa"/>
          <w:bottom w:w="28" w:type="dxa"/>
          <w:right w:w="28" w:type="dxa"/>
        </w:tblCellMar>
      </w:tblPr>
      <w:tblGrid>
        <w:gridCol w:w="1892"/>
        <w:gridCol w:w="1663"/>
        <w:gridCol w:w="1679"/>
        <w:gridCol w:w="109"/>
        <w:gridCol w:w="109"/>
        <w:gridCol w:w="109"/>
        <w:gridCol w:w="915"/>
        <w:gridCol w:w="915"/>
        <w:gridCol w:w="1304"/>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81-3369925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19122 US Highway 281N, Suite 128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Antonio, Texas 78258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1-800-961-4454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4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On May 9, 2024</w:t>
      </w:r>
      <w:r>
        <w:rPr>
          <w:rFonts w:ascii="Times New Roman;sans-serif" w:hAnsi="Times New Roman;sans-serif"/>
          <w:b w:val="false"/>
          <w:color w:val="000000"/>
          <w:sz w:val="20"/>
          <w:shd w:fill="FFFFFF" w:val="clear"/>
        </w:rPr>
        <w:t>, 223,850,547 sh</w:t>
      </w:r>
      <w:r>
        <w:rPr>
          <w:rFonts w:ascii="Times New Roman;sans-serif" w:hAnsi="Times New Roman;sans-serif"/>
          <w:b w:val="false"/>
          <w:color w:val="000000"/>
          <w:sz w:val="20"/>
        </w:rPr>
        <w:t xml:space="preserve">ares of the registrant's common stock, par value $0.01 per share,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05"/>
        <w:gridCol w:w="355"/>
        <w:gridCol w:w="355"/>
        <w:gridCol w:w="2997"/>
        <w:gridCol w:w="2872"/>
        <w:gridCol w:w="2846"/>
        <w:gridCol w:w="109"/>
        <w:gridCol w:w="109"/>
        <w:gridCol w:w="157"/>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9">
              <w:r>
                <w:rPr>
                  <w:rStyle w:val="InternetLink"/>
                  <w:rFonts w:ascii="Times New Roman;sans-serif" w:hAnsi="Times New Roman;sans-serif"/>
                  <w:b w:val="false"/>
                  <w:color w:val="0000FF"/>
                  <w:sz w:val="20"/>
                  <w:u w:val="single"/>
                </w:rPr>
                <w:t>Unaudited Condensed Consolidated Balance Sheets as of December 31, 2023 and March 31,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9">
              <w:r>
                <w:rPr>
                  <w:rStyle w:val="InternetLink"/>
                  <w:rFonts w:ascii="Times New Roman;sans-serif" w:hAnsi="Times New Roman;sans-serif"/>
                  <w:b w:val="false"/>
                  <w:color w:val="0000FF"/>
                  <w:sz w:val="20"/>
                  <w:u w:val="single"/>
                </w:rPr>
                <w:t>3</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22">
              <w:r>
                <w:rPr>
                  <w:rStyle w:val="InternetLink"/>
                  <w:rFonts w:ascii="Times New Roman;sans-serif" w:hAnsi="Times New Roman;sans-serif"/>
                  <w:b w:val="false"/>
                  <w:color w:val="0000FF"/>
                  <w:sz w:val="20"/>
                  <w:u w:val="single"/>
                </w:rPr>
                <w:t>Unaudited Condensed Consolidated Statements of Comprehensive Loss for the Three Months Ended March 31, 2023 and March 31,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22">
              <w:r>
                <w:rPr>
                  <w:rStyle w:val="InternetLink"/>
                  <w:rFonts w:ascii="Times New Roman;sans-serif" w:hAnsi="Times New Roman;sans-serif"/>
                  <w:b w:val="false"/>
                  <w:color w:val="0000FF"/>
                  <w:sz w:val="20"/>
                  <w:u w:val="single"/>
                </w:rPr>
                <w:t>4</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25">
              <w:r>
                <w:rPr>
                  <w:rStyle w:val="InternetLink"/>
                  <w:rFonts w:ascii="Times New Roman;sans-serif" w:hAnsi="Times New Roman;sans-serif"/>
                  <w:b w:val="false"/>
                  <w:color w:val="0000FF"/>
                  <w:sz w:val="20"/>
                  <w:u w:val="single"/>
                </w:rPr>
                <w:t>Unaudited Condensed Consolidated Statements of Cash Flows for the Three Months Ended March 31, 2023 and March 31,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25">
              <w:r>
                <w:rPr>
                  <w:rStyle w:val="InternetLink"/>
                  <w:rFonts w:ascii="Times New Roman;sans-serif" w:hAnsi="Times New Roman;sans-serif"/>
                  <w:b w:val="false"/>
                  <w:color w:val="0000FF"/>
                  <w:sz w:val="20"/>
                  <w:u w:val="single"/>
                </w:rPr>
                <w:t>5</w:t>
              </w:r>
            </w:hyperlink>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28">
              <w:r>
                <w:rPr>
                  <w:rStyle w:val="InternetLink"/>
                  <w:rFonts w:ascii="Times New Roman;sans-serif" w:hAnsi="Times New Roman;sans-serif"/>
                  <w:b w:val="false"/>
                  <w:color w:val="0000FF"/>
                  <w:sz w:val="20"/>
                  <w:u w:val="single"/>
                </w:rPr>
                <w:t>Unaudited Condensed Consolidated Statements of Stockholders' Equity (Deficit) for the Three Months Ended March 31, 2023 and March 31,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28">
              <w:r>
                <w:rPr>
                  <w:rStyle w:val="InternetLink"/>
                  <w:rFonts w:ascii="Times New Roman;sans-serif" w:hAnsi="Times New Roman;sans-serif"/>
                  <w:b w:val="false"/>
                  <w:color w:val="0000FF"/>
                  <w:sz w:val="20"/>
                  <w:u w:val="single"/>
                </w:rPr>
                <w:t>7</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31">
              <w:r>
                <w:rPr>
                  <w:rStyle w:val="InternetLink"/>
                  <w:rFonts w:ascii="Times New Roman;sans-serif" w:hAnsi="Times New Roman;sans-serif"/>
                  <w:b w:val="false"/>
                  <w:color w:val="0000FF"/>
                  <w:sz w:val="20"/>
                  <w:u w:val="single"/>
                </w:rPr>
                <w:t>Notes to the Unaudited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31">
              <w:r>
                <w:rPr>
                  <w:rStyle w:val="InternetLink"/>
                  <w:rFonts w:ascii="Times New Roman;sans-serif" w:hAnsi="Times New Roman;sans-serif"/>
                  <w:b w:val="false"/>
                  <w:color w:val="0000FF"/>
                  <w:sz w:val="20"/>
                  <w:u w:val="single"/>
                </w:rPr>
                <w:t>8</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79">
              <w:r>
                <w:rPr>
                  <w:rStyle w:val="InternetLink"/>
                  <w:rFonts w:ascii="Times New Roman;sans-serif" w:hAnsi="Times New Roman;sans-serif"/>
                  <w:b w:val="false"/>
                  <w:color w:val="0000FF"/>
                  <w:sz w:val="20"/>
                  <w:u w:val="single"/>
                </w:rPr>
                <w:t>34</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06">
              <w:r>
                <w:rPr>
                  <w:rStyle w:val="InternetLink"/>
                  <w:rFonts w:ascii="Times New Roman;sans-serif" w:hAnsi="Times New Roman;sans-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06">
              <w:r>
                <w:rPr>
                  <w:rStyle w:val="InternetLink"/>
                  <w:rFonts w:ascii="Times New Roman;sans-serif" w:hAnsi="Times New Roman;sans-serif"/>
                  <w:b w:val="false"/>
                  <w:color w:val="0000FF"/>
                  <w:sz w:val="20"/>
                  <w:u w:val="single"/>
                </w:rPr>
                <w:t>57</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09">
              <w:r>
                <w:rPr>
                  <w:rStyle w:val="InternetLink"/>
                  <w:rFonts w:ascii="Times New Roman;sans-serif" w:hAnsi="Times New Roman;sans-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09">
              <w:r>
                <w:rPr>
                  <w:rStyle w:val="InternetLink"/>
                  <w:rFonts w:ascii="Times New Roman;sans-serif" w:hAnsi="Times New Roman;sans-serif"/>
                  <w:b w:val="false"/>
                  <w:color w:val="0000FF"/>
                  <w:sz w:val="20"/>
                  <w:u w:val="single"/>
                </w:rPr>
                <w:t>58</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15">
              <w:r>
                <w:rPr>
                  <w:rStyle w:val="InternetLink"/>
                  <w:rFonts w:ascii="Times New Roman;sans-serif" w:hAnsi="Times New Roman;sans-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15">
              <w:r>
                <w:rPr>
                  <w:rStyle w:val="InternetLink"/>
                  <w:rFonts w:ascii="Times New Roman;sans-serif" w:hAnsi="Times New Roman;sans-serif"/>
                  <w:b w:val="false"/>
                  <w:color w:val="0000FF"/>
                  <w:sz w:val="20"/>
                  <w:u w:val="single"/>
                </w:rPr>
                <w:t>59</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18">
              <w:r>
                <w:rPr>
                  <w:rStyle w:val="InternetLink"/>
                  <w:rFonts w:ascii="Times New Roman;sans-serif" w:hAnsi="Times New Roman;sans-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18">
              <w:r>
                <w:rPr>
                  <w:rStyle w:val="InternetLink"/>
                  <w:rFonts w:ascii="Times New Roman;sans-serif" w:hAnsi="Times New Roman;sans-serif"/>
                  <w:b w:val="false"/>
                  <w:color w:val="0000FF"/>
                  <w:sz w:val="20"/>
                  <w:u w:val="single"/>
                </w:rPr>
                <w:t>59</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21">
              <w:r>
                <w:rPr>
                  <w:rStyle w:val="InternetLink"/>
                  <w:rFonts w:ascii="Times New Roman;sans-serif" w:hAnsi="Times New Roman;sans-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21">
              <w:r>
                <w:rPr>
                  <w:rStyle w:val="InternetLink"/>
                  <w:rFonts w:ascii="Times New Roman;sans-serif" w:hAnsi="Times New Roman;sans-serif"/>
                  <w:b w:val="false"/>
                  <w:color w:val="0000FF"/>
                  <w:sz w:val="20"/>
                  <w:u w:val="single"/>
                </w:rPr>
                <w:t>59</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24">
              <w:r>
                <w:rPr>
                  <w:rStyle w:val="InternetLink"/>
                  <w:rFonts w:ascii="Times New Roman;sans-serif" w:hAnsi="Times New Roman;sans-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24">
              <w:r>
                <w:rPr>
                  <w:rStyle w:val="InternetLink"/>
                  <w:rFonts w:ascii="Times New Roman;sans-serif" w:hAnsi="Times New Roman;sans-serif"/>
                  <w:b w:val="false"/>
                  <w:color w:val="0000FF"/>
                  <w:sz w:val="20"/>
                  <w:u w:val="single"/>
                </w:rPr>
                <w:t>59</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4. </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27">
              <w:r>
                <w:rPr>
                  <w:rStyle w:val="InternetLink"/>
                  <w:rFonts w:ascii="Times New Roman;sans-serif" w:hAnsi="Times New Roman;sans-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27">
              <w:r>
                <w:rPr>
                  <w:rStyle w:val="InternetLink"/>
                  <w:rFonts w:ascii="Times New Roman;sans-serif" w:hAnsi="Times New Roman;sans-serif"/>
                  <w:b w:val="false"/>
                  <w:color w:val="0000FF"/>
                  <w:sz w:val="20"/>
                  <w:u w:val="single"/>
                </w:rPr>
                <w:t>59</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30">
              <w:r>
                <w:rPr>
                  <w:rStyle w:val="InternetLink"/>
                  <w:rFonts w:ascii="Times New Roman;sans-serif" w:hAnsi="Times New Roman;sans-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30">
              <w:r>
                <w:rPr>
                  <w:rStyle w:val="InternetLink"/>
                  <w:rFonts w:ascii="Times New Roman;sans-serif" w:hAnsi="Times New Roman;sans-serif"/>
                  <w:b w:val="false"/>
                  <w:color w:val="0000FF"/>
                  <w:sz w:val="20"/>
                  <w:u w:val="single"/>
                </w:rPr>
                <w:t>59</w:t>
              </w:r>
            </w:hyperlink>
          </w:p>
        </w:tc>
      </w:tr>
      <w:tr>
        <w:trPr/>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36">
              <w:r>
                <w:rPr>
                  <w:rStyle w:val="InternetLink"/>
                  <w:rFonts w:ascii="Times New Roman;sans-serif" w:hAnsi="Times New Roman;sans-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36">
              <w:r>
                <w:rPr>
                  <w:rStyle w:val="InternetLink"/>
                  <w:rFonts w:ascii="Times New Roman;sans-serif" w:hAnsi="Times New Roman;sans-serif"/>
                  <w:b w:val="false"/>
                  <w:color w:val="0000FF"/>
                  <w:sz w:val="20"/>
                  <w:u w:val="single"/>
                </w:rPr>
                <w:t>60</w:t>
              </w:r>
            </w:hyperlink>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080971d349449b90d5c08326eaad02_139">
              <w:r>
                <w:rPr>
                  <w:rStyle w:val="InternetLink"/>
                  <w:rFonts w:ascii="Times New Roman;sans-serif" w:hAnsi="Times New Roman;sans-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80971d349449b90d5c08326eaad02_139">
              <w:r>
                <w:rPr>
                  <w:rStyle w:val="InternetLink"/>
                  <w:rFonts w:ascii="Times New Roman;sans-serif" w:hAnsi="Times New Roman;sans-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for the quarterly period ended March 31, 2024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2023.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TRADEMARKS, TRADE NAMES AND SERVICE MARKS</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ans-serif" w:hAnsi="Times New Roman;sans-serif"/>
          <w:b w:val="false"/>
          <w:i/>
          <w:color w:val="000000"/>
          <w:sz w:val="20"/>
        </w:rPr>
        <w:t>"Rackspace," "Rackspace Technology," "Fanatical," "Fanatical Experience," "Rackspace Fabric," "Rackspace Data Freedom," "Rackspace Services for VMware Cloud</w:t>
      </w:r>
      <w:r>
        <w:rPr>
          <w:rFonts w:ascii="Times New Roman;sans-serif" w:hAnsi="Times New Roman;sans-serif"/>
          <w:b w:val="false"/>
          <w:i/>
          <w:color w:val="000000"/>
          <w:sz w:val="13"/>
        </w:rPr>
        <w:t>TM</w:t>
      </w:r>
      <w:r>
        <w:rPr>
          <w:rFonts w:ascii="Times New Roman;sans-serif" w:hAnsi="Times New Roman;sans-serif"/>
          <w:b w:val="false"/>
          <w:i/>
          <w:color w:val="000000"/>
          <w:sz w:val="20"/>
        </w:rPr>
        <w:t>" and "My Rackspace" are registered or unregistered trademarks of Rackspace US, Inc. in the United States and/or other countries. OpenStack</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08"/>
        <w:gridCol w:w="2358"/>
        <w:gridCol w:w="2379"/>
        <w:gridCol w:w="214"/>
        <w:gridCol w:w="757"/>
        <w:gridCol w:w="119"/>
        <w:gridCol w:w="109"/>
        <w:gridCol w:w="109"/>
        <w:gridCol w:w="109"/>
        <w:gridCol w:w="196"/>
        <w:gridCol w:w="691"/>
        <w:gridCol w:w="156"/>
      </w:tblGrid>
      <w:tr>
        <w:trPr/>
        <w:tc>
          <w:tcPr>
            <w:tcW w:w="300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and accrued customer credits of $20.1 and $20.3,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interest </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8)</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per share: 5.0 shares authorized; no shares issued or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 1,495.0 shares authorized; 220.5 and 226.6 shares issued; 217.4 and 223.5 shares outstanding,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3.1 shares held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color w:val="000000"/>
        </w:rPr>
      </w:pPr>
      <w:r>
        <w:rPr>
          <w:color w:val="000000"/>
        </w:rPr>
        <w:t xml:space="preserve">  </w:t>
      </w:r>
    </w:p>
    <w:tbl>
      <w:tblPr>
        <w:tblW w:w="9251" w:type="dxa"/>
        <w:jc w:val="left"/>
        <w:tblInd w:w="0" w:type="dxa"/>
        <w:tblLayout w:type="fixed"/>
        <w:tblCellMar>
          <w:top w:w="28" w:type="dxa"/>
          <w:left w:w="28" w:type="dxa"/>
          <w:bottom w:w="28" w:type="dxa"/>
          <w:right w:w="28" w:type="dxa"/>
        </w:tblCellMar>
      </w:tblPr>
      <w:tblGrid>
        <w:gridCol w:w="2243"/>
        <w:gridCol w:w="1968"/>
        <w:gridCol w:w="1984"/>
        <w:gridCol w:w="230"/>
        <w:gridCol w:w="740"/>
        <w:gridCol w:w="127"/>
        <w:gridCol w:w="127"/>
        <w:gridCol w:w="127"/>
        <w:gridCol w:w="127"/>
        <w:gridCol w:w="230"/>
        <w:gridCol w:w="740"/>
        <w:gridCol w:w="127"/>
        <w:gridCol w:w="109"/>
        <w:gridCol w:w="109"/>
        <w:gridCol w:w="109"/>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investments,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on debt extinguishment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contracts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reclassified from accumulated other comprehensive income (loss) to earnings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outstanding:</w:t>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02" w:type="dxa"/>
        <w:jc w:val="center"/>
        <w:tblInd w:w="0" w:type="dxa"/>
        <w:tblLayout w:type="fixed"/>
        <w:tblCellMar>
          <w:top w:w="28" w:type="dxa"/>
          <w:left w:w="28" w:type="dxa"/>
          <w:bottom w:w="28" w:type="dxa"/>
          <w:right w:w="28" w:type="dxa"/>
        </w:tblCellMar>
      </w:tblPr>
      <w:tblGrid>
        <w:gridCol w:w="2023"/>
        <w:gridCol w:w="1775"/>
        <w:gridCol w:w="1782"/>
        <w:gridCol w:w="229"/>
        <w:gridCol w:w="738"/>
        <w:gridCol w:w="127"/>
        <w:gridCol w:w="127"/>
        <w:gridCol w:w="127"/>
        <w:gridCol w:w="127"/>
        <w:gridCol w:w="229"/>
        <w:gridCol w:w="738"/>
        <w:gridCol w:w="180"/>
      </w:tblGrid>
      <w:tr>
        <w:trPr/>
        <w:tc>
          <w:tcPr>
            <w:tcW w:w="202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on debt extinguishment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 contracts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investments,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 and accrued customer credits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debt discount and premium</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fees paid in connection with the Refinancing Transactions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current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equipment and software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headquarters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withheld for employee taxes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long-term debt arrangements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extinguishment costs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financing component of interest rate swap</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finance lease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financing obligations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cash equivalents, and restricted cash</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tbl>
      <w:tblPr>
        <w:tblW w:w="6729" w:type="dxa"/>
        <w:jc w:val="center"/>
        <w:tblInd w:w="0" w:type="dxa"/>
        <w:tblLayout w:type="fixed"/>
        <w:tblCellMar>
          <w:top w:w="28" w:type="dxa"/>
          <w:left w:w="28" w:type="dxa"/>
          <w:bottom w:w="28" w:type="dxa"/>
          <w:right w:w="28" w:type="dxa"/>
        </w:tblCellMar>
      </w:tblPr>
      <w:tblGrid>
        <w:gridCol w:w="1746"/>
        <w:gridCol w:w="1530"/>
        <w:gridCol w:w="1539"/>
        <w:gridCol w:w="196"/>
        <w:gridCol w:w="466"/>
        <w:gridCol w:w="109"/>
        <w:gridCol w:w="109"/>
        <w:gridCol w:w="109"/>
        <w:gridCol w:w="109"/>
        <w:gridCol w:w="196"/>
        <w:gridCol w:w="466"/>
        <w:gridCol w:w="154"/>
      </w:tblGrid>
      <w:tr>
        <w:trPr/>
        <w:tc>
          <w:tcPr>
            <w:tcW w:w="174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interest,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equipment and software by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additions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property, equipment and software accrued in liabilities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purchases of property, equipment and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the total of such amounts shown on the Condensed Consolidated Statements of Cash Flows.</w:t>
      </w:r>
    </w:p>
    <w:p>
      <w:pPr>
        <w:pStyle w:val="TextBody"/>
        <w:bidi w:val="0"/>
        <w:spacing w:before="0" w:after="0"/>
        <w:ind w:left="0" w:right="0" w:firstLine="540"/>
        <w:jc w:val="left"/>
        <w:rPr/>
      </w:pPr>
      <w:r>
        <w:rPr/>
      </w:r>
    </w:p>
    <w:tbl>
      <w:tblPr>
        <w:tblW w:w="8770" w:type="dxa"/>
        <w:jc w:val="center"/>
        <w:tblInd w:w="0" w:type="dxa"/>
        <w:tblLayout w:type="fixed"/>
        <w:tblCellMar>
          <w:top w:w="28" w:type="dxa"/>
          <w:left w:w="28" w:type="dxa"/>
          <w:bottom w:w="28" w:type="dxa"/>
          <w:right w:w="28" w:type="dxa"/>
        </w:tblCellMar>
      </w:tblPr>
      <w:tblGrid>
        <w:gridCol w:w="2230"/>
        <w:gridCol w:w="1956"/>
        <w:gridCol w:w="1963"/>
        <w:gridCol w:w="245"/>
        <w:gridCol w:w="697"/>
        <w:gridCol w:w="136"/>
        <w:gridCol w:w="136"/>
        <w:gridCol w:w="136"/>
        <w:gridCol w:w="136"/>
        <w:gridCol w:w="245"/>
        <w:gridCol w:w="697"/>
        <w:gridCol w:w="193"/>
      </w:tblGrid>
      <w:tr>
        <w:trPr/>
        <w:tc>
          <w:tcPr>
            <w:tcW w:w="223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the statement of cash flows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59"/>
        <w:gridCol w:w="737"/>
        <w:gridCol w:w="205"/>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release of stock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54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364"/>
        <w:gridCol w:w="1060"/>
        <w:gridCol w:w="287"/>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Stockholders’Deficit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 xml:space="preserve">NOTES TO THE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Company Overview,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ease of reference, the terms "we," "our company," "the company," "us," or "our" as used in this report refer to Rackspace Technology and its consolidated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include the accounts of Rackspace Technology, Inc. and our wholly-owned subsidiaries. Intercompany transactions and balances have been eliminated in consolidation.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as of March 31, 2024, and for the three months ended March 31, 2023 and 2024,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2023 as filed with the SEC on March 15, 2024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March 31, 2024, our results of operations, cash flows, and stockholders' equity (deficit) for the three months ended March 31, 2023 and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2024 are not necessarily indicative of the results of operations to be expected for the year ending December 31, 2024, or for any other interim period, or for any other future year.</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 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highly leveraged company. As of March 31, 2024, we had $2,598.2 million aggregate principal amount outstanding under our debt instruments, which are comprised of the first lien first out senior secured term loan facility (the “FLFO Term Loan Facility”), the first lien second out senior secured term loan facility (the “FLSO Term Loan Facility”), the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 New Revolving Credit Facility"). As of March 31, 2024, the New Revolving Credit Facility provided for up to $375.0 million of borrowings, none of which was drawn and outstanding as of March 31, 2024. Our primary uses of cash are working capital requirements, debt service requirements and capital expenditures. Based on our current level of operations and available cash and cash equivalents of $282.6 million as of March 31, 2024,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 and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Annual Report includes an additional discussion of the significant accounting policies and estimates used in the preparation of our consolidated financial statements. There were no material changes to our significant accounting policies and estimates during the three months ended March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Estimate</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our business model and recent technological advances that have increased efficiencies in how we operate and manage customer gear. The assessment resulted in an increase in the estimated useful life range of the “Computers and equipment” asset class from three-to-five years to five-to-seven years. This change in accounting estimate took effect at the start of the first quarter of 2024. The impact of this change was a reduction in depreciation expense of $12.2 million compared to previous estimates for the three months ended March 31, 2024.</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Indefinite-Lived Intangible Assets and Long-Lived Assets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connection with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ans-serif" w:hAnsi="Times New Roman;sans-serif"/>
          <w:b w:val="false"/>
          <w:color w:val="000000"/>
          <w:sz w:val="20"/>
        </w:rPr>
        <w:t xml:space="preserve">Our Board of Directors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 2023, as a result of the reorganization of our business around a two-business unit operating model, we changed our reportable segments to Private Cloud and Public Cloud. Due to the change in our segment reporting and the allocation of goodwill from our former reporting units to the Public Cloud and Private Cloud reporting units,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reorganization, indicated an impairment within our Private Cloud reporting unit, and we recorded a non-cash impairment charge of $270.8 million in the first quarter of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Prior to October 1, 2023, we had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interim quantitative goodwill impairment analyses performed,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capital expenditures, risk-adjusted discount rates, terminal period growth rates, and economic market trends.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Loss in the first quarter of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Condensed Consolidated Statements of Comprehensive Loss in the first quarter of 2023.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6, "Goodwill and Intangible Assets" for more information.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the factors discussed in the goodwill analysis above and prior to testing our goodwill for impairment, we performed a quantitative assessment of our indefinite-lived intangible asset as of February 29, 2024. The quantitative assessment performed as of February 29, 2024 indicated the estimated fair value of the Rackspace trade name was less than its carrying value. As a result, we recorded a $20.0 million non-cash impairment charge which is included in "Impairment of assets, net" in our Condensed Consolidated Statements of Comprehensive Loss in the first quarter of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performed a quantitative assessment of our indefinite-lived intangible asset prior to testing our goodwill for impairment as of January 1, 2023 and March 31, 2023 which did not indicate any impairment of the Rackspace trade name.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conjunction with the goodwill impairment analyses as of January 1, 2023, March 31, 2023, and February 29, 2024, we performed recoverability tests of our long-lived assets, including finite-lived intangible assets, by comparing the net book value of our long-lived assets or asset groups, to the future undiscounted net cash flows attributable to such assets, which did not result in any impairment charges.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Customer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balances related to customer contracts:</w:t>
      </w:r>
    </w:p>
    <w:tbl>
      <w:tblPr>
        <w:tblW w:w="10205" w:type="dxa"/>
        <w:jc w:val="center"/>
        <w:tblInd w:w="0" w:type="dxa"/>
        <w:tblLayout w:type="fixed"/>
        <w:tblCellMar>
          <w:top w:w="28" w:type="dxa"/>
          <w:left w:w="28" w:type="dxa"/>
          <w:bottom w:w="28" w:type="dxa"/>
          <w:right w:w="28" w:type="dxa"/>
        </w:tblCellMar>
      </w:tblPr>
      <w:tblGrid>
        <w:gridCol w:w="1055"/>
        <w:gridCol w:w="920"/>
        <w:gridCol w:w="922"/>
        <w:gridCol w:w="1270"/>
        <w:gridCol w:w="1270"/>
        <w:gridCol w:w="1273"/>
        <w:gridCol w:w="109"/>
        <w:gridCol w:w="109"/>
        <w:gridCol w:w="109"/>
        <w:gridCol w:w="345"/>
        <w:gridCol w:w="981"/>
        <w:gridCol w:w="193"/>
        <w:gridCol w:w="109"/>
        <w:gridCol w:w="109"/>
        <w:gridCol w:w="109"/>
        <w:gridCol w:w="285"/>
        <w:gridCol w:w="809"/>
        <w:gridCol w:w="228"/>
      </w:tblGrid>
      <w:tr>
        <w:trPr/>
        <w:tc>
          <w:tcPr>
            <w:tcW w:w="105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Accounts receivable, net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contract assets</w:t>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contract assets</w:t>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deferred revenue</w:t>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deferred revenue</w:t>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Allowance for credit losses and accrued customer credits was $20.1 million and $20.3 million as of December 31, 2023 and March 31, 2024, respectively.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revenue for the three months ended March 31, 2023, and 2024, which were included in deferred revenue as of the beginning of each period totaled $39.1 million and $45.6 million, respectively.</w:t>
      </w:r>
    </w:p>
    <w:p>
      <w:pPr>
        <w:pStyle w:val="TextBody"/>
        <w:bidi w:val="0"/>
        <w:spacing w:before="0" w:after="0"/>
        <w:ind w:left="0" w:right="0" w:hanging="540"/>
        <w:jc w:val="left"/>
        <w:rPr/>
      </w:pPr>
      <w:r>
        <w:rPr/>
      </w:r>
    </w:p>
    <w:p>
      <w:pPr>
        <w:pStyle w:val="TextBody"/>
        <w:bidi w:val="0"/>
        <w:spacing w:lineRule="auto" w:line="276" w:before="0" w:after="0"/>
        <w:ind w:left="0" w:right="0" w:hanging="540"/>
        <w:jc w:val="left"/>
        <w:rPr>
          <w:rFonts w:ascii="Times New Roman;sans-serif" w:hAnsi="Times New Roman;sans-serif"/>
          <w:b/>
          <w:i/>
          <w:color w:val="000000"/>
          <w:sz w:val="20"/>
        </w:rPr>
      </w:pPr>
      <w:r>
        <w:rPr>
          <w:rFonts w:ascii="Times New Roman;sans-serif" w:hAnsi="Times New Roman;sans-serif"/>
          <w:b/>
          <w:i/>
          <w:color w:val="000000"/>
          <w:sz w:val="20"/>
        </w:rPr>
        <w:t xml:space="preserve">Cost Incurred to Obtain and Fulfill a Contract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March 31, 2024, the balances of capitalized costs to obtain a contract were $42.0 million and $39.7 million, respectively, and the balances of capitalized costs to fulfill a contract were $13.4 million and $12.9 million, respectively. These capitalized costs are included in "Other non-current assets" on the Condensed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sales commissions and implementation costs was as follows:</w:t>
      </w:r>
    </w:p>
    <w:tbl>
      <w:tblPr>
        <w:tblW w:w="6615" w:type="dxa"/>
        <w:jc w:val="left"/>
        <w:tblInd w:w="0" w:type="dxa"/>
        <w:tblLayout w:type="fixed"/>
        <w:tblCellMar>
          <w:top w:w="28" w:type="dxa"/>
          <w:left w:w="28" w:type="dxa"/>
          <w:bottom w:w="28" w:type="dxa"/>
          <w:right w:w="28" w:type="dxa"/>
        </w:tblCellMar>
      </w:tblPr>
      <w:tblGrid>
        <w:gridCol w:w="1286"/>
        <w:gridCol w:w="1129"/>
        <w:gridCol w:w="1140"/>
        <w:gridCol w:w="284"/>
        <w:gridCol w:w="676"/>
        <w:gridCol w:w="158"/>
        <w:gridCol w:w="158"/>
        <w:gridCol w:w="158"/>
        <w:gridCol w:w="158"/>
        <w:gridCol w:w="284"/>
        <w:gridCol w:w="545"/>
        <w:gridCol w:w="158"/>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capitalized sales commissions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capitalized implementation costs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aggregate amount of transaction price allocated to remaining performance obligations was $458.1 million, of which approximately 56% is expected to be recognized as revenue during the remainder of 2024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Sale of Receivables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2023, Rackspace US, Inc. and Rackspace Receivables II, LLC, a bankruptcy-remote special purpose vehicle (“SPV”), each an indirect subsidiary of the company, entered into an accounts receivable purchase agreement with PNC Bank, National Association (“PNC”) and other parties thereto. On February 12, 2024, the accounts receivable purchase agreement was amended to include certain international subsidiaries of the company as parties to the agreement and Rackspace Receivables Canada Limited, a Canadian indirect subsidiary of the company, was established as a SPV.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accounts receivable sold during the three months ended March 31, 2024, we recorded $5.8 million of expense, consisting of $5.3 million of yield charges and fees and $0.5 million of upfront transaction costs associated with the execution of the agreement, within “Other income (expense), net” in the Condensed Consolidated Statements of Comprehensive Loss for the three months ended March 31, 2024. The outstanding portfolio of sold accounts receivable derecognized from our Condensed Consolidated Balance Sheet as of December 31, 2023 and March 31, 2024 was $223.8 million and $218.3 million, respectively. The SPVs hold unsold accounts receivable of $100.6 million as of March 31, 2024 that are pledged as collateral to PNC.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Net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attributable to common stockholders by the weighted average shares outstanding during the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w:t>
      </w:r>
    </w:p>
    <w:tbl>
      <w:tblPr>
        <w:tblW w:w="6686" w:type="dxa"/>
        <w:jc w:val="left"/>
        <w:tblInd w:w="0" w:type="dxa"/>
        <w:tblLayout w:type="fixed"/>
        <w:tblCellMar>
          <w:top w:w="28" w:type="dxa"/>
          <w:left w:w="28" w:type="dxa"/>
          <w:bottom w:w="28" w:type="dxa"/>
          <w:right w:w="28" w:type="dxa"/>
        </w:tblCellMar>
      </w:tblPr>
      <w:tblGrid>
        <w:gridCol w:w="1314"/>
        <w:gridCol w:w="1153"/>
        <w:gridCol w:w="1163"/>
        <w:gridCol w:w="230"/>
        <w:gridCol w:w="740"/>
        <w:gridCol w:w="127"/>
        <w:gridCol w:w="127"/>
        <w:gridCol w:w="127"/>
        <w:gridCol w:w="127"/>
        <w:gridCol w:w="230"/>
        <w:gridCol w:w="740"/>
        <w:gridCol w:w="127"/>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net loss per share:</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used in per share computations</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both periods presented, basic net loss per share is the same as diluted net loss per share for both periods as the inclusion of all potential common shares outstanding would have been anti-dilutive. We excluded 41.1 million and 30.3 million potential common shares from the computation of dilutive loss per share for the three months ended March 31, 2023 and 2024, respectively, because the effect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Property, Equipment and Software, net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w:t>
      </w:r>
    </w:p>
    <w:tbl>
      <w:tblPr>
        <w:tblW w:w="5567" w:type="dxa"/>
        <w:jc w:val="left"/>
        <w:tblInd w:w="0" w:type="dxa"/>
        <w:tblLayout w:type="fixed"/>
        <w:tblCellMar>
          <w:top w:w="28" w:type="dxa"/>
          <w:left w:w="28" w:type="dxa"/>
          <w:bottom w:w="28" w:type="dxa"/>
          <w:right w:w="28" w:type="dxa"/>
        </w:tblCellMar>
      </w:tblPr>
      <w:tblGrid>
        <w:gridCol w:w="1109"/>
        <w:gridCol w:w="974"/>
        <w:gridCol w:w="977"/>
        <w:gridCol w:w="224"/>
        <w:gridCol w:w="791"/>
        <w:gridCol w:w="124"/>
        <w:gridCol w:w="109"/>
        <w:gridCol w:w="109"/>
        <w:gridCol w:w="109"/>
        <w:gridCol w:w="196"/>
        <w:gridCol w:w="691"/>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Buildings and leasehold improvements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at cost</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Accumulated depreciation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In October 2022, we announced our intention to sell our current corporate headquarters facility located in Windcrest, Texas and relocate our corporate headquarters to leased office space in San Antonio, Texas. As such, as of December 31, 2022, this property met the criteria to be classified as held for sale under GAAP and </w:t>
      </w:r>
      <w:r>
        <w:rPr>
          <w:rFonts w:ascii="Times New Roman;sans-serif" w:hAnsi="Times New Roman;sans-serif"/>
          <w:b w:val="false"/>
          <w:color w:val="000000"/>
          <w:sz w:val="20"/>
        </w:rPr>
        <w:t>the carrying amount of the property was remeasured each reporting period for changes in the estimated fair value, less cost to sell.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March 2024, we completed the sale of the property. The property’s estimated fair value, less estimated cost to sell prior to the sale was $16.9 million and we received cash proceeds of $17.5 million, less brokerage and professional fees of $0.6 million, resulting in net cash proceeds of $16.9 million. In connection with the completion of the sale, we paid a $9.0 million early termination fee to certain local governments related to our termination of the Master Economic Incentives Agreement (the “MEIA”) associated with the property. This amount is included in “Selling, general and administrative expenses” in our Condensed Consolidated Statements of Comprehensive Loss for the three months ended March 31, 2024.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following table sets forth the changes in the carrying amounts of goodwill by reportable segment</w:t>
      </w:r>
      <w:r>
        <w:rPr>
          <w:rFonts w:ascii="Times New Roman;sans-serif" w:hAnsi="Times New Roman;sans-serif"/>
          <w:b w:val="false"/>
          <w:color w:val="000000"/>
          <w:sz w:val="20"/>
          <w:shd w:fill="FFFFFF" w:val="clear"/>
        </w:rPr>
        <w:t xml:space="preserve">. </w:t>
      </w:r>
    </w:p>
    <w:p>
      <w:pPr>
        <w:pStyle w:val="TextBody"/>
        <w:bidi w:val="0"/>
        <w:spacing w:before="0" w:after="0"/>
        <w:ind w:left="0" w:right="0" w:firstLine="540"/>
        <w:jc w:val="left"/>
        <w:rPr/>
      </w:pPr>
      <w:r>
        <w:rPr/>
      </w:r>
    </w:p>
    <w:tbl>
      <w:tblPr>
        <w:tblW w:w="8014" w:type="dxa"/>
        <w:jc w:val="left"/>
        <w:tblInd w:w="0" w:type="dxa"/>
        <w:tblLayout w:type="fixed"/>
        <w:tblCellMar>
          <w:top w:w="28" w:type="dxa"/>
          <w:left w:w="28" w:type="dxa"/>
          <w:bottom w:w="28" w:type="dxa"/>
          <w:right w:w="28" w:type="dxa"/>
        </w:tblCellMar>
      </w:tblPr>
      <w:tblGrid>
        <w:gridCol w:w="1107"/>
        <w:gridCol w:w="972"/>
        <w:gridCol w:w="980"/>
        <w:gridCol w:w="109"/>
        <w:gridCol w:w="109"/>
        <w:gridCol w:w="109"/>
        <w:gridCol w:w="252"/>
        <w:gridCol w:w="717"/>
        <w:gridCol w:w="140"/>
        <w:gridCol w:w="109"/>
        <w:gridCol w:w="109"/>
        <w:gridCol w:w="109"/>
        <w:gridCol w:w="230"/>
        <w:gridCol w:w="812"/>
        <w:gridCol w:w="128"/>
        <w:gridCol w:w="109"/>
        <w:gridCol w:w="109"/>
        <w:gridCol w:w="109"/>
        <w:gridCol w:w="109"/>
        <w:gridCol w:w="109"/>
        <w:gridCol w:w="109"/>
        <w:gridCol w:w="109"/>
        <w:gridCol w:w="109"/>
        <w:gridCol w:w="109"/>
        <w:gridCol w:w="196"/>
        <w:gridCol w:w="69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Cloud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Private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Less: accumulated impairment charges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On a consolidated basis, gross and net goodwill as of March 31, 2024 was $3,041.6 million and $877.7 million, respectively. Accumulated impairment charges on a consolidated basis was $2,163.9 million as of March 31,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Note 1, "Company Overview, Basis of Presentation, and Summary of Significant Accounting Policies," for discussion of the goodwill impairment charges recorded during the three months ended March 31, 2023 and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our intangible assets other than goodwill: </w:t>
      </w:r>
    </w:p>
    <w:tbl>
      <w:tblPr>
        <w:tblW w:w="10205" w:type="dxa"/>
        <w:jc w:val="center"/>
        <w:tblInd w:w="0" w:type="dxa"/>
        <w:tblLayout w:type="fixed"/>
        <w:tblCellMar>
          <w:top w:w="28" w:type="dxa"/>
          <w:left w:w="28" w:type="dxa"/>
          <w:bottom w:w="28" w:type="dxa"/>
          <w:right w:w="28" w:type="dxa"/>
        </w:tblCellMar>
      </w:tblPr>
      <w:tblGrid>
        <w:gridCol w:w="681"/>
        <w:gridCol w:w="431"/>
        <w:gridCol w:w="435"/>
        <w:gridCol w:w="224"/>
        <w:gridCol w:w="791"/>
        <w:gridCol w:w="124"/>
        <w:gridCol w:w="109"/>
        <w:gridCol w:w="109"/>
        <w:gridCol w:w="109"/>
        <w:gridCol w:w="250"/>
        <w:gridCol w:w="901"/>
        <w:gridCol w:w="139"/>
        <w:gridCol w:w="109"/>
        <w:gridCol w:w="109"/>
        <w:gridCol w:w="109"/>
        <w:gridCol w:w="218"/>
        <w:gridCol w:w="771"/>
        <w:gridCol w:w="121"/>
        <w:gridCol w:w="109"/>
        <w:gridCol w:w="109"/>
        <w:gridCol w:w="109"/>
        <w:gridCol w:w="224"/>
        <w:gridCol w:w="791"/>
        <w:gridCol w:w="124"/>
        <w:gridCol w:w="109"/>
        <w:gridCol w:w="109"/>
        <w:gridCol w:w="109"/>
        <w:gridCol w:w="250"/>
        <w:gridCol w:w="901"/>
        <w:gridCol w:w="139"/>
        <w:gridCol w:w="109"/>
        <w:gridCol w:w="109"/>
        <w:gridCol w:w="109"/>
        <w:gridCol w:w="225"/>
        <w:gridCol w:w="640"/>
        <w:gridCol w:w="190"/>
      </w:tblGrid>
      <w:tr>
        <w:trPr/>
        <w:tc>
          <w:tcPr>
            <w:tcW w:w="68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definite-lived intangible assets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 (indefinite-lived)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other than goodwill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(1,138.8)</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March 31, 2024 we recognized impairment charges of $20.0 million related to our trade name indefinite-lived intangible asset.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see the discussion of our impairment charges in Note 1, "Company Overview, Basis of Presentation, and Summary of Significant Accounting Policies."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Debt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consisted of the following: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69"/>
        <w:gridCol w:w="1002"/>
        <w:gridCol w:w="1012"/>
        <w:gridCol w:w="109"/>
        <w:gridCol w:w="109"/>
        <w:gridCol w:w="109"/>
        <w:gridCol w:w="401"/>
        <w:gridCol w:w="388"/>
        <w:gridCol w:w="390"/>
        <w:gridCol w:w="109"/>
        <w:gridCol w:w="109"/>
        <w:gridCol w:w="109"/>
        <w:gridCol w:w="344"/>
        <w:gridCol w:w="344"/>
        <w:gridCol w:w="345"/>
        <w:gridCol w:w="109"/>
        <w:gridCol w:w="109"/>
        <w:gridCol w:w="109"/>
        <w:gridCol w:w="196"/>
        <w:gridCol w:w="691"/>
        <w:gridCol w:w="109"/>
        <w:gridCol w:w="109"/>
        <w:gridCol w:w="109"/>
        <w:gridCol w:w="109"/>
        <w:gridCol w:w="344"/>
        <w:gridCol w:w="344"/>
        <w:gridCol w:w="345"/>
        <w:gridCol w:w="109"/>
        <w:gridCol w:w="109"/>
        <w:gridCol w:w="109"/>
        <w:gridCol w:w="196"/>
        <w:gridCol w:w="691"/>
        <w:gridCol w:w="159"/>
      </w:tblGrid>
      <w:tr>
        <w:trPr/>
        <w:tc>
          <w:tcPr>
            <w:tcW w:w="126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Interest Rate</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Interest Rate</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FLSO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FLFO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3.50% FLSO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3.50%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5.375%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principal amount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debt issuance costs, debt premium,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Contractual interest rate as of each respective balance sheet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March 2024 Refinancing 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Exchange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Private Exchange, (i) $331.4 million aggregate principal amount of Existing Secured Notes and $1,588.8 million aggregate principal amount of the Existing Term Loans were exchanged or purchased for cancellation and (ii) $267.3 million aggregate principal amount of new first lien second out senior secured notes (the “3.50% FLSO Senior Secured Notes”) and $1,312.0 million aggregate principal amount of new first lien second out senior secured term loans (the “FLSO Term Loan Facility” and the loans thereunder, the “FLSO Term Loans”) were issued by Rackspace Finance, LLC, a new subsidiary of the company (the “New Borrower”).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New Borrower, issued $275.0 million aggregate principal amount of new first lien first out senior secured term loans (the “FLFO Term Loan Facility” and the loans thereunder, the “FLFO Term Loans”) and we repurchased and cancelled $69.3 million aggregate principal amount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New Debt Instruments</w:t>
      </w:r>
      <w:r>
        <w:rPr>
          <w:color w:val="000000"/>
        </w:rPr>
        <w:t xml:space="preserve">” </w:t>
      </w:r>
      <w:r>
        <w:rPr>
          <w:rFonts w:ascii="Times New Roman;sans-serif" w:hAnsi="Times New Roman;sans-serif"/>
          <w:b w:val="false"/>
          <w:color w:val="000000"/>
          <w:sz w:val="20"/>
        </w:rPr>
        <w:t xml:space="preserve">below for additional discussion of the new 3.50% FLSO Senior Secured Notes, FLSO Term Loan Facility, and FLFO Term Loan Facility.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Public Exchanges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the New Borrower also established the new first lien first out revolving credit commitments in an aggregate principal amount of $375.0 million (the “New Revolving Credit Facility”).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New Debt Instruments</w:t>
      </w:r>
      <w:r>
        <w:rPr>
          <w:color w:val="000000"/>
        </w:rPr>
        <w:t xml:space="preserve">” </w:t>
      </w:r>
      <w:r>
        <w:rPr>
          <w:rFonts w:ascii="Times New Roman;sans-serif" w:hAnsi="Times New Roman;sans-serif"/>
          <w:b w:val="false"/>
          <w:color w:val="000000"/>
          <w:sz w:val="20"/>
        </w:rPr>
        <w:t>below for additional discussion of the New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Impacts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company performed an assessment of the March 2024 Refinancing Transactions and determined it met the criteria to be accounted for as a troubled debt restructuring under Accounting Standards Codification No. 470-60,</w:t>
      </w:r>
      <w:r>
        <w:rPr>
          <w:color w:val="000000"/>
        </w:rPr>
        <w:t xml:space="preserve"> </w:t>
      </w:r>
      <w:r>
        <w:rPr>
          <w:rFonts w:ascii="Times New Roman;sans-serif" w:hAnsi="Times New Roman;sans-serif"/>
          <w:b w:val="false"/>
          <w:i/>
          <w:color w:val="000000"/>
          <w:sz w:val="20"/>
        </w:rPr>
        <w:t>Troubled Debt Restructurings by Debtors</w:t>
      </w:r>
      <w:r>
        <w:rPr>
          <w:rFonts w:ascii="Times New Roman;sans-serif" w:hAnsi="Times New Roman;sans-serif"/>
          <w:b w:val="false"/>
          <w:color w:val="000000"/>
          <w:sz w:val="20"/>
        </w:rPr>
        <w:t xml:space="preserve">. For each series of </w:t>
      </w:r>
      <w:r>
        <w:rPr>
          <w:rFonts w:ascii="Times New Roman;sans-serif" w:hAnsi="Times New Roman;sans-serif"/>
          <w:b w:val="false"/>
          <w:color w:val="000000"/>
          <w:sz w:val="20"/>
          <w:shd w:fill="FFFFFF" w:val="clear"/>
        </w:rPr>
        <w:t xml:space="preserve">the Existing Debt Instruments exchanged, the undiscounted cash flows associated with the </w:t>
      </w:r>
      <w:r>
        <w:rPr>
          <w:rFonts w:ascii="Times New Roman;sans-serif" w:hAnsi="Times New Roman;sans-serif"/>
          <w:b w:val="false"/>
          <w:color w:val="000000"/>
          <w:sz w:val="20"/>
        </w:rPr>
        <w:t xml:space="preserve">New Debt Instruments </w:t>
      </w:r>
      <w:r>
        <w:rPr>
          <w:rFonts w:ascii="Times New Roman;sans-serif" w:hAnsi="Times New Roman;sans-serif"/>
          <w:b w:val="false"/>
          <w:color w:val="000000"/>
          <w:sz w:val="20"/>
          <w:shd w:fill="FFFFFF" w:val="clear"/>
        </w:rPr>
        <w:t>issued were compared to the</w:t>
      </w:r>
      <w:r>
        <w:rPr>
          <w:color w:val="000000"/>
        </w:rPr>
        <w:t xml:space="preserve"> </w:t>
      </w:r>
      <w:r>
        <w:rPr>
          <w:rFonts w:ascii="Times New Roman;sans-serif" w:hAnsi="Times New Roman;sans-serif"/>
          <w:b w:val="false"/>
          <w:color w:val="000000"/>
          <w:sz w:val="20"/>
        </w:rPr>
        <w:t>carrying value of the Existing</w:t>
      </w:r>
      <w:r>
        <w:rPr>
          <w:color w:val="000000"/>
          <w:shd w:fill="FFFFFF" w:val="clear"/>
        </w:rPr>
        <w:t xml:space="preserve"> </w:t>
      </w:r>
      <w:r>
        <w:rPr>
          <w:rFonts w:ascii="Times New Roman;sans-serif" w:hAnsi="Times New Roman;sans-serif"/>
          <w:b w:val="false"/>
          <w:color w:val="000000"/>
          <w:sz w:val="20"/>
          <w:shd w:fill="FFFFFF" w:val="clear"/>
        </w:rPr>
        <w:t xml:space="preserve">Debt Instruments exchanged for such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 xml:space="preserve">and the applicable exchange was accounted for as follows: (i) to the extent the undiscounted cash flows of the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 xml:space="preserve">in question were lower than the carrying value of the applicable Existing Debt Instruments exchanged, the carrying value of the applicable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 xml:space="preserve">was established at the total of these undiscounted cash flows, with a gain recorded for the remaining difference between this value and the carrying value of the applicable Existing Debt Instruments (as such, no interest expense will be recorded for the applicable </w:t>
      </w:r>
      <w:r>
        <w:rPr>
          <w:rFonts w:ascii="Times New Roman;sans-serif" w:hAnsi="Times New Roman;sans-serif"/>
          <w:b w:val="false"/>
          <w:color w:val="000000"/>
          <w:sz w:val="20"/>
        </w:rPr>
        <w:t>3.50%</w:t>
      </w:r>
      <w:r>
        <w:rPr>
          <w:color w:val="000000"/>
          <w:shd w:fill="FFFFFF" w:val="clear"/>
        </w:rPr>
        <w:t xml:space="preserve"> </w:t>
      </w:r>
      <w:r>
        <w:rPr>
          <w:rFonts w:ascii="Times New Roman;sans-serif" w:hAnsi="Times New Roman;sans-serif"/>
          <w:b w:val="false"/>
          <w:color w:val="000000"/>
          <w:sz w:val="20"/>
        </w:rPr>
        <w:t>FLSO Senior Secured Notes</w:t>
      </w:r>
      <w:r>
        <w:rPr>
          <w:color w:val="000000"/>
          <w:shd w:fill="FFFFFF" w:val="clear"/>
        </w:rPr>
        <w:t xml:space="preserve"> </w:t>
      </w:r>
      <w:r>
        <w:rPr>
          <w:rFonts w:ascii="Times New Roman;sans-serif" w:hAnsi="Times New Roman;sans-serif"/>
          <w:b w:val="false"/>
          <w:color w:val="000000"/>
          <w:sz w:val="20"/>
          <w:shd w:fill="FFFFFF" w:val="clear"/>
        </w:rPr>
        <w:t xml:space="preserve">prospectively) and (ii) to the extent the undiscounted cash flows of the New Debt Instruments in question exceeded the carrying value of the applicable Existing Debt Instruments exchanged, the carrying value of the applicable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was established at the carrying value of the applicable Existing Debt Instruments and the company established new effective interest rates based on the carrying value of the applicable Existing Term Loans prior to the March 2024 Refinancing Transaction.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The difference between the principal amount of the </w:t>
      </w:r>
      <w:r>
        <w:rPr>
          <w:rFonts w:ascii="Times New Roman;sans-serif" w:hAnsi="Times New Roman;sans-serif"/>
          <w:b w:val="false"/>
          <w:color w:val="000000"/>
          <w:sz w:val="20"/>
        </w:rPr>
        <w:t>3.50%</w:t>
      </w:r>
      <w:r>
        <w:rPr>
          <w:color w:val="000000"/>
          <w:shd w:fill="FFFFFF" w:val="clear"/>
        </w:rPr>
        <w:t xml:space="preserve"> </w:t>
      </w:r>
      <w:r>
        <w:rPr>
          <w:rFonts w:ascii="Times New Roman;sans-serif" w:hAnsi="Times New Roman;sans-serif"/>
          <w:b w:val="false"/>
          <w:color w:val="000000"/>
          <w:sz w:val="20"/>
        </w:rPr>
        <w:t>FLSO Senior Secured Notes</w:t>
      </w:r>
      <w:r>
        <w:rPr>
          <w:color w:val="000000"/>
          <w:shd w:fill="FFFFFF" w:val="clear"/>
        </w:rPr>
        <w:t xml:space="preserve"> </w:t>
      </w:r>
      <w:r>
        <w:rPr>
          <w:rFonts w:ascii="Times New Roman;sans-serif" w:hAnsi="Times New Roman;sans-serif"/>
          <w:b w:val="false"/>
          <w:color w:val="000000"/>
          <w:sz w:val="20"/>
          <w:shd w:fill="FFFFFF" w:val="clear"/>
        </w:rPr>
        <w:t xml:space="preserve">and the carrying value was recorded as a premium and is included in long-term debt on the company’s Condensed Consolidated Balance Sheets.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premium recorded on the 3.50%</w:t>
      </w:r>
      <w:r>
        <w:rPr>
          <w:color w:val="000000"/>
          <w:shd w:fill="FFFFFF" w:val="clear"/>
        </w:rPr>
        <w:t xml:space="preserve"> </w:t>
      </w:r>
      <w:r>
        <w:rPr>
          <w:rFonts w:ascii="Times New Roman;sans-serif" w:hAnsi="Times New Roman;sans-serif"/>
          <w:b w:val="false"/>
          <w:color w:val="000000"/>
          <w:sz w:val="20"/>
        </w:rPr>
        <w:t>FLSO Senior Secured Notes was $39.1 million, which will be reduced as contractual interest payments are made on the 3.50%</w:t>
      </w:r>
      <w:r>
        <w:rPr>
          <w:color w:val="000000"/>
          <w:shd w:fill="FFFFFF" w:val="clear"/>
        </w:rPr>
        <w:t xml:space="preserve"> </w:t>
      </w:r>
      <w:r>
        <w:rPr>
          <w:rFonts w:ascii="Times New Roman;sans-serif" w:hAnsi="Times New Roman;sans-serif"/>
          <w:b w:val="false"/>
          <w:color w:val="000000"/>
          <w:sz w:val="20"/>
        </w:rPr>
        <w:t xml:space="preserve">FLSO Senior Secured Notes.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In connection with the March 2024 Refinancing Transactions, the company r</w:t>
      </w:r>
      <w:r>
        <w:rPr>
          <w:rFonts w:ascii="Times New Roman;sans-serif" w:hAnsi="Times New Roman;sans-serif"/>
          <w:b w:val="false"/>
          <w:color w:val="000000"/>
          <w:sz w:val="20"/>
        </w:rPr>
        <w:t>ecorded a gain of $56.7 million after deducting third-party costs and lender fees incurred. The gain is included in "Debt modification costs and gain on debt extinguishment" in our Condensed Consolidated Statements of Comprehensive Loss for the three months ended March 31, 2024. The company incurred third party fees of $28.4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New 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2024, Rackspace Finance Holdings, LLC ( “Rackspace Finance Holdings”), the New Borrower,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FLSO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New Borrower issued the FLSO Term Loan Facility in an aggregate principal amount of $1,687.2 million. The FLSO Term Loan Facility matures on May 15, 2028. Borrowings under the FLSO Term Loan Facility bear interest at an annual rate equal to </w:t>
      </w:r>
      <w:r>
        <w:rPr>
          <w:rFonts w:ascii="Times New Roman;sans-serif" w:hAnsi="Times New Roman;sans-serif"/>
          <w:b w:val="false"/>
          <w:color w:val="000000"/>
          <w:sz w:val="20"/>
          <w:shd w:fill="FFFFFF" w:val="clear"/>
        </w:rPr>
        <w:t>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2.75%.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2024, the contractual interest rate on the FLSO Term Loan Facility was 8.18%. We are required to make quarterly principal payments of $4.2 million, which began on March 31, 20</w:t>
      </w:r>
      <w:r>
        <w:rPr>
          <w:rFonts w:ascii="Times New Roman;sans-serif" w:hAnsi="Times New Roman;sans-serif"/>
          <w:b w:val="false"/>
          <w:color w:val="000000"/>
          <w:sz w:val="20"/>
          <w:shd w:fill="FFFFFF" w:val="clear"/>
        </w:rPr>
        <w:t xml:space="preserve">24. See Note 11, “Derivatives,” for information on interest rate swap agreements we utilize to manage the interest rate risk on the </w:t>
      </w:r>
      <w:r>
        <w:rPr>
          <w:rFonts w:ascii="Times New Roman;sans-serif" w:hAnsi="Times New Roman;sans-serif"/>
          <w:b w:val="false"/>
          <w:color w:val="000000"/>
          <w:sz w:val="20"/>
        </w:rPr>
        <w:t xml:space="preserve">FLSO </w:t>
      </w:r>
      <w:r>
        <w:rPr>
          <w:rFonts w:ascii="Times New Roman;sans-serif" w:hAnsi="Times New Roman;sans-serif"/>
          <w:b w:val="false"/>
          <w:color w:val="000000"/>
          <w:sz w:val="20"/>
          <w:shd w:fill="FFFFFF" w:val="clear"/>
        </w:rPr>
        <w:t xml:space="preserve">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Affiliates of ABRY Partners, LLC and ABRY Partners II, LLC (collectively, “ABRY”) are FLSO Term Loan Facility lenders under the New First Lien Credit Agreement. As of March 31, 2024, the outstanding principal amount of the FLSO Term Loan Facility was $1,683.0 million, of which $50.0 million, or 3.0%, is due to ABRY affiliates. Investment funds affiliated with ABRY are also co-investors in Rackspace Technology.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Apollo Global Management, Inc. also held $81.1 million, or 4.8%, of the outstanding principal amount of the FLSO 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September 12, 2025, the New Borrower may prepay some or all of the FLSO Term Loan Facility, together with accrued and unpaid interest, subject to the applicable “make-whole” premium. On or after September 12, 2025, the New Borrower may prepay some or all of the FLSO Term Loan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FLSO Term Loan Facility as of March 31, 2024 was $822.5 million, based on quoted market prices for identical assets that are traded in over-the-counter secondary markets that are not considered active. The fair value of the FLSO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FLSO Term Loan Facility contains certain customary affirmative covenants, negative covenants, and events of default.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FLFO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New Borrower issued the FLFO Term Loan Facility in an initial aggregate principal amount of $275.0 million. The FLFO Term Loan Facility matures on May 15, 2028. Borrowings under the FLFO Term Loan Facility bear interest at an annual rate equal to </w:t>
      </w:r>
      <w:r>
        <w:rPr>
          <w:rFonts w:ascii="Times New Roman;sans-serif" w:hAnsi="Times New Roman;sans-serif"/>
          <w:b w:val="false"/>
          <w:color w:val="000000"/>
          <w:sz w:val="20"/>
          <w:shd w:fill="FFFFFF" w:val="clear"/>
        </w:rPr>
        <w:t xml:space="preserve">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w:t>
      </w:r>
      <w:r>
        <w:rPr>
          <w:rFonts w:ascii="Times New Roman;sans-serif" w:hAnsi="Times New Roman;sans-serif"/>
          <w:b w:val="false"/>
          <w:color w:val="000000"/>
          <w:sz w:val="20"/>
        </w:rPr>
        <w:t xml:space="preserve">6.25% and were issued with 1.00% of original issue discount.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2024, the contractual interest rate on the FLFO Term Loan Facility was 11.68%. We are required to make quarterly principal payments of $0.7 million, beginning on June 30, 2024</w:t>
      </w:r>
      <w:r>
        <w:rPr>
          <w:rFonts w:ascii="Times New Roman;sans-serif" w:hAnsi="Times New Roman;sans-serif"/>
          <w:b w:val="false"/>
          <w:color w:val="000000"/>
          <w:sz w:val="20"/>
          <w:shd w:fill="FFFFFF" w:val="clear"/>
        </w:rPr>
        <w:t xml:space="preserve">. See Note 11, “Derivatives,” for information on interest rate swap agreements we utilize to manage the interest rate risk on the </w:t>
      </w:r>
      <w:r>
        <w:rPr>
          <w:rFonts w:ascii="Times New Roman;sans-serif" w:hAnsi="Times New Roman;sans-serif"/>
          <w:b w:val="false"/>
          <w:color w:val="000000"/>
          <w:sz w:val="20"/>
        </w:rPr>
        <w:t xml:space="preserve">FLFO </w:t>
      </w:r>
      <w:r>
        <w:rPr>
          <w:rFonts w:ascii="Times New Roman;sans-serif" w:hAnsi="Times New Roman;sans-serif"/>
          <w:b w:val="false"/>
          <w:color w:val="000000"/>
          <w:sz w:val="20"/>
          <w:shd w:fill="FFFFFF" w:val="clear"/>
        </w:rPr>
        <w:t xml:space="preserve">Term Loan Facility.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September 12, 2025, the New Borrower may prepay some or all of the FLFO Term Loan Facility, together with accrued and unpaid interest, subject to the applicable “make-whole” premium. 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FLFO Term Loan Facility as of March 31, 2024 was $276.0 million, based on quoted market prices for identical assets that are traded in over-the-counter secondary markets that are not considered active. The fair value of the FLFO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FLFO Term Loan Facility contains certain customary affirmative covenants, negative covenants, and events of default.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New Revolving Credit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will be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will be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New Borrower is the borrower and all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are secured by the same collateral that secures the FLSO Term Loan Facility, the FLFO Term Loan Facility and the 3.50% FLSO Senior Secured Notes.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March 31, 2024, we had total commitments of $375.0 million, no outstanding borrowings under the New Revolving Credit Facility, and $3.5 million of letters of credit issued thereunder. As such, as of March 31, 2024, we had $375.0 million of available commitments remaining.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were in compliance with all covenants under the New Senior Facilities.</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3.50% FLSO Senior Secured Notes due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each February 15 and August 15, commencing on August 15, 2024. The 3.50% FLSO Senior Secured Notes are not subject to registration rights.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Borrower may redeem some or all of the 3.50% FLSO Senior Secured Notes at its option prior to September 12, 2025 at a redemption price equal to 100% of the principal amount of the 3.50% FLSO Senior Secured Notes redeemed, plus a “make-whole” premium described in the indenture governing the 3.50% FLSO Senior Secured Notes (the “3.50% FLSO Senior Secured Notes Indenture”), plus accrued and unpaid interest, if any, to, but excluding, the redemption date. 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were in compliance with all covenants under the 3.50% FLSO Senior Secured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the 3.50% FLSO Senior Secured Notes as of March 31, 2024 was $134.3 million based on quoted market prices for identical assets that are traded in over-the-counter secondary markets that are not considered active. The fair value of the 3.50% FLSO Senior Secured Notes are classified as Level 2 within the fair value hierarchy.</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secured credit facilities include the Term Loan Facility and the prior Revolving Credit Facility (together, the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2021, we amended and restated the credit agreement governing our Senior Facilities (the "First Lien Credit Agreement"), which included a seven-year $2,300.0 million senior secured first lien term loan facility due on February 15, 2028 and our existing $375.0 million Revolving Credit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26, 2023, we executed an amendment to our First Lien Credit Agreement to establish Term SOFR as the benchmark rate for determining the applicable interest rate, replacing LIBOR.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duration, and 0.43% for an interest period of six-months' duration, subject to a 0.75% floor, in the case of the Term Loan Facility, and a 1.00% floor, in the case of the Revolving Credit Facility, or (b) a base rate determined by reference to the highest of (i) the federal funds rate plus 0.50%, (ii) the prime rate of Citibank, N.A. and (iii) adjusted Term SOFR for a one-month tenor plus 1.00%.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margin for the Term Loan Facility is 2.75% for SOFR loans and 1.75% for base rate loans and the applicable margin for the Revolving Credit Facility is 3.00% for SOFR loans and 2.00% for base rate loans. Interest is due at the end of each interest period elected, not exceeding 90 days, for SOFR loans and at the end of every calendar quarter for base rate loans.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other material terms and conditions of the First Lien Credit Agreement were unchanged.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a result of the Private Exchange and the Public Term Loan Exchange, discussed within “</w:t>
      </w:r>
      <w:r>
        <w:rPr>
          <w:rFonts w:ascii="Times New Roman;sans-serif" w:hAnsi="Times New Roman;sans-serif"/>
          <w:b w:val="false"/>
          <w:i/>
          <w:color w:val="000000"/>
          <w:sz w:val="20"/>
        </w:rPr>
        <w:t>March 2024 Refinancing Transactions</w:t>
      </w:r>
      <w:r>
        <w:rPr>
          <w:color w:val="000000"/>
        </w:rPr>
        <w:t xml:space="preserve">” </w:t>
      </w:r>
      <w:r>
        <w:rPr>
          <w:rFonts w:ascii="Times New Roman;sans-serif" w:hAnsi="Times New Roman;sans-serif"/>
          <w:b w:val="false"/>
          <w:color w:val="000000"/>
          <w:sz w:val="20"/>
        </w:rPr>
        <w:t>above, over 97% of the $2,181.2 million aggregate principal amount of the Term Loan Facility outstanding as of December 31, 2023 was exchanged or purchased for cancellation.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contractual interest rate on the Term Loan Facility was 8.18%. We are required to make quarterly principal payments of $0.2 million. See Note 11, “Derivatives,” for information on interest rate swap agreements we utilize to manage the interest rate risk on the 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Term Loan Facility as of March 31, 2024 was $22.4 million, based on quoted market prices for identical assets that are traded in over-the-counter secondary markets that are not considered active. The fair value of the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The only financial covenant was with respect to the prior Revolving Credit Facility. As discussed in “</w:t>
      </w:r>
      <w:r>
        <w:rPr>
          <w:rFonts w:ascii="Times New Roman;sans-serif" w:hAnsi="Times New Roman;sans-serif"/>
          <w:b w:val="false"/>
          <w:i/>
          <w:color w:val="000000"/>
          <w:sz w:val="20"/>
        </w:rPr>
        <w:t>March 2024 Refinancing Transactions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above, on March 12, 2024, a</w:t>
      </w:r>
      <w:r>
        <w:rPr>
          <w:rFonts w:ascii="Times New Roman;sans-serif" w:hAnsi="Times New Roman;sans-serif"/>
          <w:b w:val="false"/>
          <w:color w:val="000000"/>
          <w:sz w:val="20"/>
        </w:rPr>
        <w:t>ll revolving lenders under the prior Revolving Credit Facility exchanged their revolving loan commitments for commitments in respect of the New Revolving Credit Facility, which replaces in full the prior Revolving Credit Facility. See “</w:t>
      </w:r>
      <w:r>
        <w:rPr>
          <w:rFonts w:ascii="Times New Roman;sans-serif" w:hAnsi="Times New Roman;sans-serif"/>
          <w:b w:val="false"/>
          <w:i/>
          <w:color w:val="000000"/>
          <w:sz w:val="20"/>
        </w:rPr>
        <w:t>New Revolving Credit Facility</w:t>
      </w:r>
      <w:r>
        <w:rPr>
          <w:color w:val="000000"/>
        </w:rPr>
        <w:t xml:space="preserve">” </w:t>
      </w:r>
      <w:r>
        <w:rPr>
          <w:rFonts w:ascii="Times New Roman;sans-serif" w:hAnsi="Times New Roman;sans-serif"/>
          <w:b w:val="false"/>
          <w:color w:val="000000"/>
          <w:sz w:val="20"/>
        </w:rPr>
        <w:t xml:space="preserve">above for information regarding this new debt instrument.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were in compliance with all covenants under the Senior Facilities.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2021, Rackspace Technology Global issued $550.0 million aggregate principal amount of the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Rackspace Technology Global may redeem the 3.50% Senior Secured Notes at its option, in whole at any time or in part from time to time, at the following redemption prices: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w:t>
      </w:r>
      <w:r>
        <w:rPr>
          <w:rFonts w:ascii="Times New Roman;sans-serif" w:hAnsi="Times New Roman;sans-serif"/>
          <w:b w:val="false"/>
          <w:color w:val="000000"/>
          <w:sz w:val="20"/>
          <w:shd w:fill="FFFFFF" w:val="clear"/>
        </w:rPr>
        <w:t xml:space="preserve">ay redeem during each twelve-month period, commencing with February 9, 2021, up to 10.0% of the original aggregate principal amount of the </w:t>
      </w:r>
      <w:r>
        <w:rPr>
          <w:rFonts w:ascii="Times New Roman;sans-serif" w:hAnsi="Times New Roman;sans-serif"/>
          <w:b w:val="false"/>
          <w:color w:val="000000"/>
          <w:sz w:val="20"/>
        </w:rPr>
        <w:t xml:space="preserve">3.50% Senior Secured Notes </w:t>
      </w:r>
      <w:r>
        <w:rPr>
          <w:rFonts w:ascii="Times New Roman;sans-serif" w:hAnsi="Times New Roman;sans-serif"/>
          <w:b w:val="false"/>
          <w:color w:val="000000"/>
          <w:sz w:val="20"/>
          <w:shd w:fill="FFFFFF" w:val="clear"/>
        </w:rPr>
        <w:t>at a redemption price of 103.000%, plus accrued and unpaid interest, if any, to, but excluding, the applicable redemption date.</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3.50% Senior Secured Notes (the “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Rackspace Technology Global was in compliance with all covenants under the 3.50%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Private Exchange and the Public Note Exchange, discussed above, over 91% of the $513.7 million aggregate principal amount of the 3.50% Senior Secured Notes outstanding as of December 31, 2023 was exchanged or purchased for cancellation.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the 3.50% Senior Secured Notes as of March 31, 2024 was $65.6 million, based on quoted market prices for identical assets that are traded in over-the-counter secondary markets that are not considered active. The fair value of the 3.50% Senior Secured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2020, Rackspace Technology Global issued $550.0 million aggregate principal amount of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may redeem the 5.375% Senior Notes at its option, in whole at any time or in part from time to time, at the following redemption prices: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Rackspace Technology Global repurchased and surrendered for cancellation $22.7 million principal amount of 5.375% Senior Notes for $10.0 million, including accrued interest of $0.3 million. In connection with these repurchases, we recorded a gain, included in "Debt modification costs and gain on debt extinguishment", of $12.8 million in our Condensed Consolidated Statements of Comprehensive Loss for the three months ended March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previously described in “</w:t>
      </w:r>
      <w:r>
        <w:rPr>
          <w:rFonts w:ascii="Times New Roman;sans-serif" w:hAnsi="Times New Roman;sans-serif"/>
          <w:b w:val="false"/>
          <w:i/>
          <w:color w:val="000000"/>
          <w:sz w:val="20"/>
        </w:rPr>
        <w:t>March 2024 Refinancing Transactions</w:t>
      </w:r>
      <w:r>
        <w:rPr>
          <w:color w:val="000000"/>
        </w:rPr>
        <w:t xml:space="preserve">” </w:t>
      </w:r>
      <w:r>
        <w:rPr>
          <w:rFonts w:ascii="Times New Roman;sans-serif" w:hAnsi="Times New Roman;sans-serif"/>
          <w:b w:val="false"/>
          <w:color w:val="000000"/>
          <w:sz w:val="20"/>
        </w:rPr>
        <w:t>above, as part of the Private Exchange, we repurchased and cancelled $69.3 million aggregate principal amount of the 5.375% Senior Notes during the three months ended March 31,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5.375% Senior Notes (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Rackspace Technology Global was in compliance with all covenants under the 5.375%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5.375% Senior Notes as of March 31, 2024 was $33.4 million, based on quoted market prices for identical assets that are traded in over-the-counter secondary markets that are not considered active. The fair value of the 5.375% Senior Notes are classified as Level 2 within the fair value hierarchy.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contingencies that arise from various litigation, claims and commitments, none of which we consider to be material.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Headquarters Lease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signed an agreement to lease approximately 93,000 square feet of office space in San Antonio, Texas, which will serve as our new corporate headquarters. The initial lease term is 11 years, with three 5-year renewal options. In addition to monthly base rent, we will also pay a share of common area maintenance and operating expenses. As of March 31, 2024, the lease had not yet commenced. The lease subsequently commenced in the second quarter of 2024.</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Share-Based Compensation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granted 3.2 million restricted stock units ("RSUs") under the 2020 Incentive Plan with a weighted-average grant date fair value of $1.92. The majority of the RSUs were granted as part of our promotion and recruitment process and vest ratably over a three-year period, subject to continued service.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during the three months ended March 31, 2024, 0.6 million performance stock units ("PSUs") were granted under the 2020 Incentive Plan with a weighted-average grant date fair value of $2.78. The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is comprised of the following equity and liability classified award amounts:</w:t>
      </w:r>
    </w:p>
    <w:p>
      <w:pPr>
        <w:pStyle w:val="TextBody"/>
        <w:bidi w:val="0"/>
        <w:spacing w:before="0" w:after="0"/>
        <w:ind w:left="0" w:right="0" w:firstLine="540"/>
        <w:jc w:val="left"/>
        <w:rPr/>
      </w:pPr>
      <w:r>
        <w:rPr/>
      </w:r>
    </w:p>
    <w:tbl>
      <w:tblPr>
        <w:tblW w:w="6057" w:type="dxa"/>
        <w:jc w:val="left"/>
        <w:tblInd w:w="0" w:type="dxa"/>
        <w:tblLayout w:type="fixed"/>
        <w:tblCellMar>
          <w:top w:w="28" w:type="dxa"/>
          <w:left w:w="28" w:type="dxa"/>
          <w:bottom w:w="28" w:type="dxa"/>
          <w:right w:w="28" w:type="dxa"/>
        </w:tblCellMar>
      </w:tblPr>
      <w:tblGrid>
        <w:gridCol w:w="1087"/>
        <w:gridCol w:w="955"/>
        <w:gridCol w:w="958"/>
        <w:gridCol w:w="270"/>
        <w:gridCol w:w="643"/>
        <w:gridCol w:w="150"/>
        <w:gridCol w:w="150"/>
        <w:gridCol w:w="150"/>
        <w:gridCol w:w="150"/>
        <w:gridCol w:w="270"/>
        <w:gridCol w:w="643"/>
        <w:gridCol w:w="150"/>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classified awards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classified awards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Total share-based compensation expense recogniz</w:t>
      </w:r>
      <w:r>
        <w:rPr>
          <w:rFonts w:ascii="Times New Roman;sans-serif" w:hAnsi="Times New Roman;sans-serif"/>
          <w:b w:val="false"/>
          <w:color w:val="000000"/>
          <w:sz w:val="20"/>
          <w:shd w:fill="FFFFFF" w:val="clear"/>
        </w:rPr>
        <w:t xml:space="preserve">ed </w:t>
      </w:r>
      <w:r>
        <w:rPr>
          <w:rFonts w:ascii="Times New Roman;sans-serif" w:hAnsi="Times New Roman;sans-serif"/>
          <w:b w:val="false"/>
          <w:color w:val="000000"/>
          <w:sz w:val="20"/>
        </w:rPr>
        <w:t>was as follows: </w:t>
      </w:r>
    </w:p>
    <w:tbl>
      <w:tblPr>
        <w:tblW w:w="6806" w:type="dxa"/>
        <w:jc w:val="left"/>
        <w:tblInd w:w="0" w:type="dxa"/>
        <w:tblLayout w:type="fixed"/>
        <w:tblCellMar>
          <w:top w:w="28" w:type="dxa"/>
          <w:left w:w="28" w:type="dxa"/>
          <w:bottom w:w="28" w:type="dxa"/>
          <w:right w:w="28" w:type="dxa"/>
        </w:tblCellMar>
      </w:tblPr>
      <w:tblGrid>
        <w:gridCol w:w="1359"/>
        <w:gridCol w:w="1193"/>
        <w:gridCol w:w="1197"/>
        <w:gridCol w:w="270"/>
        <w:gridCol w:w="643"/>
        <w:gridCol w:w="150"/>
        <w:gridCol w:w="150"/>
        <w:gridCol w:w="150"/>
        <w:gridCol w:w="150"/>
        <w:gridCol w:w="270"/>
        <w:gridCol w:w="643"/>
        <w:gridCol w:w="150"/>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share-based compensation expense</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Income tax benefit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 net of tax</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there was $64.6 million of total unrecognized compensation cost related to stock options, RSUs, PSUs, and the ESPP, which will be recognized using the service period or over our best estimate of the period over which the performance condition will be met, as applicable.</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Taxes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March 31, 2024, our effective tax rate is lower than the U.S. federal statutory rate of 21% primarily due to the tax impact associated with changes in the valuation allowance related to disallowed interest, the tax impact associated with the goodwill impairment recorded in the first quarter of 2024, the majority of which was nondeductible for income tax purposes, and the tax impact of the March 2024 Refinancing Transactions discussed below. The tax impact of the March 2024 Refinancing Transactions include excluded cancellation of indebtedness income (“CODI”), federal and state attribution reduction and changes in valuation allowance. In December 2021, the Organisation for Economic Co-operation and Development (the “OECD”) issued model rules for a new global minimum tax framework (Pillar Two). Governments in many of the countries where we operate have issued, or are in the process of issuing, legislation on this rule. We are currently evaluating, but do not expect this rule to have a material impact on our consolidated financial statements.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a result of the Private Exchange and Public Term Loan Exchange transactions discussed within “</w:t>
      </w:r>
      <w:r>
        <w:rPr>
          <w:rFonts w:ascii="Times New Roman;sans-serif" w:hAnsi="Times New Roman;sans-serif"/>
          <w:b w:val="false"/>
          <w:i/>
          <w:color w:val="000000"/>
          <w:sz w:val="20"/>
        </w:rPr>
        <w:t>March 2024 Refinancing Transactions</w:t>
      </w:r>
      <w:r>
        <w:rPr>
          <w:color w:val="000000"/>
        </w:rPr>
        <w:t xml:space="preserve">” </w:t>
      </w:r>
      <w:r>
        <w:rPr>
          <w:rFonts w:ascii="Times New Roman;sans-serif" w:hAnsi="Times New Roman;sans-serif"/>
          <w:b w:val="false"/>
          <w:color w:val="000000"/>
          <w:sz w:val="20"/>
        </w:rPr>
        <w:t>within Note 7, “Debt”, the company realized CODI for US tax purposes of $531.5 million. Pursuant to Internal Revenue Code (“IRC”) Section 108, an insolvent debtor may exclude CODI from taxable income to the extent of the debtor’s insolvency (liabilities greater than the fair value of its assets) but must reduce its tax attributes, subject to certain limitations and according to prescribed ordering rules, based on the amount of CODI excluded from taxable income. The company currently estimates that the level of its insolvency (as defined for US Tax purposes)</w:t>
      </w:r>
      <w:r>
        <w:rPr>
          <w:color w:val="FF0000"/>
        </w:rPr>
        <w:t xml:space="preserve"> </w:t>
      </w:r>
      <w:r>
        <w:rPr>
          <w:rFonts w:ascii="Times New Roman;sans-serif" w:hAnsi="Times New Roman;sans-serif"/>
          <w:b w:val="false"/>
          <w:color w:val="000000"/>
          <w:sz w:val="20"/>
        </w:rPr>
        <w:t>exceeds the amount of CODI resulting from the March 2024 Refinancing Transactions, such that all of the resulting CODI will be excluded from the company’s taxable income.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for determining the amount of tax attribute reduction is complex and the actual reduction to attributes does not occur until the first day of the company’s tax year subsequent to the date of the discharge event, or January 1, 2025. Therefore, the estimated impact of the tax attribute reduction from the March 2024 Refinancing Transactions is subject to change until the finalization of the company’s tax returns for the year ending December 31,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the interim tax provision for the three months ended March 31, 2024, the company estimates that all of its federal (and certain of its state) net operating loss and tax credit carryovers will be eliminated as a result of tax attribute reduction for excluded CODI. For the three months ended March 31, 2024, the company recorded an income tax benefit of $51.1 million related to the net effects of the March 2024 Refinancing Transactions, including excluded CODI, federal and state tax attribute reduction, and resulting changes in valuation allowance. The total income tax benefit recorded in the three months ended March 31, 2024 was a tax benefit of $4.7 million which includes the $51.1 million tax benefit from the March 2024 Refinancing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Derivatives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w:t>
      </w:r>
      <w:r>
        <w:rPr>
          <w:rFonts w:ascii="Times New Roman;sans-serif" w:hAnsi="Times New Roman;sans-serif"/>
          <w:b w:val="false"/>
          <w:color w:val="000000"/>
          <w:sz w:val="20"/>
          <w:shd w:fill="FFFFFF" w:val="clear"/>
        </w:rPr>
        <w:t xml:space="preserve">pproach.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amount remaining in "Accumulated other comprehensive income" for the de-designated December 2016 and December 2018 swaps at the de-designation date was app</w:t>
      </w:r>
      <w:r>
        <w:rPr>
          <w:rFonts w:ascii="Times New Roman;sans-serif" w:hAnsi="Times New Roman;sans-serif"/>
          <w:b w:val="false"/>
          <w:color w:val="000000"/>
          <w:sz w:val="20"/>
          <w:shd w:fill="FFFFFF" w:val="clear"/>
        </w:rPr>
        <w:t>roximately $51.6 million, and is amortized as an increase to "Interest expense" over the effective period of the original swap agreements.</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new receive-fixed interest rate swap qualifies as a hybrid instrument in accordance with ASC No.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The new pay-fixed interest rate swap also qualifies as a hybrid instrument in accordance with ASC No. 815, </w:t>
      </w:r>
      <w:r>
        <w:rPr>
          <w:rFonts w:ascii="Times New Roman;sans-serif" w:hAnsi="Times New Roman;sans-serif"/>
          <w:b w:val="false"/>
          <w:i/>
          <w:color w:val="000000"/>
          <w:sz w:val="20"/>
          <w:shd w:fill="FFFFFF" w:val="clear"/>
        </w:rPr>
        <w:t>Derivatives and Hedging</w:t>
      </w:r>
      <w:r>
        <w:rPr>
          <w:rFonts w:ascii="Times New Roman;sans-serif" w:hAnsi="Times New Roman;sans-serif"/>
          <w:b w:val="false"/>
          <w:color w:val="000000"/>
          <w:sz w:val="20"/>
          <w:shd w:fill="FFFFFF" w:val="clear"/>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Condensed Consolidated Statements of Cash Flows while the portion treated as an at-market derivative will be classified as operating activities.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discussed in Note 7, "Debt", on April 26, 2023 </w:t>
      </w:r>
      <w:r>
        <w:rPr>
          <w:rFonts w:ascii="Times New Roman;sans-serif" w:hAnsi="Times New Roman;sans-serif"/>
          <w:b w:val="false"/>
          <w:color w:val="000000"/>
          <w:sz w:val="20"/>
          <w:shd w:fill="FFFFFF" w:val="clear"/>
        </w:rPr>
        <w:t xml:space="preserve">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 monthly basis, we net settle with the counterparty for the difference between the fixed rate of 2.34150% and the variable rate based upon the one-month Term SOFR (subject to a floor of 0.75%) as applied to the notional amount of the swap.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In conjunction with the March 2024 Refinancing Transactions, as discussed in </w:t>
      </w:r>
      <w:r>
        <w:rPr>
          <w:rFonts w:ascii="Times New Roman;sans-serif" w:hAnsi="Times New Roman;sans-serif"/>
          <w:b w:val="false"/>
          <w:color w:val="000000"/>
          <w:sz w:val="20"/>
        </w:rPr>
        <w:t>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March 31, 2024, the cash flow hedge was highly effective.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key terms of interest rate swaps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2"/>
        <w:gridCol w:w="326"/>
        <w:gridCol w:w="329"/>
        <w:gridCol w:w="109"/>
        <w:gridCol w:w="109"/>
        <w:gridCol w:w="109"/>
        <w:gridCol w:w="471"/>
        <w:gridCol w:w="471"/>
        <w:gridCol w:w="473"/>
        <w:gridCol w:w="109"/>
        <w:gridCol w:w="109"/>
        <w:gridCol w:w="109"/>
        <w:gridCol w:w="317"/>
        <w:gridCol w:w="1120"/>
        <w:gridCol w:w="176"/>
        <w:gridCol w:w="109"/>
        <w:gridCol w:w="109"/>
        <w:gridCol w:w="109"/>
        <w:gridCol w:w="234"/>
        <w:gridCol w:w="234"/>
        <w:gridCol w:w="238"/>
        <w:gridCol w:w="109"/>
        <w:gridCol w:w="109"/>
        <w:gridCol w:w="109"/>
        <w:gridCol w:w="317"/>
        <w:gridCol w:w="1120"/>
        <w:gridCol w:w="176"/>
        <w:gridCol w:w="109"/>
        <w:gridCol w:w="109"/>
        <w:gridCol w:w="109"/>
        <w:gridCol w:w="234"/>
        <w:gridCol w:w="234"/>
        <w:gridCol w:w="238"/>
        <w:gridCol w:w="109"/>
        <w:gridCol w:w="109"/>
        <w:gridCol w:w="109"/>
        <w:gridCol w:w="361"/>
        <w:gridCol w:w="327"/>
        <w:gridCol w:w="475"/>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 Paid (Received)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490" w:type="dxa"/>
            <w:gridSpan w:val="6"/>
            <w:tcBorders/>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27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Entered into December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3, 2023</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Entered into 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2.34150%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2026</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Fixed rate paid prior to the May 9, 2023 amendment was 2.3820%.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rate swap agreements, excluding the portion treated as debt, are recognized at fair value in the Condensed Consolidated Balance Sheets and are valued using pricing models that rely on market observable inputs such as yield curve data, which are classified as Level 2 inputs within the fair value hierarchy.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Values of Derivatives on the Condensed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our derivatives and their location on the Condensed Consolidated Balance Sheets as of December 31, 2023 and March 31, 2024 were as follows: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30"/>
        <w:gridCol w:w="1169"/>
        <w:gridCol w:w="1180"/>
        <w:gridCol w:w="747"/>
        <w:gridCol w:w="747"/>
        <w:gridCol w:w="749"/>
        <w:gridCol w:w="196"/>
        <w:gridCol w:w="466"/>
        <w:gridCol w:w="109"/>
        <w:gridCol w:w="109"/>
        <w:gridCol w:w="109"/>
        <w:gridCol w:w="109"/>
        <w:gridCol w:w="217"/>
        <w:gridCol w:w="517"/>
        <w:gridCol w:w="122"/>
        <w:gridCol w:w="109"/>
        <w:gridCol w:w="109"/>
        <w:gridCol w:w="109"/>
        <w:gridCol w:w="196"/>
        <w:gridCol w:w="466"/>
        <w:gridCol w:w="109"/>
        <w:gridCol w:w="109"/>
        <w:gridCol w:w="109"/>
        <w:gridCol w:w="109"/>
        <w:gridCol w:w="216"/>
        <w:gridCol w:w="514"/>
        <w:gridCol w:w="174"/>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current liabilities </w:t>
            </w:r>
            <w:r>
              <w:rPr>
                <w:rFonts w:ascii="Times New Roman;sans-serif" w:hAnsi="Times New Roman;sans-serif"/>
                <w:b w:val="false"/>
                <w:color w:val="000000"/>
                <w:sz w:val="12"/>
              </w:rPr>
              <w:t>(1)</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non-current liabilities </w:t>
            </w:r>
            <w:r>
              <w:rPr>
                <w:rFonts w:ascii="Times New Roman;sans-serif" w:hAnsi="Times New Roman;sans-serif"/>
                <w:b w:val="false"/>
                <w:color w:val="000000"/>
                <w:sz w:val="12"/>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entire balance is comprised of the financing component of the pay-fixed interest rate swap.</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we do not offset assets and liabilities under master netting arrangements and all amounts above are presented on a gross basis. The following table, however, is presented on a net asset and net liability basis:</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461"/>
        <w:gridCol w:w="278"/>
        <w:gridCol w:w="279"/>
        <w:gridCol w:w="331"/>
        <w:gridCol w:w="791"/>
        <w:gridCol w:w="187"/>
        <w:gridCol w:w="109"/>
        <w:gridCol w:w="109"/>
        <w:gridCol w:w="109"/>
        <w:gridCol w:w="382"/>
        <w:gridCol w:w="937"/>
        <w:gridCol w:w="213"/>
        <w:gridCol w:w="109"/>
        <w:gridCol w:w="109"/>
        <w:gridCol w:w="109"/>
        <w:gridCol w:w="229"/>
        <w:gridCol w:w="548"/>
        <w:gridCol w:w="129"/>
        <w:gridCol w:w="109"/>
        <w:gridCol w:w="109"/>
        <w:gridCol w:w="109"/>
        <w:gridCol w:w="331"/>
        <w:gridCol w:w="791"/>
        <w:gridCol w:w="187"/>
        <w:gridCol w:w="109"/>
        <w:gridCol w:w="109"/>
        <w:gridCol w:w="109"/>
        <w:gridCol w:w="382"/>
        <w:gridCol w:w="937"/>
        <w:gridCol w:w="213"/>
        <w:gridCol w:w="109"/>
        <w:gridCol w:w="109"/>
        <w:gridCol w:w="109"/>
        <w:gridCol w:w="228"/>
        <w:gridCol w:w="544"/>
        <w:gridCol w:w="192"/>
      </w:tblGrid>
      <w:tr>
        <w:trPr/>
        <w:tc>
          <w:tcPr>
            <w:tcW w:w="4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Effect of Derivatives on the Condensed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our derivatives and their location on the Condensed Consolidated Statements of Comprehensive Loss for the three months ended March 31, 2023 and 2024 was as follows: </w:t>
      </w:r>
    </w:p>
    <w:tbl>
      <w:tblPr>
        <w:tblW w:w="8965" w:type="dxa"/>
        <w:jc w:val="left"/>
        <w:tblInd w:w="0" w:type="dxa"/>
        <w:tblLayout w:type="fixed"/>
        <w:tblCellMar>
          <w:top w:w="28" w:type="dxa"/>
          <w:left w:w="28" w:type="dxa"/>
          <w:bottom w:w="28" w:type="dxa"/>
          <w:right w:w="28" w:type="dxa"/>
        </w:tblCellMar>
      </w:tblPr>
      <w:tblGrid>
        <w:gridCol w:w="1442"/>
        <w:gridCol w:w="1268"/>
        <w:gridCol w:w="1279"/>
        <w:gridCol w:w="639"/>
        <w:gridCol w:w="639"/>
        <w:gridCol w:w="641"/>
        <w:gridCol w:w="270"/>
        <w:gridCol w:w="643"/>
        <w:gridCol w:w="150"/>
        <w:gridCol w:w="150"/>
        <w:gridCol w:w="150"/>
        <w:gridCol w:w="150"/>
        <w:gridCol w:w="270"/>
        <w:gridCol w:w="643"/>
        <w:gridCol w:w="150"/>
        <w:gridCol w:w="109"/>
        <w:gridCol w:w="109"/>
        <w:gridCol w:w="109"/>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$56.9 million and $43.7 million for the three months ended March 31, 2023 and 2024, respectively. As of March 31, 2024, the amount of cash flow hedge gain included within "Accumulated other comprehensive income" that is expected to be reclassified as a reduction to "Interest expense" over the next 12 months is approximately $52.7 million. See Note 12, "Accumulated Other Comprehensive Income (Loss)," for information regarding changes in fair value of our derivatives designated as hedging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Credit-risk-related Contingent Features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agreements with interest rate swap counterparties that contain a provision whereby if we default on any of our material indebtedness, then we could also be declared in default of our interest rate swap agreements. As of March 31, 2024, our outstanding interest rate swap agreement was in a net asset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Accumulated Other Comprehensive Income (Loss)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income (loss) consisted of the following: </w:t>
      </w:r>
    </w:p>
    <w:tbl>
      <w:tblPr>
        <w:tblW w:w="10205" w:type="dxa"/>
        <w:jc w:val="center"/>
        <w:tblInd w:w="0" w:type="dxa"/>
        <w:tblLayout w:type="fixed"/>
        <w:tblCellMar>
          <w:top w:w="28" w:type="dxa"/>
          <w:left w:w="28" w:type="dxa"/>
          <w:bottom w:w="28" w:type="dxa"/>
          <w:right w:w="28" w:type="dxa"/>
        </w:tblCellMar>
      </w:tblPr>
      <w:tblGrid>
        <w:gridCol w:w="1389"/>
        <w:gridCol w:w="1033"/>
        <w:gridCol w:w="981"/>
        <w:gridCol w:w="553"/>
        <w:gridCol w:w="1362"/>
        <w:gridCol w:w="310"/>
        <w:gridCol w:w="109"/>
        <w:gridCol w:w="109"/>
        <w:gridCol w:w="109"/>
        <w:gridCol w:w="474"/>
        <w:gridCol w:w="1127"/>
        <w:gridCol w:w="265"/>
        <w:gridCol w:w="109"/>
        <w:gridCol w:w="109"/>
        <w:gridCol w:w="109"/>
        <w:gridCol w:w="492"/>
        <w:gridCol w:w="1171"/>
        <w:gridCol w:w="394"/>
      </w:tblGrid>
      <w:tr>
        <w:trPr/>
        <w:tc>
          <w:tcPr>
            <w:tcW w:w="138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millions)</w:t>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 expense of $0.4</w:t>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 contracts, net of tax benefit of $1.9</w:t>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Amount reclassified from Accumulated comprehensive income (loss) into earnings, net of tax expense of $2.0</w:t>
            </w:r>
            <w:r>
              <w:rPr>
                <w:rFonts w:ascii="Times New Roman;sans-serif" w:hAnsi="Times New Roman;sans-serif"/>
                <w:b w:val="false"/>
                <w:color w:val="000000"/>
                <w:sz w:val="12"/>
              </w:rPr>
              <w:t>(1)</w:t>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a reduction to interest expense recognized of $12.2 million related to the cash flow hedge gain for the three months ended March 31, 2023, partially offset by an increase to interest expense for the amortization of off-market swap value and accumulated loss at hedge de-designation of $4.6 million.</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93"/>
        <w:gridCol w:w="1036"/>
        <w:gridCol w:w="983"/>
        <w:gridCol w:w="625"/>
        <w:gridCol w:w="1247"/>
        <w:gridCol w:w="349"/>
        <w:gridCol w:w="109"/>
        <w:gridCol w:w="109"/>
        <w:gridCol w:w="109"/>
        <w:gridCol w:w="473"/>
        <w:gridCol w:w="1126"/>
        <w:gridCol w:w="265"/>
        <w:gridCol w:w="109"/>
        <w:gridCol w:w="109"/>
        <w:gridCol w:w="109"/>
        <w:gridCol w:w="491"/>
        <w:gridCol w:w="1170"/>
        <w:gridCol w:w="393"/>
      </w:tblGrid>
      <w:tr>
        <w:trPr/>
        <w:tc>
          <w:tcPr>
            <w:tcW w:w="139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millions)</w:t>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 benefit of $0.2</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 net of tax expense of $4.5</w:t>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reclassified from Accumulated comprehensive income (loss) into earnings, net of tax expense of $3.8 </w:t>
            </w:r>
            <w:r>
              <w:rPr>
                <w:rFonts w:ascii="Times New Roman;sans-serif" w:hAnsi="Times New Roman;sans-serif"/>
                <w:b w:val="false"/>
                <w:color w:val="000000"/>
                <w:sz w:val="12"/>
              </w:rPr>
              <w:t>(1)</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a reduction to interest expense recognized of $14.9 million related to the cash flow hedge gain for the three months ended March 31, 2024.</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Segment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operating profit.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we identified that an immaterial amount of revenue for a certain Private Cloud product offering was incorrectly reported in the Public Cloud segment in historical periods. Revenue by segment for the three months ended March 31, 2023 has been corrected in the table below by reducing Public Cloud revenue by $1.1 million and increasing Private Cloud revenue by $1.1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a reconciliation of revenue by reportable segment to consolidated revenue and a reconciliation of consolidated segment operating profit to consolidated loss before income taxes for the three months ended March 31, 2023 and 2024. </w:t>
      </w:r>
    </w:p>
    <w:tbl>
      <w:tblPr>
        <w:tblW w:w="10205" w:type="dxa"/>
        <w:jc w:val="center"/>
        <w:tblInd w:w="0" w:type="dxa"/>
        <w:tblLayout w:type="fixed"/>
        <w:tblCellMar>
          <w:top w:w="28" w:type="dxa"/>
          <w:left w:w="28" w:type="dxa"/>
          <w:bottom w:w="28" w:type="dxa"/>
          <w:right w:w="28" w:type="dxa"/>
        </w:tblCellMar>
      </w:tblPr>
      <w:tblGrid>
        <w:gridCol w:w="2712"/>
        <w:gridCol w:w="2259"/>
        <w:gridCol w:w="2264"/>
        <w:gridCol w:w="224"/>
        <w:gridCol w:w="710"/>
        <w:gridCol w:w="123"/>
        <w:gridCol w:w="123"/>
        <w:gridCol w:w="123"/>
        <w:gridCol w:w="123"/>
        <w:gridCol w:w="224"/>
        <w:gridCol w:w="710"/>
        <w:gridCol w:w="123"/>
        <w:gridCol w:w="109"/>
        <w:gridCol w:w="109"/>
        <w:gridCol w:w="109"/>
        <w:gridCol w:w="160"/>
      </w:tblGrid>
      <w:tr>
        <w:trPr/>
        <w:tc>
          <w:tcPr>
            <w:tcW w:w="2712"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Revenue by segment:</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consolidated revenue</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Segment operating profit:</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segment operating profit</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(1)</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(2)</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(3)</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(4)</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investments,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on debt extinguishment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loss before income taxes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2"/>
        <w:gridCol w:w="2869"/>
        <w:gridCol w:w="4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8"/>
              </w:rPr>
              <w:t xml:space="preserve">Includes consulting and advisory fees related to business transformation and optimization activities, payroll costs for employees that dedicate significant time to these projects, as well as associated severance, certain facility closure costs, and lease termination expenses. The first quarter of 2024 also includes a </w:t>
            </w:r>
            <w:r>
              <w:rPr>
                <w:rFonts w:ascii="Times New Roman;sans-serif" w:hAnsi="Times New Roman;sans-serif"/>
                <w:b w:val="false"/>
                <w:color w:val="000000"/>
                <w:sz w:val="18"/>
                <w:shd w:fill="FFFFFF" w:val="clear"/>
              </w:rPr>
              <w:t xml:space="preserve">$9.0 million </w:t>
            </w:r>
            <w:r>
              <w:rPr>
                <w:rFonts w:ascii="Times New Roman;sans-serif" w:hAnsi="Times New Roman;sans-serif"/>
                <w:b w:val="false"/>
                <w:color w:val="000000"/>
                <w:sz w:val="18"/>
              </w:rPr>
              <w:t>MEIA early termination fee associated with the sale of our corporate headquarters.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depreciation expense included in segment operating profit above for the three months ended March 31, 2023 and 2024. </w:t>
      </w:r>
    </w:p>
    <w:p>
      <w:pPr>
        <w:pStyle w:val="TextBody"/>
        <w:bidi w:val="0"/>
        <w:spacing w:before="0" w:after="0"/>
        <w:ind w:left="0" w:right="0" w:firstLine="540"/>
        <w:jc w:val="left"/>
        <w:rPr/>
      </w:pPr>
      <w:r>
        <w:rPr/>
      </w:r>
    </w:p>
    <w:tbl>
      <w:tblPr>
        <w:tblW w:w="5292" w:type="dxa"/>
        <w:jc w:val="left"/>
        <w:tblInd w:w="0" w:type="dxa"/>
        <w:tblLayout w:type="fixed"/>
        <w:tblCellMar>
          <w:top w:w="28" w:type="dxa"/>
          <w:left w:w="28" w:type="dxa"/>
          <w:bottom w:w="28" w:type="dxa"/>
          <w:right w:w="28" w:type="dxa"/>
        </w:tblCellMar>
      </w:tblPr>
      <w:tblGrid>
        <w:gridCol w:w="811"/>
        <w:gridCol w:w="711"/>
        <w:gridCol w:w="713"/>
        <w:gridCol w:w="270"/>
        <w:gridCol w:w="643"/>
        <w:gridCol w:w="150"/>
        <w:gridCol w:w="150"/>
        <w:gridCol w:w="150"/>
        <w:gridCol w:w="150"/>
        <w:gridCol w:w="270"/>
        <w:gridCol w:w="643"/>
        <w:gridCol w:w="150"/>
        <w:gridCol w:w="109"/>
        <w:gridCol w:w="109"/>
        <w:gridCol w:w="109"/>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depreciation expense</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use total assets by segment to evaluate segment performance or allocate resources. As such, total assets by segment are not disclosed.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ITEM 2 - MANAGEMENT'S DISCUSSION AND ANALYSIS OF FINANCIAL CONDITION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The following Management</w:t>
      </w:r>
      <w:r>
        <w:rPr>
          <w:rFonts w:ascii="Times New Roman;sans-serif" w:hAnsi="Times New Roman;sans-serif"/>
          <w:b w:val="false"/>
          <w:color w:val="000000"/>
          <w:sz w:val="20"/>
        </w:rPr>
        <w:t>'</w:t>
      </w:r>
      <w:r>
        <w:rPr>
          <w:rFonts w:ascii="Times New Roman;sans-serif" w:hAnsi="Times New Roman;sans-serif"/>
          <w:b w:val="false"/>
          <w:i/>
          <w:color w:val="000000"/>
          <w:sz w:val="20"/>
        </w:rPr>
        <w:t>s Discussion and Analysis of Financial Condition and Results of Operations (</w:t>
      </w:r>
      <w:r>
        <w:rPr>
          <w:rFonts w:ascii="Times New Roman;sans-serif" w:hAnsi="Times New Roman;sans-serif"/>
          <w:b w:val="false"/>
          <w:color w:val="000000"/>
          <w:sz w:val="20"/>
        </w:rPr>
        <w:t>"</w:t>
      </w:r>
      <w:r>
        <w:rPr>
          <w:rFonts w:ascii="Times New Roman;sans-serif" w:hAnsi="Times New Roman;sans-serif"/>
          <w:b w:val="false"/>
          <w:i/>
          <w:color w:val="000000"/>
          <w:sz w:val="20"/>
        </w:rPr>
        <w:t>MD&amp;A</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Times New Roman;sans-serif" w:hAnsi="Times New Roman;sans-serif"/>
          <w:b w:val="false"/>
          <w:color w:val="000000"/>
          <w:sz w:val="20"/>
        </w:rPr>
        <w:t>"</w:t>
      </w:r>
      <w:r>
        <w:rPr>
          <w:rFonts w:ascii="Times New Roman;sans-serif" w:hAnsi="Times New Roman;sans-serif"/>
          <w:b w:val="false"/>
          <w:i/>
          <w:color w:val="000000"/>
          <w:sz w:val="20"/>
        </w:rPr>
        <w:t>Rackspace Technology,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we,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our company,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the company,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us,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or </w:t>
      </w:r>
      <w:r>
        <w:rPr>
          <w:rFonts w:ascii="Times New Roman;sans-serif" w:hAnsi="Times New Roman;sans-serif"/>
          <w:b w:val="false"/>
          <w:color w:val="000000"/>
          <w:sz w:val="20"/>
        </w:rPr>
        <w:t>"</w:t>
      </w:r>
      <w:r>
        <w:rPr>
          <w:rFonts w:ascii="Times New Roman;sans-serif" w:hAnsi="Times New Roman;sans-serif"/>
          <w:b w:val="false"/>
          <w:i/>
          <w:color w:val="000000"/>
          <w:sz w:val="20"/>
        </w:rPr>
        <w:t>our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refer to Rackspace Technology, Inc.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The following discussion contains forward-looking statements that are subject to risks and uncertainties. Actual results may differ materially from those contained in any forward-looking statements. See </w:t>
      </w:r>
      <w:r>
        <w:rPr>
          <w:rFonts w:ascii="Times New Roman;sans-serif" w:hAnsi="Times New Roman;sans-serif"/>
          <w:b w:val="false"/>
          <w:color w:val="000000"/>
          <w:sz w:val="20"/>
        </w:rPr>
        <w:t>"</w:t>
      </w:r>
      <w:r>
        <w:rPr>
          <w:rFonts w:ascii="Times New Roman;sans-serif" w:hAnsi="Times New Roman;sans-serif"/>
          <w:b w:val="false"/>
          <w:i/>
          <w:color w:val="000000"/>
          <w:sz w:val="20"/>
        </w:rPr>
        <w:t>Special Note Regarding Forward-Looking Statements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contained elsewhere in this Quarterly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end-to-end, hybrid, multicloud,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operate our business and report our results through two reportable segments: Public Cloud and Private Cloud. </w:t>
      </w:r>
      <w:r>
        <w:rPr>
          <w:rFonts w:ascii="Times New Roman;sans-serif" w:hAnsi="Times New Roman;sans-serif"/>
          <w:b w:val="false"/>
          <w:color w:val="000000"/>
          <w:sz w:val="20"/>
          <w:shd w:fill="FFFFFF" w:val="clear"/>
        </w:rPr>
        <w:t>Our Public Cloud segment is a services-centric, capital-light model providing value-added cloud solutions through</w:t>
      </w:r>
      <w:r>
        <w:rPr>
          <w:color w:val="000000"/>
        </w:rPr>
        <w:t xml:space="preserve"> </w:t>
      </w:r>
      <w:r>
        <w:rPr>
          <w:rFonts w:ascii="Times New Roman;sans-serif" w:hAnsi="Times New Roman;sans-serif"/>
          <w:b w:val="false"/>
          <w:color w:val="000000"/>
          <w:sz w:val="20"/>
        </w:rPr>
        <w:t>managed services, Elastic Engineering and professional services offerings for customer environments hosted on the AWS, Microsoft Azure and Google Cloud public cloud platforms</w:t>
      </w:r>
      <w:r>
        <w:rPr>
          <w:rFonts w:ascii="Times New Roman;sans-serif" w:hAnsi="Times New Roman;sans-serif"/>
          <w:b w:val="false"/>
          <w:color w:val="000000"/>
          <w:sz w:val="20"/>
          <w:shd w:fill="FFFFFF" w:val="clear"/>
        </w:rPr>
        <w:t xml:space="preserve">. Our Private Cloud segment is a technology-forward, capital-intensive model providing </w:t>
      </w:r>
      <w:r>
        <w:rPr>
          <w:rFonts w:ascii="Times New Roman;sans-serif" w:hAnsi="Times New Roman;sans-serif"/>
          <w:b w:val="false"/>
          <w:color w:val="000000"/>
          <w:sz w:val="20"/>
        </w:rPr>
        <w:t>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r>
        <w:rPr>
          <w:rFonts w:ascii="Times New Roman;sans-serif" w:hAnsi="Times New Roman;sans-serif"/>
          <w:b w:val="false"/>
          <w:color w:val="000000"/>
          <w:sz w:val="20"/>
          <w:shd w:fill="FFFFFF" w:val="clear"/>
        </w:rPr>
        <w:t xml:space="preserve">. See Item 1 of Part I, Financial Statements - Note 13, "Segment Reporting," for additional information about our segments.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Differentiating Our Service Offerings in a Competitive Market Environment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w:t>
      </w:r>
      <w:r>
        <w:rPr>
          <w:color w:val="000000"/>
          <w:shd w:fill="FFFFFF" w:val="clear"/>
        </w:rPr>
        <w:t xml:space="preserve"> </w:t>
      </w:r>
      <w:r>
        <w:rPr>
          <w:rFonts w:ascii="Times New Roman;sans-serif" w:hAnsi="Times New Roman;sans-serif"/>
          <w:b w:val="false"/>
          <w:color w:val="000000"/>
          <w:sz w:val="20"/>
          <w:shd w:fill="FFFFFF" w:val="clear"/>
        </w:rPr>
        <w:t xml:space="preserve">new recurring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Customer Relationships and Retention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Mix Shift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Key Components of Statement of Operations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 (SG&amp;A)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SG&amp;A also includes transaction costs related to acquisitions and financings along with costs related to integration and business transformation initiatives which may impact the comparability of SG&amp;A between periods.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w:t>
      </w:r>
      <w:r>
        <w:rPr>
          <w:rFonts w:ascii="Times New Roman;sans-serif" w:hAnsi="Times New Roman;sans-serif"/>
          <w:b w:val="false"/>
          <w:color w:val="000000"/>
          <w:sz w:val="20"/>
          <w:shd w:fill="FFFFFF" w:val="clear"/>
        </w:rPr>
        <w:t>"Taxes."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discuss our historical results of operations, and the key components of those results, below. Past financial results are not necessarily indicative of future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2023 Compared to Three Months Ended March 31, 2024</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042"/>
        <w:gridCol w:w="705"/>
        <w:gridCol w:w="692"/>
        <w:gridCol w:w="196"/>
        <w:gridCol w:w="596"/>
        <w:gridCol w:w="109"/>
        <w:gridCol w:w="109"/>
        <w:gridCol w:w="109"/>
        <w:gridCol w:w="109"/>
        <w:gridCol w:w="278"/>
        <w:gridCol w:w="278"/>
        <w:gridCol w:w="537"/>
        <w:gridCol w:w="109"/>
        <w:gridCol w:w="109"/>
        <w:gridCol w:w="109"/>
        <w:gridCol w:w="196"/>
        <w:gridCol w:w="596"/>
        <w:gridCol w:w="109"/>
        <w:gridCol w:w="109"/>
        <w:gridCol w:w="109"/>
        <w:gridCol w:w="109"/>
        <w:gridCol w:w="278"/>
        <w:gridCol w:w="278"/>
        <w:gridCol w:w="537"/>
        <w:gridCol w:w="109"/>
        <w:gridCol w:w="109"/>
        <w:gridCol w:w="109"/>
        <w:gridCol w:w="230"/>
        <w:gridCol w:w="601"/>
        <w:gridCol w:w="127"/>
        <w:gridCol w:w="127"/>
        <w:gridCol w:w="127"/>
        <w:gridCol w:w="127"/>
        <w:gridCol w:w="277"/>
        <w:gridCol w:w="279"/>
        <w:gridCol w:w="575"/>
      </w:tblGrid>
      <w:tr>
        <w:trPr/>
        <w:tc>
          <w:tcPr>
            <w:tcW w:w="104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investments, net</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on debt extinguishment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both"/>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Revenue decreased $68 million, or 8.9%, to $691 million in the three months ended March 31, 2024 from $759 million in the three months ended March 31, 2023</w:t>
      </w:r>
      <w:r>
        <w:rPr>
          <w:rFonts w:ascii="Times New Roman;sans-serif" w:hAnsi="Times New Roman;sans-serif"/>
          <w:b w:val="false"/>
          <w:color w:val="000000"/>
          <w:sz w:val="20"/>
          <w:shd w:fill="FFFFFF" w:val="clear"/>
        </w:rPr>
        <w:t xml:space="preserve">. Revenue declined due to decreases in both Private Cloud and Public Cloud revenue,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After removing the impact of foreign currency fluctuations, on a constant currency basis, revenue decreased 9.3% year-over-year. The following table presents revenue growth by segment:</w:t>
      </w:r>
    </w:p>
    <w:tbl>
      <w:tblPr>
        <w:tblW w:w="7659" w:type="dxa"/>
        <w:jc w:val="center"/>
        <w:tblInd w:w="0" w:type="dxa"/>
        <w:tblLayout w:type="fixed"/>
        <w:tblCellMar>
          <w:top w:w="28" w:type="dxa"/>
          <w:left w:w="28" w:type="dxa"/>
          <w:bottom w:w="28" w:type="dxa"/>
          <w:right w:w="28" w:type="dxa"/>
        </w:tblCellMar>
      </w:tblPr>
      <w:tblGrid>
        <w:gridCol w:w="619"/>
        <w:gridCol w:w="543"/>
        <w:gridCol w:w="548"/>
        <w:gridCol w:w="246"/>
        <w:gridCol w:w="700"/>
        <w:gridCol w:w="137"/>
        <w:gridCol w:w="137"/>
        <w:gridCol w:w="137"/>
        <w:gridCol w:w="137"/>
        <w:gridCol w:w="246"/>
        <w:gridCol w:w="700"/>
        <w:gridCol w:w="137"/>
        <w:gridCol w:w="109"/>
        <w:gridCol w:w="109"/>
        <w:gridCol w:w="109"/>
        <w:gridCol w:w="268"/>
        <w:gridCol w:w="272"/>
        <w:gridCol w:w="334"/>
        <w:gridCol w:w="109"/>
        <w:gridCol w:w="109"/>
        <w:gridCol w:w="109"/>
        <w:gridCol w:w="387"/>
        <w:gridCol w:w="387"/>
        <w:gridCol w:w="107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Constant Currency </w:t>
            </w:r>
            <w:r>
              <w:rPr>
                <w:rFonts w:ascii="Times New Roman;sans-serif" w:hAnsi="Times New Roman;sans-serif"/>
                <w:b/>
                <w:color w:val="000000"/>
                <w:sz w:val="12"/>
              </w:rPr>
              <w:t>(a)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540"/>
        <w:jc w:val="left"/>
        <w:rPr/>
      </w:pPr>
      <w:r>
        <w:rPr>
          <w:rFonts w:ascii="Times New Roman;sans-serif" w:hAnsi="Times New Roman;sans-serif"/>
          <w:b w:val="false"/>
          <w:color w:val="000000"/>
          <w:sz w:val="18"/>
        </w:rPr>
        <w:t>(a)     Refer to "</w:t>
      </w:r>
      <w:r>
        <w:rPr>
          <w:rFonts w:ascii="Times New Roman;sans-serif" w:hAnsi="Times New Roman;sans-serif"/>
          <w:b w:val="false"/>
          <w:i/>
          <w:color w:val="000000"/>
          <w:sz w:val="18"/>
        </w:rPr>
        <w:t>Non-GAAP Financial Measures</w:t>
      </w:r>
      <w:r>
        <w:rPr>
          <w:rFonts w:ascii="Times New Roman;sans-serif" w:hAnsi="Times New Roman;sans-serif"/>
          <w:b w:val="false"/>
          <w:color w:val="000000"/>
          <w:sz w:val="18"/>
        </w:rPr>
        <w:t xml:space="preserve">" in this section for further explanation and reconciliation. </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Public Cloud revenue in the three months ended March 31, 2024 decreased 5% on an actual and constant currency basis, from the three months ended March 31, 2023. The decline was due to macro-economic pressures which caused a tightening of customer discretionary spend and optimizations, along with continued cyclical headwinds in IT services.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Private Cloud revenue in the three months ended March 31, 2024 decreased 15% on an actual basis and 16% on a constant currency basis, from the three months ended March 31, 2023, due to customers rolling off old generation private cloud offerings and expected decline in legacy OpenStack offerings.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$31 million, or 5%, to $558 million in the three months ended March 31, 2024 from $589 million in the three months ended March 31, 2023. The decrease in cost of revenue was primarily due to a decline in personnel costs associated with a reduction in headcount between periods and lower severance expense. Also contributing to the reduction in cost of revenue was an increase in the useful life of certain customer gear assets, as discussed in Item 1 of Part I, Financial Statements - Note 1, "Company Overview, Basis of Presentation, and Summary of Significant Accounting Policies", which resulted in a decline in depreciation expense between periods. Increased usage charges for third-party infrastructure partially offset these reductions.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a percentage of revenue, cost of revenue increased 320 basis points in the three months ended March 31, 2024</w:t>
      </w:r>
      <w:r>
        <w:rPr>
          <w:color w:val="000000"/>
        </w:rPr>
        <w:t xml:space="preserve"> </w:t>
      </w:r>
      <w:r>
        <w:rPr>
          <w:rFonts w:ascii="Times New Roman;sans-serif" w:hAnsi="Times New Roman;sans-serif"/>
          <w:b w:val="false"/>
          <w:color w:val="000000"/>
          <w:sz w:val="20"/>
        </w:rPr>
        <w:t>to 80.8% from 77.6% in the three months ended March 31, 2023 as the decline in revenue growth outpaced the decrease in cost of revenue. Usage charges for third-party infrastructure drove a 510 basis point increase. Higher data center and license expense also contributed to the increase between periods. The decrease in personnel costs and depreciation expense, discussed above, partially offset the increase.</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gross profit was $133 million in the three months ended March 31, 2024, a</w:t>
      </w:r>
      <w:r>
        <w:rPr>
          <w:color w:val="000000"/>
          <w:shd w:fill="FFFFFF" w:val="clear"/>
        </w:rPr>
        <w:t xml:space="preserve"> </w:t>
      </w:r>
      <w:r>
        <w:rPr>
          <w:rFonts w:ascii="Times New Roman;sans-serif" w:hAnsi="Times New Roman;sans-serif"/>
          <w:b w:val="false"/>
          <w:color w:val="000000"/>
          <w:sz w:val="20"/>
          <w:shd w:fill="FFFFFF" w:val="clear"/>
        </w:rPr>
        <w:t>decrease</w:t>
      </w:r>
      <w:r>
        <w:rPr>
          <w:color w:val="000000"/>
        </w:rPr>
        <w:t xml:space="preserve"> </w:t>
      </w:r>
      <w:r>
        <w:rPr>
          <w:rFonts w:ascii="Times New Roman;sans-serif" w:hAnsi="Times New Roman;sans-serif"/>
          <w:b w:val="false"/>
          <w:color w:val="000000"/>
          <w:sz w:val="20"/>
        </w:rPr>
        <w:t xml:space="preserve">of $37 million from $170 million in the three months ended March 31, 2023. Our gross margin was 19.2% in the three months ended March 31, 2024, a decrease of 320 basis points from 22.4% in the three months ended March 31, 2023.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Selling, general and administrative expenses decreased $15 million, or 7%, to $192 million in the three months ended March 31, 2024 from $208 million in the three months ended March 31, 2023. The decrease was due to a decline in personnel costs associated with a reduction in salaries driven by lower headcount and decreases in severance and commissions expense. Other non-personnel costs fluctuations included lower professional fees and a reduction in depreciation and amortization expense between periods. The first quarter of 2024 includes a $9 million early termination fee associated with the sale of our corporate headquarters, which partially offset the previously mentioned expense reductions.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 selling, general and administrative expenses increased 50 basis points, to 27.9% in the three months ended March 31, 2024 from 27.4% in the three months ended March 31, 2023 as the decline in revenue growth outpaced the decrease in selling, general and administrative expenses.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loss from operations was $653 million in the three months ended March 31, 2024 compared to $581 million in the three months ended March 31, 2023. Our Non-GAAP Operating Profit was $16 million in the three months ended March 31, 2024, a decrease of $34 million from $51 million in the three months ended March 31, 2023.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loss from operations to Non-GAAP Operating Profit.</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822"/>
        <w:gridCol w:w="2409"/>
        <w:gridCol w:w="2409"/>
        <w:gridCol w:w="225"/>
        <w:gridCol w:w="718"/>
        <w:gridCol w:w="124"/>
        <w:gridCol w:w="124"/>
        <w:gridCol w:w="124"/>
        <w:gridCol w:w="124"/>
        <w:gridCol w:w="225"/>
        <w:gridCol w:w="718"/>
        <w:gridCol w:w="183"/>
      </w:tblGrid>
      <w:tr>
        <w:trPr/>
        <w:tc>
          <w:tcPr>
            <w:tcW w:w="282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(b)</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(d)</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7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2"/>
        <w:gridCol w:w="2869"/>
        <w:gridCol w:w="4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first quarter of 2024 also includes a $9.0 million MEIA early termination fee associated with the sale of our corporate headquarters.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851"/>
        <w:gridCol w:w="623"/>
        <w:gridCol w:w="629"/>
        <w:gridCol w:w="196"/>
        <w:gridCol w:w="466"/>
        <w:gridCol w:w="109"/>
        <w:gridCol w:w="109"/>
        <w:gridCol w:w="109"/>
        <w:gridCol w:w="109"/>
        <w:gridCol w:w="362"/>
        <w:gridCol w:w="306"/>
        <w:gridCol w:w="721"/>
        <w:gridCol w:w="109"/>
        <w:gridCol w:w="109"/>
        <w:gridCol w:w="109"/>
        <w:gridCol w:w="196"/>
        <w:gridCol w:w="466"/>
        <w:gridCol w:w="109"/>
        <w:gridCol w:w="109"/>
        <w:gridCol w:w="109"/>
        <w:gridCol w:w="109"/>
        <w:gridCol w:w="362"/>
        <w:gridCol w:w="306"/>
        <w:gridCol w:w="721"/>
        <w:gridCol w:w="109"/>
        <w:gridCol w:w="109"/>
        <w:gridCol w:w="109"/>
        <w:gridCol w:w="237"/>
        <w:gridCol w:w="625"/>
        <w:gridCol w:w="131"/>
        <w:gridCol w:w="131"/>
        <w:gridCol w:w="131"/>
        <w:gridCol w:w="131"/>
        <w:gridCol w:w="254"/>
        <w:gridCol w:w="256"/>
        <w:gridCol w:w="578"/>
      </w:tblGrid>
      <w:tr>
        <w:trPr/>
        <w:tc>
          <w:tcPr>
            <w:tcW w:w="8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2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operating profit: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segment operating profit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Public Cloud operating profit decreased 60% in the three months ended March 31, 2024 from the three months ended </w:t>
      </w:r>
      <w:r>
        <w:rPr>
          <w:rFonts w:ascii="Times New Roman;sans-serif" w:hAnsi="Times New Roman;sans-serif"/>
          <w:b w:val="false"/>
          <w:color w:val="000000"/>
          <w:sz w:val="20"/>
        </w:rPr>
        <w:t>March 31, 2023. Segment operating profit as a percentage of segment revenue decreased by 310 basis points, reflecting a 5% decrease in segment revenue, partially offset by a 2% decrease in segment operating expenses primarily due to lower personnel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Cloud operating profit decreased 24% in the three months ended March 31, 2024 from the three months ended March 31, 2023. Segment operating profit as a percentage of segment revenue decreased by 310 basis points, due to a 15% decrease in segment revenue, partially offset by an 11% decrease in segment operating expenses. The decrease in costs was mainly driven by a reduction in personnel costs.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Centralized corporate functions that provide services to the segments in areas such as accounting, information technology, marketing, legal and human resources are not allocated to the segments and are included in "corporate functions" in the table above. This expense decreased 3% in the three months ended March 31, 2024 from the three months ended March 31, 2023 primarily due to a reduction in depreciation and amortization expense between periods.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For more information about our segment </w:t>
      </w:r>
      <w:r>
        <w:rPr>
          <w:rFonts w:ascii="Times New Roman;sans-serif" w:hAnsi="Times New Roman;sans-serif"/>
          <w:b w:val="false"/>
          <w:color w:val="000000"/>
          <w:sz w:val="20"/>
          <w:shd w:fill="FFFFFF" w:val="clear"/>
        </w:rPr>
        <w:t>operating profit</w:t>
      </w:r>
      <w:r>
        <w:rPr>
          <w:rFonts w:ascii="Times New Roman;sans-serif" w:hAnsi="Times New Roman;sans-serif"/>
          <w:b w:val="false"/>
          <w:color w:val="000000"/>
          <w:sz w:val="20"/>
        </w:rPr>
        <w:t>, see Item 1 of Part I, Financial Statements - Note 13, "Segment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recorded a total of $543 million and $573 million in non-cash goodwill impairment charges in the three months ended </w:t>
      </w:r>
      <w:r>
        <w:rPr>
          <w:rFonts w:ascii="Times New Roman;sans-serif" w:hAnsi="Times New Roman;sans-serif"/>
          <w:b w:val="false"/>
          <w:color w:val="000000"/>
          <w:sz w:val="20"/>
          <w:shd w:fill="FFFFFF" w:val="clear"/>
        </w:rPr>
        <w:t>March 31, 2023 and 2024, respec</w:t>
      </w:r>
      <w:r>
        <w:rPr>
          <w:rFonts w:ascii="Times New Roman;sans-serif" w:hAnsi="Times New Roman;sans-serif"/>
          <w:b w:val="false"/>
          <w:color w:val="000000"/>
          <w:sz w:val="20"/>
        </w:rPr>
        <w:t>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connection with the debt refinancing transactions that were completed in March and April 2024, as further described in Item 1 of Part I, Financial Statements - Note 7, "Debt", we updated our internal forecasts.</w:t>
      </w:r>
      <w:r>
        <w:rPr>
          <w:color w:val="000000"/>
        </w:rPr>
        <w:t xml:space="preserve"> </w:t>
      </w:r>
      <w:r>
        <w:rPr>
          <w:rFonts w:ascii="Times New Roman;sans-serif" w:hAnsi="Times New Roman;sans-serif"/>
          <w:b w:val="false"/>
          <w:color w:val="000000"/>
          <w:sz w:val="20"/>
        </w:rPr>
        <w:t>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Assets, Net</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pPr>
      <w:r>
        <w:rPr>
          <w:rFonts w:ascii="Times New Roman;sans-serif" w:hAnsi="Times New Roman;sans-serif"/>
          <w:b w:val="false"/>
          <w:color w:val="000000"/>
          <w:sz w:val="20"/>
        </w:rPr>
        <w:t xml:space="preserve">We evaluated our indefinite-lived intangible asset for impairment as of February 29, 2024. As a result of this evaluation, we recorded a </w:t>
      </w:r>
      <w:r>
        <w:rPr>
          <w:rFonts w:ascii="Times New Roman;sans-serif" w:hAnsi="Times New Roman;sans-serif"/>
          <w:b w:val="false"/>
          <w:color w:val="000000"/>
          <w:sz w:val="20"/>
          <w:shd w:fill="FFFFFF" w:val="clear"/>
        </w:rPr>
        <w:t>$20 million</w:t>
      </w:r>
      <w:r>
        <w:rPr>
          <w:color w:val="000000"/>
        </w:rPr>
        <w:t xml:space="preserve"> </w:t>
      </w:r>
      <w:r>
        <w:rPr>
          <w:rFonts w:ascii="Times New Roman;sans-serif" w:hAnsi="Times New Roman;sans-serif"/>
          <w:b w:val="false"/>
          <w:color w:val="000000"/>
          <w:sz w:val="20"/>
        </w:rPr>
        <w:t>impairment of our indefinite-lived intangible asset in</w:t>
      </w:r>
      <w:r>
        <w:rPr>
          <w:color w:val="000000"/>
          <w:shd w:fill="FFFFFF" w:val="clear"/>
        </w:rPr>
        <w:t xml:space="preserve"> </w:t>
      </w:r>
      <w:r>
        <w:rPr>
          <w:rFonts w:ascii="Times New Roman;sans-serif" w:hAnsi="Times New Roman;sans-serif"/>
          <w:b w:val="false"/>
          <w:color w:val="000000"/>
          <w:sz w:val="20"/>
          <w:shd w:fill="FFFFFF" w:val="clear"/>
        </w:rPr>
        <w:t>the three months ended March 31, 2024. There w</w:t>
      </w:r>
      <w:r>
        <w:rPr>
          <w:rFonts w:ascii="Times New Roman;sans-serif" w:hAnsi="Times New Roman;sans-serif"/>
          <w:b w:val="false"/>
          <w:color w:val="000000"/>
          <w:sz w:val="20"/>
        </w:rPr>
        <w:t xml:space="preserve">as no such impairment in the three months ended </w:t>
      </w:r>
      <w:r>
        <w:rPr>
          <w:rFonts w:ascii="Times New Roman;sans-serif" w:hAnsi="Times New Roman;sans-serif"/>
          <w:b w:val="false"/>
          <w:color w:val="000000"/>
          <w:sz w:val="20"/>
          <w:shd w:fill="FFFFFF" w:val="clear"/>
        </w:rPr>
        <w:t>March 31, 2023</w:t>
      </w:r>
      <w:r>
        <w:rPr>
          <w:rFonts w:ascii="Times New Roman;sans-serif" w:hAnsi="Times New Roman;sans-serif"/>
          <w:b w:val="false"/>
          <w:i/>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decreased $13 million, or 23%, to $44 million in the three months ended March 31, 2024 from $57 million in the three months ended March 31, 2023, due primarily to debt repurchases between periods.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Debt Modification Costs and Gain on Debt Extinguishment</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$57 million of debt modification costs and gain on debt extinguishment in the three months ended March 31, 2024 related to the March 2024 Refinancing Transactions.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76" w:before="0" w:after="0"/>
        <w:ind w:left="0" w:right="0" w:firstLine="540"/>
        <w:jc w:val="left"/>
        <w:rPr/>
      </w:pPr>
      <w:r>
        <w:rPr>
          <w:rFonts w:ascii="Times New Roman;sans-serif" w:hAnsi="Times New Roman;sans-serif"/>
          <w:b w:val="false"/>
          <w:color w:val="000000"/>
          <w:sz w:val="20"/>
        </w:rPr>
        <w:t xml:space="preserve">We recorded a $13 million gain on debt extinguishment in the three months ended </w:t>
      </w:r>
      <w:r>
        <w:rPr>
          <w:rFonts w:ascii="Times New Roman;sans-serif" w:hAnsi="Times New Roman;sans-serif"/>
          <w:b w:val="false"/>
          <w:color w:val="000000"/>
          <w:sz w:val="20"/>
          <w:shd w:fill="FFFFFF" w:val="clear"/>
        </w:rPr>
        <w:t>March 31, 2023 r</w:t>
      </w:r>
      <w:r>
        <w:rPr>
          <w:rFonts w:ascii="Times New Roman;sans-serif" w:hAnsi="Times New Roman;sans-serif"/>
          <w:b w:val="false"/>
          <w:color w:val="000000"/>
          <w:sz w:val="20"/>
        </w:rPr>
        <w:t>elated to repurchases of $23 million principal amount of 5.375% Senior Notes.</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the March 2024 Refinancing Transactions, see Item 1 of Part I, Financial Statements - Note 7,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Income (Expense), Net </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ans-serif" w:hAnsi="Times New Roman;sans-serif"/>
          <w:b w:val="false"/>
          <w:color w:val="000000"/>
          <w:sz w:val="20"/>
        </w:rPr>
        <w:t xml:space="preserve">We had $6 million of other expense and $2 million of other income in </w:t>
      </w:r>
      <w:r>
        <w:rPr>
          <w:rFonts w:ascii="Times New Roman;sans-serif" w:hAnsi="Times New Roman;sans-serif"/>
          <w:b w:val="false"/>
          <w:color w:val="000000"/>
          <w:sz w:val="20"/>
          <w:shd w:fill="FFFFFF" w:val="clear"/>
        </w:rPr>
        <w:t xml:space="preserve">the three months ended March 31, 2024 and March 31, 2023, respectively, </w:t>
      </w:r>
      <w:r>
        <w:rPr>
          <w:rFonts w:ascii="Times New Roman;sans-serif" w:hAnsi="Times New Roman;sans-serif"/>
          <w:b w:val="false"/>
          <w:color w:val="000000"/>
          <w:sz w:val="20"/>
        </w:rPr>
        <w:t xml:space="preserve">primarily due to costs incurred in </w:t>
      </w:r>
      <w:r>
        <w:rPr>
          <w:rFonts w:ascii="Times New Roman;sans-serif" w:hAnsi="Times New Roman;sans-serif"/>
          <w:b w:val="false"/>
          <w:color w:val="000000"/>
          <w:sz w:val="20"/>
          <w:shd w:fill="FFFFFF" w:val="clear"/>
        </w:rPr>
        <w:t>the three months ended March 31, 2024</w:t>
      </w:r>
      <w:r>
        <w:rPr>
          <w:color w:val="000000"/>
        </w:rPr>
        <w:t xml:space="preserve"> </w:t>
      </w:r>
      <w:r>
        <w:rPr>
          <w:rFonts w:ascii="Times New Roman;sans-serif" w:hAnsi="Times New Roman;sans-serif"/>
          <w:b w:val="false"/>
          <w:color w:val="000000"/>
          <w:sz w:val="20"/>
        </w:rPr>
        <w:t xml:space="preserve">related to the accounts receivable purchase agreement entered into in September 2023 and the impact of foreign currency losses.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Benefit for Income T</w:t>
      </w:r>
      <w:r>
        <w:rPr>
          <w:rFonts w:ascii="Times New Roman;sans-serif" w:hAnsi="Times New Roman;sans-serif"/>
          <w:b w:val="false"/>
          <w:i/>
          <w:color w:val="000000"/>
          <w:sz w:val="20"/>
        </w:rPr>
        <w:t>axes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Our income tax benefit decreased to $5 million in the three months ended March 31, 2024 from $11 million in the three months ended March 31, 2023. Our effective tax rate decreased</w:t>
      </w:r>
      <w:r>
        <w:rPr>
          <w:color w:val="000000"/>
        </w:rPr>
        <w:t xml:space="preserve"> </w:t>
      </w:r>
      <w:r>
        <w:rPr>
          <w:rFonts w:ascii="Times New Roman;sans-serif" w:hAnsi="Times New Roman;sans-serif"/>
          <w:b w:val="false"/>
          <w:color w:val="000000"/>
          <w:sz w:val="20"/>
        </w:rPr>
        <w:t>to 0.7% in</w:t>
      </w:r>
      <w:r>
        <w:rPr>
          <w:color w:val="000000"/>
          <w:shd w:fill="FFFFFF" w:val="clear"/>
        </w:rPr>
        <w:t xml:space="preserve"> </w:t>
      </w:r>
      <w:r>
        <w:rPr>
          <w:rFonts w:ascii="Times New Roman;sans-serif" w:hAnsi="Times New Roman;sans-serif"/>
          <w:b w:val="false"/>
          <w:color w:val="000000"/>
          <w:sz w:val="20"/>
          <w:shd w:fill="FFFFFF" w:val="clear"/>
        </w:rPr>
        <w:t xml:space="preserve">the three months ended March 31, 2024 from 1.7% in the three months ended March 31, 2023. </w:t>
      </w:r>
      <w:r>
        <w:rPr>
          <w:rFonts w:ascii="Times New Roman;sans-serif" w:hAnsi="Times New Roman;sans-serif"/>
          <w:b w:val="false"/>
          <w:color w:val="000000"/>
          <w:sz w:val="20"/>
        </w:rPr>
        <w:t>The decrease in the effective tax rate year-over-year is primarily due to the tax impact associated with changes in the valuation allowance, geographic distribution of profits, the tax impact associated with goodwill impairments recorded in both the first quarter of 2024 and the first quarter of 2023, the majority of which were nondeductible for income tax purposes, and the income tax benefit of $51 million related to the March 2024 Refinancing Transactions discussed above. The difference between the effective tax rate and the statutory rate for the three months ended March 31, 2024 is primarily due to the tax impact associated with changes in the valuation allowance, the tax impact associated with the goodwill impairment recorded in the first quarter of 2024, and the impact of the March 2024 Refinancing Transactions.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Constant Currency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by segment, actual and constant currency revenue and constant currency revenue growth rates, for and between the periods indicated:</w:t>
      </w:r>
    </w:p>
    <w:p>
      <w:pPr>
        <w:pStyle w:val="TextBody"/>
        <w:bidi w:val="0"/>
        <w:spacing w:before="0" w:after="0"/>
        <w:ind w:left="0" w:right="0" w:firstLine="612"/>
        <w:jc w:val="left"/>
        <w:rPr/>
      </w:pPr>
      <w:r>
        <w:rPr/>
      </w:r>
    </w:p>
    <w:tbl>
      <w:tblPr>
        <w:tblW w:w="10205" w:type="dxa"/>
        <w:jc w:val="left"/>
        <w:tblInd w:w="0" w:type="dxa"/>
        <w:tblLayout w:type="fixed"/>
        <w:tblCellMar>
          <w:top w:w="28" w:type="dxa"/>
          <w:left w:w="28" w:type="dxa"/>
          <w:bottom w:w="28" w:type="dxa"/>
          <w:right w:w="28" w:type="dxa"/>
        </w:tblCellMar>
      </w:tblPr>
      <w:tblGrid>
        <w:gridCol w:w="384"/>
        <w:gridCol w:w="337"/>
        <w:gridCol w:w="340"/>
        <w:gridCol w:w="363"/>
        <w:gridCol w:w="1031"/>
        <w:gridCol w:w="202"/>
        <w:gridCol w:w="109"/>
        <w:gridCol w:w="109"/>
        <w:gridCol w:w="109"/>
        <w:gridCol w:w="196"/>
        <w:gridCol w:w="556"/>
        <w:gridCol w:w="109"/>
        <w:gridCol w:w="109"/>
        <w:gridCol w:w="109"/>
        <w:gridCol w:w="109"/>
        <w:gridCol w:w="439"/>
        <w:gridCol w:w="877"/>
        <w:gridCol w:w="245"/>
        <w:gridCol w:w="109"/>
        <w:gridCol w:w="109"/>
        <w:gridCol w:w="109"/>
        <w:gridCol w:w="325"/>
        <w:gridCol w:w="923"/>
        <w:gridCol w:w="181"/>
        <w:gridCol w:w="109"/>
        <w:gridCol w:w="109"/>
        <w:gridCol w:w="109"/>
        <w:gridCol w:w="249"/>
        <w:gridCol w:w="252"/>
        <w:gridCol w:w="334"/>
        <w:gridCol w:w="109"/>
        <w:gridCol w:w="109"/>
        <w:gridCol w:w="109"/>
        <w:gridCol w:w="312"/>
        <w:gridCol w:w="241"/>
        <w:gridCol w:w="674"/>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Foreign Currency Translation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61"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effect of foreign currency is calculated by translating current period results using the average exchange rate from the prior comparative period.</w:t>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Non-GAAP Gross Profit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Non-GAAP Gross Profit in this MD&amp;A because we believe the measure is useful in analyzing trends in our underlying, recurring gross margins. We define Non-GAAP Gross Profit as gross profit, adjusted to exclude the impact of share-based compensation expense and other non-recurring or unusual compensation items, purchase accounting-related effects, certain business transformation-related costs, and costs related to the Hosted Exchange incident.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gross profit to Non-GAAP Gross Profit:</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628"/>
        <w:gridCol w:w="2294"/>
        <w:gridCol w:w="2313"/>
        <w:gridCol w:w="237"/>
        <w:gridCol w:w="675"/>
        <w:gridCol w:w="132"/>
        <w:gridCol w:w="132"/>
        <w:gridCol w:w="132"/>
        <w:gridCol w:w="132"/>
        <w:gridCol w:w="237"/>
        <w:gridCol w:w="675"/>
        <w:gridCol w:w="132"/>
        <w:gridCol w:w="109"/>
        <w:gridCol w:w="109"/>
        <w:gridCol w:w="109"/>
        <w:gridCol w:w="159"/>
      </w:tblGrid>
      <w:tr>
        <w:trPr/>
        <w:tc>
          <w:tcPr>
            <w:tcW w:w="2628"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Purchase accounting impact on expense </w:t>
            </w:r>
            <w:r>
              <w:rPr>
                <w:rFonts w:ascii="Times New Roman;sans-serif" w:hAnsi="Times New Roman;sans-serif"/>
                <w:b w:val="false"/>
                <w:color w:val="000000"/>
                <w:sz w:val="12"/>
              </w:rPr>
              <w:t>(b)</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 retention bonuses, mainly in connection with restructuring and transformation projects, and the related payroll tax,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the impact of purchase accounting from the Rackspace Acquisition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the impact of business transformation and optimization activities, as well as associated severance, certain facility closure costs and lease termination expenses.</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w:t>
      </w:r>
      <w:r>
        <w:rPr>
          <w:rFonts w:ascii="Times New Roman;sans-serif" w:hAnsi="Times New Roman;sans-serif"/>
          <w:b w:val="false"/>
          <w:color w:val="000000"/>
          <w:sz w:val="20"/>
          <w:shd w:fill="FFFFFF" w:val="clear"/>
        </w:rPr>
        <w:t>debt to partially finance the Rackspace Acquisition resulted in interest payments that reflect our high leverage and cost of debt capital, and the conversion of Rackspace Technology Global’s unvested equity compensation into a cash-settled bonus plan and obliga</w:t>
      </w:r>
      <w:r>
        <w:rPr>
          <w:rFonts w:ascii="Times New Roman;sans-serif" w:hAnsi="Times New Roman;sans-serif"/>
          <w:b w:val="false"/>
          <w:color w:val="000000"/>
          <w:sz w:val="20"/>
        </w:rPr>
        <w:t>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and certain other non-operating, non-recurring or non-core gains and losses, as well as the tax effects of these non-GAAP adjustments.</w:t>
      </w:r>
    </w:p>
    <w:p>
      <w:pPr>
        <w:pStyle w:val="TextBody"/>
        <w:bidi w:val="0"/>
        <w:spacing w:before="0" w:after="0"/>
        <w:ind w:left="0" w:right="0" w:firstLine="61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and certain other non-operating, non-recurring or non-core gains and losses.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certain other non-operating, non-recurring or non-core gains and losses, interest expense, expenses for our accounts receivable purchase agreement, income taxes, depreciation and amortization, and goodwill and asset impairment charges.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 </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The following tables present a reconciliation of Non-GAAP Net Income (Loss) and Adjusted EBITDA to the most directly comparable GAAP financial measures. For a reconciliation of income (loss) from operations to Non-GAAP Operating Profit, see "</w:t>
      </w:r>
      <w:r>
        <w:rPr>
          <w:rFonts w:ascii="Times New Roman;sans-serif" w:hAnsi="Times New Roman;sans-serif"/>
          <w:b w:val="false"/>
          <w:i/>
          <w:color w:val="000000"/>
          <w:sz w:val="20"/>
        </w:rPr>
        <w:t>Loss from Operations, Segment Operating Profit, and Non-GAAP Operating Profit</w:t>
      </w:r>
      <w:r>
        <w:rPr>
          <w:rFonts w:ascii="Times New Roman;sans-serif" w:hAnsi="Times New Roman;sans-serif"/>
          <w:b w:val="false"/>
          <w:color w:val="000000"/>
          <w:sz w:val="20"/>
        </w:rPr>
        <w:t>" in the year-over-year comparison under "Results of Operations"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loss reconciliation to Non-GAAP Net Loss</w:t>
      </w:r>
    </w:p>
    <w:tbl>
      <w:tblPr>
        <w:tblW w:w="10205" w:type="dxa"/>
        <w:jc w:val="left"/>
        <w:tblInd w:w="0" w:type="dxa"/>
        <w:tblLayout w:type="fixed"/>
        <w:tblCellMar>
          <w:top w:w="28" w:type="dxa"/>
          <w:left w:w="28" w:type="dxa"/>
          <w:bottom w:w="28" w:type="dxa"/>
          <w:right w:w="28" w:type="dxa"/>
        </w:tblCellMar>
      </w:tblPr>
      <w:tblGrid>
        <w:gridCol w:w="2663"/>
        <w:gridCol w:w="2276"/>
        <w:gridCol w:w="2295"/>
        <w:gridCol w:w="224"/>
        <w:gridCol w:w="710"/>
        <w:gridCol w:w="123"/>
        <w:gridCol w:w="123"/>
        <w:gridCol w:w="123"/>
        <w:gridCol w:w="123"/>
        <w:gridCol w:w="224"/>
        <w:gridCol w:w="710"/>
        <w:gridCol w:w="123"/>
        <w:gridCol w:w="109"/>
        <w:gridCol w:w="109"/>
        <w:gridCol w:w="109"/>
        <w:gridCol w:w="161"/>
      </w:tblGrid>
      <w:tr>
        <w:trPr/>
        <w:tc>
          <w:tcPr>
            <w:tcW w:w="2663"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(b)</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gain on divestiture and investments</w:t>
            </w:r>
            <w:r>
              <w:rPr>
                <w:color w:val="000000"/>
              </w:rPr>
              <w:t xml:space="preserve"> </w:t>
            </w:r>
            <w:r>
              <w:rPr>
                <w:rFonts w:ascii="Times New Roman;sans-serif" w:hAnsi="Times New Roman;sans-serif"/>
                <w:b w:val="false"/>
                <w:color w:val="000000"/>
                <w:sz w:val="12"/>
              </w:rPr>
              <w:t>(d)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on debt extinguishment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adjustments </w:t>
            </w:r>
            <w:r>
              <w:rPr>
                <w:rFonts w:ascii="Times New Roman;sans-serif" w:hAnsi="Times New Roman;sans-serif"/>
                <w:b w:val="false"/>
                <w:color w:val="000000"/>
                <w:sz w:val="12"/>
              </w:rPr>
              <w:t>(e)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(f)</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Tax effect of non-GAAP adjustments </w:t>
            </w:r>
            <w:r>
              <w:rPr>
                <w:rFonts w:ascii="Times New Roman;sans-serif" w:hAnsi="Times New Roman;sans-serif"/>
                <w:b w:val="false"/>
                <w:color w:val="000000"/>
                <w:sz w:val="12"/>
              </w:rPr>
              <w:t>(g)</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Loss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76" w:before="100" w:after="283"/>
        <w:jc w:val="left"/>
        <w:rPr>
          <w:rFonts w:ascii="Times New Roman;sans-serif" w:hAnsi="Times New Roman;sans-serif"/>
          <w:b/>
          <w:color w:val="000000"/>
          <w:sz w:val="20"/>
        </w:rPr>
      </w:pPr>
      <w:r>
        <w:rPr>
          <w:rFonts w:ascii="Times New Roman;sans-serif" w:hAnsi="Times New Roman;sans-serif"/>
          <w:b/>
          <w:color w:val="000000"/>
          <w:sz w:val="20"/>
        </w:rPr>
        <w:t>Net loss reconciliation to Adjusted EBITDA</w:t>
      </w:r>
    </w:p>
    <w:tbl>
      <w:tblPr>
        <w:tblW w:w="10205" w:type="dxa"/>
        <w:jc w:val="left"/>
        <w:tblInd w:w="0" w:type="dxa"/>
        <w:tblLayout w:type="fixed"/>
        <w:tblCellMar>
          <w:top w:w="28" w:type="dxa"/>
          <w:left w:w="28" w:type="dxa"/>
          <w:bottom w:w="28" w:type="dxa"/>
          <w:right w:w="28" w:type="dxa"/>
        </w:tblCellMar>
      </w:tblPr>
      <w:tblGrid>
        <w:gridCol w:w="2663"/>
        <w:gridCol w:w="2276"/>
        <w:gridCol w:w="2295"/>
        <w:gridCol w:w="224"/>
        <w:gridCol w:w="710"/>
        <w:gridCol w:w="123"/>
        <w:gridCol w:w="123"/>
        <w:gridCol w:w="123"/>
        <w:gridCol w:w="123"/>
        <w:gridCol w:w="224"/>
        <w:gridCol w:w="710"/>
        <w:gridCol w:w="123"/>
        <w:gridCol w:w="109"/>
        <w:gridCol w:w="109"/>
        <w:gridCol w:w="109"/>
        <w:gridCol w:w="161"/>
      </w:tblGrid>
      <w:tr>
        <w:trPr/>
        <w:tc>
          <w:tcPr>
            <w:tcW w:w="2663"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Special bonuses and other compensation expense </w:t>
            </w:r>
            <w:r>
              <w:rPr>
                <w:rFonts w:ascii="Times New Roman;sans-serif" w:hAnsi="Times New Roman;sans-serif"/>
                <w:b w:val="false"/>
                <w:color w:val="000000"/>
                <w:sz w:val="12"/>
              </w:rPr>
              <w:t>(a)</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(b)</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(c)</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gain on divestiture and investments</w:t>
            </w:r>
            <w:r>
              <w:rPr>
                <w:color w:val="000000"/>
              </w:rPr>
              <w:t xml:space="preserve"> </w:t>
            </w:r>
            <w:r>
              <w:rPr>
                <w:rFonts w:ascii="Times New Roman;sans-serif" w:hAnsi="Times New Roman;sans-serif"/>
                <w:b w:val="false"/>
                <w:color w:val="000000"/>
                <w:sz w:val="12"/>
              </w:rPr>
              <w:t>(d)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modification costs and gain on debt extinguishment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(income) expense, net </w:t>
            </w:r>
            <w:r>
              <w:rPr>
                <w:rFonts w:ascii="Times New Roman;sans-serif" w:hAnsi="Times New Roman;sans-serif"/>
                <w:b w:val="false"/>
                <w:color w:val="000000"/>
                <w:sz w:val="12"/>
              </w:rPr>
              <w:t>(h)</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Depreciation and amortization </w:t>
            </w:r>
            <w:r>
              <w:rPr>
                <w:rFonts w:ascii="Times New Roman;sans-serif" w:hAnsi="Times New Roman;sans-serif"/>
                <w:b w:val="false"/>
                <w:color w:val="000000"/>
                <w:sz w:val="12"/>
              </w:rPr>
              <w:t>(i)</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9"/>
        <w:gridCol w:w="2866"/>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first quarter of 2024 also includes a $9.0 million MEIA early termination fee associated with the sale of our corporate headquarters.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gains and losses on investment and from dispositions.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2023 and 2024 interim periods, we based it on an average of the 2022 and estimated 2023 tax rates and 2023 and estimated 2024 tax rates, respectively, recomputed to remove the tax effect of non-GAAP pre-tax adjustments and non-recurring tax adjustments, resulting in a structural non-GAAP tax</w:t>
            </w:r>
            <w:r>
              <w:rPr>
                <w:color w:val="000000"/>
                <w:shd w:fill="FFFFFF" w:val="clear"/>
              </w:rPr>
              <w:t xml:space="preserve"> </w:t>
            </w:r>
            <w:r>
              <w:rPr>
                <w:rFonts w:ascii="Times New Roman;sans-serif" w:hAnsi="Times New Roman;sans-serif"/>
                <w:b w:val="false"/>
                <w:color w:val="000000"/>
                <w:sz w:val="18"/>
                <w:shd w:fill="FFFFFF" w:val="clear"/>
              </w:rPr>
              <w:t xml:space="preserve">rate of 26% </w:t>
            </w:r>
            <w:r>
              <w:rPr>
                <w:rFonts w:ascii="Times New Roman;sans-serif" w:hAnsi="Times New Roman;sans-serif"/>
                <w:b w:val="false"/>
                <w:color w:val="000000"/>
                <w:sz w:val="18"/>
              </w:rPr>
              <w:t>for both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Primarily consists of foreign currency gains and losses and expense related to our accounts receivable purchase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accelerated depreciation expense related to facility closures.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Loss Per Share to our GAAP net loss per share on a diluted basis:</w:t>
      </w:r>
    </w:p>
    <w:p>
      <w:pPr>
        <w:pStyle w:val="TextBody"/>
        <w:bidi w:val="0"/>
        <w:spacing w:before="0" w:after="0"/>
        <w:ind w:left="0" w:right="0" w:firstLine="540"/>
        <w:jc w:val="left"/>
        <w:rPr/>
      </w:pPr>
      <w:r>
        <w:rPr/>
      </w:r>
    </w:p>
    <w:tbl>
      <w:tblPr>
        <w:tblW w:w="7885" w:type="dxa"/>
        <w:jc w:val="left"/>
        <w:tblInd w:w="0" w:type="dxa"/>
        <w:tblLayout w:type="fixed"/>
        <w:tblCellMar>
          <w:top w:w="28" w:type="dxa"/>
          <w:left w:w="28" w:type="dxa"/>
          <w:bottom w:w="28" w:type="dxa"/>
          <w:right w:w="28" w:type="dxa"/>
        </w:tblCellMar>
      </w:tblPr>
      <w:tblGrid>
        <w:gridCol w:w="1748"/>
        <w:gridCol w:w="1534"/>
        <w:gridCol w:w="1547"/>
        <w:gridCol w:w="230"/>
        <w:gridCol w:w="740"/>
        <w:gridCol w:w="127"/>
        <w:gridCol w:w="127"/>
        <w:gridCol w:w="127"/>
        <w:gridCol w:w="127"/>
        <w:gridCol w:w="230"/>
        <w:gridCol w:w="740"/>
        <w:gridCol w:w="127"/>
        <w:gridCol w:w="109"/>
        <w:gridCol w:w="109"/>
        <w:gridCol w:w="109"/>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amounts)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 Diluted</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Effect of dilutive securities </w:t>
            </w:r>
            <w:r>
              <w:rPr>
                <w:rFonts w:ascii="Times New Roman;sans-serif" w:hAnsi="Times New Roman;sans-serif"/>
                <w:b w:val="false"/>
                <w:color w:val="000000"/>
                <w:sz w:val="12"/>
              </w:rPr>
              <w:t>(a)</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weighted average number of shares - Diluted</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 Diluted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Per share impacts of adjustments to net loss </w:t>
            </w:r>
            <w:r>
              <w:rPr>
                <w:rFonts w:ascii="Times New Roman;sans-serif" w:hAnsi="Times New Roman;sans-serif"/>
                <w:b w:val="false"/>
                <w:color w:val="000000"/>
                <w:sz w:val="12"/>
              </w:rPr>
              <w:t>(b)</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Per share impacts of shares dilutive after adjustments to net loss </w:t>
            </w:r>
            <w:r>
              <w:rPr>
                <w:rFonts w:ascii="Times New Roman;sans-serif" w:hAnsi="Times New Roman;sans-serif"/>
                <w:b w:val="false"/>
                <w:color w:val="000000"/>
                <w:sz w:val="12"/>
              </w:rPr>
              <w:t>(a)</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Loss Per Share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8"/>
              </w:rPr>
              <w:t>Reflects impact of awards that would have been anti-dilutive to net loss per share, and therefore not included in the calculation, but would be dilutive to Non-GAAP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Times New Roman;sans-serif" w:hAnsi="Times New Roman;sans-serif"/>
                <w:b w:val="false"/>
                <w:color w:val="000000"/>
                <w:sz w:val="20"/>
              </w:rPr>
              <w:t>C")</w:t>
            </w:r>
            <w:r>
              <w:rPr>
                <w:rFonts w:ascii="Times New Roman;sans-serif" w:hAnsi="Times New Roman;sans-serif"/>
                <w:b w:val="false"/>
                <w:color w:val="000000"/>
                <w:sz w:val="18"/>
              </w:rPr>
              <w:t xml:space="preserve">,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Reflects the aggregate adjustments made to reconcile Non-GAAP Net Loss to our net loss, as noted in the above table, divided by the GAAP diluted number of shares outstanding for the relevant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primarily finance our operations and capital expenditures with internally-generated cash from operations and hardware leases, and if necessary, borrowings under the New Revolving Credit Facility. As of March 31, 2024, the New Revolving Credit Facility provided for up to $375 million of borrowings, none of which was drawn and outstanding as of March 31, 2024.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w:t>
      </w:r>
      <w:r>
        <w:rPr>
          <w:rFonts w:ascii="Times New Roman;sans-serif" w:hAnsi="Times New Roman;sans-serif"/>
          <w:b w:val="false"/>
          <w:color w:val="000000"/>
          <w:sz w:val="20"/>
        </w:rPr>
        <w:t xml:space="preserve">indenture governing the 3.50% FLSO Senior Secured Notes (the “3.50% FLSO Senior Secured Notes Indenture”), the </w:t>
      </w:r>
      <w:r>
        <w:rPr>
          <w:rFonts w:ascii="Times New Roman;sans-serif" w:hAnsi="Times New Roman;sans-serif"/>
          <w:b w:val="false"/>
          <w:color w:val="000000"/>
          <w:sz w:val="20"/>
          <w:shd w:fill="FFFFFF" w:val="clear"/>
        </w:rPr>
        <w:t xml:space="preserve">indenture governing the 5.375% Senior Notes (the "5.375% Notes Indenture") or the indenture governing the 3.50% Senior Secured Notes (the "3.50% Notes Indenture" and, together with the </w:t>
      </w:r>
      <w:r>
        <w:rPr>
          <w:rFonts w:ascii="Times New Roman;sans-serif" w:hAnsi="Times New Roman;sans-serif"/>
          <w:b w:val="false"/>
          <w:color w:val="000000"/>
          <w:sz w:val="20"/>
        </w:rPr>
        <w:t>3.50% FLSO Senior Secured Notes Indenture and</w:t>
      </w:r>
      <w:r>
        <w:rPr>
          <w:color w:val="000000"/>
          <w:shd w:fill="FFFFFF" w:val="clear"/>
        </w:rPr>
        <w:t xml:space="preserve"> </w:t>
      </w:r>
      <w:r>
        <w:rPr>
          <w:rFonts w:ascii="Times New Roman;sans-serif" w:hAnsi="Times New Roman;sans-serif"/>
          <w:b w:val="false"/>
          <w:color w:val="000000"/>
          <w:sz w:val="20"/>
          <w:shd w:fill="FFFFFF" w:val="clear"/>
        </w:rPr>
        <w:t xml:space="preserve">5.375% Notes Indenture, the "Indentures"), if applicable), for cash or other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2023, indirect subsidiaries of the company entered into a revolving agreement where a bankruptcy-remote special purpose vehicle can sell accounts receivable, based upon the face amount of eligible receivables in the collateral pool, up to an aggregate maximum limit of $300 million to a financial institution on a recurring basis in exchange for cash. On February 12, 2024, the revolving agreement was amended to include certain international subsidiaries of the company as parties to the agreement and Rackspace Receivables Canada Limited, a Canadian indirect subsidiary of the company, was established as a special purpose vehicle.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we held $283 million in cash and cash equivalents (not including $3 million in restricted cash, which is included in "Other non-current assets"), of which $111 million was held by foreign entities.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installment payment arrangements with certain equipment and software vendors, along with sale-leaseback arrangements for equipment and certain property leases that are considered financing obligations. We had $63 million outstanding with respect to these arrangements as of March 31, 2024. We may choose to utilize these various sources of funding in future periods.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lease certain equipment and real estate under operating and finance lease agreements. We had $474 million outstanding with respect to operating and finance lease agreements as of March 31, 2024. We may choose to utilize such leasing arrangements in future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As of March 31, 2024, we had $2,598 million aggregate principal amount outstanding under the </w:t>
      </w:r>
      <w:r>
        <w:rPr>
          <w:rFonts w:ascii="Times New Roman;sans-serif" w:hAnsi="Times New Roman;sans-serif"/>
          <w:b w:val="false"/>
          <w:color w:val="000000"/>
          <w:sz w:val="20"/>
        </w:rPr>
        <w:t xml:space="preserve">FLSO Term Loan Facility, the FLFO Term Loan Facility, the </w:t>
      </w:r>
      <w:r>
        <w:rPr>
          <w:rFonts w:ascii="Times New Roman;sans-serif" w:hAnsi="Times New Roman;sans-serif"/>
          <w:b w:val="false"/>
          <w:color w:val="000000"/>
          <w:sz w:val="20"/>
          <w:shd w:fill="FFFFFF" w:val="clear"/>
        </w:rPr>
        <w:t>Term Loan Facility, 3</w:t>
      </w:r>
      <w:r>
        <w:rPr>
          <w:rFonts w:ascii="Times New Roman;sans-serif" w:hAnsi="Times New Roman;sans-serif"/>
          <w:b w:val="false"/>
          <w:color w:val="000000"/>
          <w:sz w:val="20"/>
        </w:rPr>
        <w:t xml:space="preserve">.50% FLSO Senior Secured Notes, </w:t>
      </w:r>
      <w:r>
        <w:rPr>
          <w:rFonts w:ascii="Times New Roman;sans-serif" w:hAnsi="Times New Roman;sans-serif"/>
          <w:b w:val="false"/>
          <w:color w:val="000000"/>
          <w:sz w:val="20"/>
          <w:shd w:fill="FFFFFF" w:val="clear"/>
        </w:rPr>
        <w:t xml:space="preserve">5.375% Senior Notes, and 3.50% Senior Secured Notes, with $375 million of borrowing capacity available under the New Revolving Credit Facility. Our liquidity requirements are significant, primarily due to debt service requirements.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Debt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w:t>
      </w:r>
      <w:r>
        <w:rPr>
          <w:rFonts w:ascii="Times New Roman;sans-serif" w:hAnsi="Times New Roman;sans-serif"/>
          <w:b w:val="false"/>
          <w:color w:val="000000"/>
          <w:sz w:val="20"/>
          <w:shd w:fill="FFFFFF" w:val="clear"/>
        </w:rPr>
        <w:t>3</w:t>
      </w:r>
      <w:r>
        <w:rPr>
          <w:rFonts w:ascii="Times New Roman;sans-serif" w:hAnsi="Times New Roman;sans-serif"/>
          <w:b w:val="false"/>
          <w:color w:val="000000"/>
          <w:sz w:val="20"/>
        </w:rPr>
        <w:t>.50% FLSO Senior Secured Notes.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1 of Part I, Financial Statements - Note 7, “Debt,” for more information regarding the March 2024 Refinancing Transactions and the related accounting impacts.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New Senior Facilities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2024, Rackspace Finance Holdings, LLC ( “Rackspace Finance Holdings”), Rackspace Finance, LLC ( “Rackspace Finance”),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FLSO Term Loan Facility</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Finance issued the FLSO Term Loan Facility in an aggregate principal amount of $1,687 million. The FLSO Term Loan Facility matures on May 15, 2028.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2024, the contractual interest rate on the FLSO Term Loan Facility was 8.18%. We are required to make quarterly principal payments of $4 million, which began on March 31, 20</w:t>
      </w:r>
      <w:r>
        <w:rPr>
          <w:rFonts w:ascii="Times New Roman;sans-serif" w:hAnsi="Times New Roman;sans-serif"/>
          <w:b w:val="false"/>
          <w:color w:val="000000"/>
          <w:sz w:val="20"/>
          <w:shd w:fill="FFFFFF" w:val="clear"/>
        </w:rPr>
        <w:t>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2024, $1,683 million</w:t>
      </w:r>
      <w:r>
        <w:rPr>
          <w:color w:val="000000"/>
          <w:shd w:fill="FFFFFF" w:val="clear"/>
        </w:rPr>
        <w:t xml:space="preserve"> </w:t>
      </w:r>
      <w:r>
        <w:rPr>
          <w:rFonts w:ascii="Times New Roman;sans-serif" w:hAnsi="Times New Roman;sans-serif"/>
          <w:b w:val="false"/>
          <w:color w:val="000000"/>
          <w:sz w:val="20"/>
          <w:shd w:fill="FFFFFF" w:val="clear"/>
        </w:rPr>
        <w:t>in aggregate</w:t>
      </w:r>
      <w:r>
        <w:rPr>
          <w:color w:val="000000"/>
        </w:rPr>
        <w:t xml:space="preserve"> </w:t>
      </w:r>
      <w:r>
        <w:rPr>
          <w:rFonts w:ascii="Times New Roman;sans-serif" w:hAnsi="Times New Roman;sans-serif"/>
          <w:b w:val="false"/>
          <w:color w:val="000000"/>
          <w:sz w:val="20"/>
        </w:rPr>
        <w:t>principal amount of the FLSO Term Loan Facility remained outstanding.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have entered into interest rate swap agreements to manage the interest rate risk associated with interest payments on the FLSO Term Loan Fac</w:t>
      </w:r>
      <w:r>
        <w:rPr>
          <w:rFonts w:ascii="Times New Roman;sans-serif" w:hAnsi="Times New Roman;sans-serif"/>
          <w:b w:val="false"/>
          <w:color w:val="000000"/>
          <w:sz w:val="20"/>
          <w:shd w:fill="FFFFFF" w:val="clear"/>
        </w:rPr>
        <w:t xml:space="preserve">ility that result from fluctuations in Term SOFR. See Item 1 of Part </w:t>
      </w:r>
      <w:r>
        <w:rPr>
          <w:rFonts w:ascii="Times New Roman;sans-serif" w:hAnsi="Times New Roman;sans-serif"/>
          <w:b w:val="false"/>
          <w:color w:val="000000"/>
          <w:sz w:val="20"/>
        </w:rPr>
        <w:t>I, Financial Statements - Note 11, “Derivatives,” for more information on the interest rate swap agreements.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FLFO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Finance issued the FLFO Term Loan Facility in an aggregate principal amount $275 million. The FLFO Term Loan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2024, the contractual interest rate on the FLFO Term Loan Facility was 11.68%. We are required to make quarterly principal payments of $0.7 million, beginning on June 30, 2024</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2024, $275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FLFO Term Loan Facility remained outstanding.</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have entered into interest rate swap agreements to manage the interest rate risk associated with interest payments on the FLFO Term Loan Fac</w:t>
      </w:r>
      <w:r>
        <w:rPr>
          <w:rFonts w:ascii="Times New Roman;sans-serif" w:hAnsi="Times New Roman;sans-serif"/>
          <w:b w:val="false"/>
          <w:color w:val="000000"/>
          <w:sz w:val="20"/>
          <w:shd w:fill="FFFFFF" w:val="clear"/>
        </w:rPr>
        <w:t xml:space="preserve">ility that result from fluctuations in Term SOFR. See Item 1 of Part </w:t>
      </w:r>
      <w:r>
        <w:rPr>
          <w:rFonts w:ascii="Times New Roman;sans-serif" w:hAnsi="Times New Roman;sans-serif"/>
          <w:b w:val="false"/>
          <w:color w:val="000000"/>
          <w:sz w:val="20"/>
        </w:rPr>
        <w:t>I, Financial Statements - Note 11, “Derivatives,” for more information on the interest rate swap agreements.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Revolving Credit Facility includes a commitment fee equal to 0.50% per annum in respect of the unused commitments that is due quarterly. This fee is subject to one step-down based on the net first lien leverage ratio.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Rackspace Finance is the borrower and all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are secured by the same collateral that secures the FLSO Term Loan Facility, the FLFO Term Loan Facility and the 3.50% FLSO Senior Secured Notes.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March 31, 2024, we had total commitments of $375 million, no outstanding borrowings under the New Revolving Credit Facility, and $3.5 million of letters of credit issued thereunder. As such, as of March 31, 2024, we had $375 million of available commitments remaining.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3.50% FLSO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2024, Rackspace Finance issued $267 million initial aggregate principal amount of 3.50% FLSO Senior Secured Notes. The 3.50% FLSO Senior Secured Notes will mature on May 15, 2028 and bear interest at an annual fixed rate of 3.50%. Interest is payable semiannually on each February 15 and August 15, commencing on August 15,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2024, $267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3.50% FLSO Senior Secured Notes were outstanding.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Senior Facilitie</w:t>
      </w:r>
      <w:r>
        <w:rPr>
          <w:rFonts w:ascii="Times New Roman;sans-serif" w:hAnsi="Times New Roman;sans-serif"/>
          <w:b/>
          <w:i/>
          <w:color w:val="000000"/>
          <w:sz w:val="20"/>
        </w:rPr>
        <w: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we amended and restated the credit agreement governing our senior secured credit facilities (the "First Lien Credit Agreement"), which included a new seven-year $2,300 million senior secured first lien term loan facility (the "Term Loan Facility") and the prior Revolving Credit Facility (together, the "Senior Facilities"). The Term Loan Facility will mature on February 15, 2028 and the prior Revolving Credit Facility was set to mature on August 7,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Interest on the Term Loan Facility is due at the end of each interest period elected, not exceeding 90 days, for SOFR loans and at the end of every calendar quarter for base rate loans. As of March 31, 2024, the contractual interest rate on the Term Loan Facility was 8.18%. </w:t>
      </w:r>
      <w:r>
        <w:rPr>
          <w:rFonts w:ascii="Times New Roman;sans-serif" w:hAnsi="Times New Roman;sans-serif"/>
          <w:b w:val="false"/>
          <w:color w:val="000000"/>
          <w:sz w:val="20"/>
        </w:rPr>
        <w:t>We are required to make quarterly amortization payments of $0.2 million. The Revolving Credit Facility included a commitment fee equal to 0.50% per annum in respect of the unused commitments that was due quarterly. This fee was subject to one step-down based on the net first lien leverage ratio. The Senior Facilities require us to make certain mandatory prepayments under certain conditions defined in the First Lien Credit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2024, $62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Term Loan Facility remained outstanding and the prior Revolving Credit Facility was replaced in full by the New Revolving Credit Facility. See Item 1 of Part I, Financial Statements - Note 7, “Debt,” for more information regarding our Senior Facilities.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have entered into interest rate swap agreements to manage the interest rate risk associated with interest payments on the Term Loan Fac</w:t>
      </w:r>
      <w:r>
        <w:rPr>
          <w:rFonts w:ascii="Times New Roman;sans-serif" w:hAnsi="Times New Roman;sans-serif"/>
          <w:b w:val="false"/>
          <w:color w:val="000000"/>
          <w:sz w:val="20"/>
          <w:shd w:fill="FFFFFF" w:val="clear"/>
        </w:rPr>
        <w:t xml:space="preserve">ility that result from fluctuations in Term SOFR. See Item 1 of Part </w:t>
      </w:r>
      <w:r>
        <w:rPr>
          <w:rFonts w:ascii="Times New Roman;sans-serif" w:hAnsi="Times New Roman;sans-serif"/>
          <w:b w:val="false"/>
          <w:color w:val="000000"/>
          <w:sz w:val="20"/>
        </w:rPr>
        <w:t>I, Financial Statements - Note 11, "Derivatives," for more information on the interest rate swap agreements.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2024, $182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3.50% Senior Secured Notes remained outstanding.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2024, $128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5.375% Senior Notes remained outstanding.</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were in compliance with all covenants under the New Senior Facilities, the Senior Facilities and the Indentures.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New Credit Group had total assets of $3,429 million and total liabilities of $3,900 million, which included total debt of $2,625 million. The financial information for the New Credit Group differs from the financial information for the company and its consolidated subsidiaries primarily because Rackspace Technology Global has (i) debt that is not guaranteed by the New Credit Group, which debt was $370 million as of March 31, 2024, and (ii) Rackspace Technology Global is the party to the interest rate swap which had a net asset value of $53 million as of March 31, 2024.</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our total capital expenditures for the periods indicated:</w:t>
      </w:r>
    </w:p>
    <w:tbl>
      <w:tblPr>
        <w:tblW w:w="5486" w:type="dxa"/>
        <w:jc w:val="center"/>
        <w:tblInd w:w="0" w:type="dxa"/>
        <w:tblLayout w:type="fixed"/>
        <w:tblCellMar>
          <w:top w:w="28" w:type="dxa"/>
          <w:left w:w="28" w:type="dxa"/>
          <w:bottom w:w="28" w:type="dxa"/>
          <w:right w:w="28" w:type="dxa"/>
        </w:tblCellMar>
      </w:tblPr>
      <w:tblGrid>
        <w:gridCol w:w="1040"/>
        <w:gridCol w:w="911"/>
        <w:gridCol w:w="914"/>
        <w:gridCol w:w="268"/>
        <w:gridCol w:w="639"/>
        <w:gridCol w:w="149"/>
        <w:gridCol w:w="149"/>
        <w:gridCol w:w="149"/>
        <w:gridCol w:w="149"/>
        <w:gridCol w:w="268"/>
        <w:gridCol w:w="639"/>
        <w:gridCol w:w="211"/>
      </w:tblGrid>
      <w:tr>
        <w:trPr/>
        <w:tc>
          <w:tcPr>
            <w:tcW w:w="10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gear</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Data center build outs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build outs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and other projects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 expenditures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Capital expenditures were $46 million in the three months ended March 31, 2024, compared to $72 million in the three months ended March 31, 2023, a decrease of $26 million</w:t>
      </w:r>
      <w:r>
        <w:rPr>
          <w:rFonts w:ascii="Times New Roman;sans-serif" w:hAnsi="Times New Roman;sans-serif"/>
          <w:b w:val="false"/>
          <w:color w:val="000000"/>
          <w:sz w:val="20"/>
          <w:shd w:fill="FFFFFF" w:val="clear"/>
        </w:rPr>
        <w:t>. The decrease in capital expenditures was driven by purchases of customer gear originally intended to support a specific new customer during the first quarter of 2023. This new customer did not materialize as expected; however, the gear is fungible and has been redeployed to support other business requirements. This gear was acquired through a finance lease.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certain cash flow information for the periods indicated: </w:t>
      </w:r>
    </w:p>
    <w:tbl>
      <w:tblPr>
        <w:tblW w:w="6041" w:type="dxa"/>
        <w:jc w:val="left"/>
        <w:tblInd w:w="0" w:type="dxa"/>
        <w:tblLayout w:type="fixed"/>
        <w:tblCellMar>
          <w:top w:w="28" w:type="dxa"/>
          <w:left w:w="28" w:type="dxa"/>
          <w:bottom w:w="28" w:type="dxa"/>
          <w:right w:w="28" w:type="dxa"/>
        </w:tblCellMar>
      </w:tblPr>
      <w:tblGrid>
        <w:gridCol w:w="1240"/>
        <w:gridCol w:w="1088"/>
        <w:gridCol w:w="1092"/>
        <w:gridCol w:w="247"/>
        <w:gridCol w:w="683"/>
        <w:gridCol w:w="137"/>
        <w:gridCol w:w="137"/>
        <w:gridCol w:w="137"/>
        <w:gridCol w:w="137"/>
        <w:gridCol w:w="247"/>
        <w:gridCol w:w="702"/>
        <w:gridCol w:w="19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operating activities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financing activities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Net cash used in operating activities was $90 million in the three months ended March 31, 2024 compared to </w:t>
      </w:r>
      <w:r>
        <w:rPr>
          <w:rFonts w:ascii="Times New Roman;sans-serif" w:hAnsi="Times New Roman;sans-serif"/>
          <w:b w:val="false"/>
          <w:color w:val="000000"/>
          <w:sz w:val="20"/>
          <w:shd w:fill="FFFFFF" w:val="clear"/>
        </w:rPr>
        <w:t xml:space="preserve">$2 million in the three months ended March 31, 2023. The reduction in operating cash was primarily driven by payments in the first quarter of 2024 including a $45 million vendor prepayment, $28 million in third party fees paid in connection with the </w:t>
      </w:r>
      <w:r>
        <w:rPr>
          <w:rFonts w:ascii="Times New Roman;sans-serif" w:hAnsi="Times New Roman;sans-serif"/>
          <w:b w:val="false"/>
          <w:color w:val="000000"/>
          <w:sz w:val="20"/>
        </w:rPr>
        <w:t>March 2024 Refinancing Transactions</w:t>
      </w:r>
      <w:r>
        <w:rPr>
          <w:rFonts w:ascii="Times New Roman;sans-serif" w:hAnsi="Times New Roman;sans-serif"/>
          <w:b w:val="false"/>
          <w:color w:val="000000"/>
          <w:sz w:val="20"/>
          <w:shd w:fill="FFFFFF" w:val="clear"/>
        </w:rPr>
        <w:t xml:space="preserve">, and a $9 million early termination fee associated with the sale of our corporate headquarters.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Net cash used in investing activities decreased $1 million, or 5%, in the three months ended March 31, 2024 compared to the three months ended March 31, 2023 due to </w:t>
      </w:r>
      <w:r>
        <w:rPr>
          <w:rFonts w:ascii="Times New Roman;sans-serif" w:hAnsi="Times New Roman;sans-serif"/>
          <w:b w:val="false"/>
          <w:color w:val="000000"/>
          <w:sz w:val="20"/>
          <w:shd w:fill="FFFFFF" w:val="clear"/>
        </w:rPr>
        <w:t xml:space="preserve">$17 million of net proceeds received in the current period from the March 2024 sale of our corporate headquarters facility, partially offset by a </w:t>
      </w:r>
      <w:r>
        <w:rPr>
          <w:rFonts w:ascii="Times New Roman;sans-serif" w:hAnsi="Times New Roman;sans-serif"/>
          <w:b w:val="false"/>
          <w:color w:val="000000"/>
          <w:sz w:val="20"/>
        </w:rPr>
        <w:t xml:space="preserve">$16 million increase in </w:t>
      </w:r>
      <w:r>
        <w:rPr>
          <w:rFonts w:ascii="Times New Roman;sans-serif" w:hAnsi="Times New Roman;sans-serif"/>
          <w:b w:val="false"/>
          <w:color w:val="000000"/>
          <w:sz w:val="20"/>
          <w:shd w:fill="FFFFFF" w:val="clear"/>
        </w:rPr>
        <w:t>cash purchases of property, equipment, and software between periods.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(Used) in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$188 million in the three months ended March 31, 2024 compared to $41 million of net cash used in financing activities in the three months ended March 31, 2023. The change was driven by the March 2024 Refinancing Transactions which resulted in net cash proceeds of $217 million.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policies and estimates have not changed from those described in our Annual Report under "Management's Discussion and Analysis of Financial Condition and Results of Operations - Critical Accounting Policies and Estimates."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and Indefinite-Lived Intangible Assets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Prior to October 1, 2023, we had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growth rates, projected gross profit margins, projected operating costs, and projected capital expenditures, which are dependent on internal cash flow forecasts; (iii) estimation of the terminal growth rates; and (iv) determination of the risk-adjusted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quantitative goodwill impairment analysis, we utilize the income approach to determine the fair value of our reporting units. The income approach utilizes a discounted cash flow method which is based on the present value of projected cash flows. The discounted cash flow models reflect our assumptions and considerations regarding revenue growth rates, projected gross profit margins, projected operating costs, projected capital expenditures, risk-adjusted discount rates, terminal period growth rates, and economic market trends. The terminal period growth rate is selected based on economic conditions and consideration of growth rates used in the forecast period and historical performance of the reporting unit.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connection with the debt refinancing transactions that were completed in March and April 2024, as further described in Item 1 of Part I, Financial Statements -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ans-serif" w:hAnsi="Times New Roman;sans-serif"/>
          <w:b w:val="false"/>
          <w:color w:val="000000"/>
          <w:sz w:val="20"/>
        </w:rPr>
        <w:t xml:space="preserve">Our Board of Directors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quantitative goodwill impairment analysis performed as of February 29, 2024, we utilized a range of our weighted-average cost of capital of 13.0% to 14.0%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February 29, 2024. As a result, we determined that the carrying amount of our Public Cloud and Private Cloud reporting units exceeded their fair value. We recorded a goodwill impairment charge of $385 million and $188 million for Public Cloud and Private Cloud, respectively, during the first quarter of 2024, which is included in "Impairment of goodwill" in our Condensed Consolidated Statements of Comprehensive Loss. The impairment was driven by the company's cash flow projections as revised in the first quarter of 2024 to reflect current market conditions and expected business performance, including strategic business shifts and the timing when the benefits of such shifts will be realized.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or decrease in the discount rate assumption would result in decreases or increases in fair value of our Private Cloud and Public Cloud reporting units of approximately $101 million and $14 million,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change in our segment reporting as a result of the business reorganization as of January 1, 2023,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For the quantitative goodwill impairment analysis performed as of January 1, 2023,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during the first quarter of 2023, which is included in "Impairment of goodwill" in our Condensed Consolidated Statements of Comprehensive Loss. The impairment primarily resulted from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during the first quarter of 2023, which is included in "Impairment of goodwill" in our Condensed Consolidated Statements of Comprehensive Loss.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r>
        <w:rPr>
          <w:color w:val="00808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 March 31, 2023 and February 29, 2024,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11.0% as of January 1, 2023 and March 31, 2023, and a discount rate of 13.7% as of February 29, 2024. We completed the quantitative assessments of our indefinite-lived intangible asset prior to testing our goodwill for impairment as of January 1, 2023 and March 31, 2023 which did not indicate any impairment of the Rackspace trade name.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quantitative test as of February 29, 2024 indicated that the estimated fair value of the Rackspace trade name was less than its carrying value. As a result, we recorded a $20 million non-cash impairment charge during the first quarter of 2024 which is included in "Impairment of assets, net" in our Condensed Consolidated Statements of Comprehensive Loss.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determination of our reporting units and our indefinite-lived intangible asset is judgmental in nature and requires the use of estimates and assumptions that are sensitive to changes. Assumptions include estimation of the royalty rate for the trade name, estimation of future revenue growth rates, projected gross profit margins, projected operating costs,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- 55 -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performed recoverability tests of our long-lived assets in conjunction with the goodwill impairment analyses as of January 1, 2023, March 31, 2023, and February 29, 2024 which did not result in any impairment charges.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- 56 -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 QUANTITATIVE AND QUALITATIVE DISCLOSURES ABOUT MARKET RISK</w:t>
      </w:r>
    </w:p>
    <w:p>
      <w:pPr>
        <w:pStyle w:val="TextBody"/>
        <w:bidi w:val="0"/>
        <w:spacing w:before="0" w:after="0"/>
        <w:ind w:left="0" w:right="0" w:firstLine="54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are exposed to interest rate risk associated with fluctuations in interest rates on our floating-rate debt under our Senior Facilities and New Senior Facilities, which includes our $375 million New Revolving Credit Facility and $2,020 million outstanding under the Term Loan Facility, FLSO Term Loan Facility, and FLFO Term Loan Facility. As of March 31, 2024, there was no </w:t>
      </w:r>
      <w:r>
        <w:rPr>
          <w:rFonts w:ascii="Times New Roman;sans-serif" w:hAnsi="Times New Roman;sans-serif"/>
          <w:b w:val="false"/>
          <w:color w:val="000000"/>
          <w:sz w:val="20"/>
          <w:shd w:fill="FFFFFF" w:val="clear"/>
        </w:rPr>
        <w:t>out</w:t>
      </w:r>
      <w:r>
        <w:rPr>
          <w:rFonts w:ascii="Times New Roman;sans-serif" w:hAnsi="Times New Roman;sans-serif"/>
          <w:b w:val="false"/>
          <w:color w:val="000000"/>
          <w:sz w:val="20"/>
        </w:rPr>
        <w:t>standing borrowings under the New Revolving Credit Facility and therefore our only variable-rate debt outstanding was the $2,020 million outstanding under the Term Loan Facility, FLSO Term Loan Facility, and FLFO Term Loan Facility. As of March 31, 2024, assuming the New Revolving Credit Facility was fully drawn, each 0.125% change in assumed blended interest rates would res</w:t>
      </w:r>
      <w:r>
        <w:rPr>
          <w:rFonts w:ascii="Times New Roman;sans-serif" w:hAnsi="Times New Roman;sans-serif"/>
          <w:b w:val="false"/>
          <w:color w:val="000000"/>
          <w:sz w:val="20"/>
          <w:shd w:fill="FFFFFF" w:val="clear"/>
        </w:rPr>
        <w:t>ult in a $3 million cha</w:t>
      </w:r>
      <w:r>
        <w:rPr>
          <w:rFonts w:ascii="Times New Roman;sans-serif" w:hAnsi="Times New Roman;sans-serif"/>
          <w:b w:val="false"/>
          <w:color w:val="000000"/>
          <w:sz w:val="20"/>
        </w:rPr>
        <w:t>nge in annual interest expense on indebtedness under the Senior Facilities and New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key terms of the swap outstanding as of March 31, 2024 are presented below:</w:t>
      </w:r>
    </w:p>
    <w:p>
      <w:pPr>
        <w:pStyle w:val="TextBody"/>
        <w:bidi w:val="0"/>
        <w:spacing w:before="0" w:after="0"/>
        <w:ind w:left="0" w:right="0" w:firstLine="540"/>
        <w:jc w:val="left"/>
        <w:rPr/>
      </w:pPr>
      <w:r>
        <w:rPr/>
      </w:r>
    </w:p>
    <w:tbl>
      <w:tblPr>
        <w:tblW w:w="9210" w:type="dxa"/>
        <w:jc w:val="left"/>
        <w:tblInd w:w="0" w:type="dxa"/>
        <w:tblLayout w:type="fixed"/>
        <w:tblCellMar>
          <w:top w:w="28" w:type="dxa"/>
          <w:left w:w="28" w:type="dxa"/>
          <w:bottom w:w="28" w:type="dxa"/>
          <w:right w:w="28" w:type="dxa"/>
        </w:tblCellMar>
      </w:tblPr>
      <w:tblGrid>
        <w:gridCol w:w="527"/>
        <w:gridCol w:w="462"/>
        <w:gridCol w:w="465"/>
        <w:gridCol w:w="109"/>
        <w:gridCol w:w="109"/>
        <w:gridCol w:w="109"/>
        <w:gridCol w:w="444"/>
        <w:gridCol w:w="444"/>
        <w:gridCol w:w="446"/>
        <w:gridCol w:w="109"/>
        <w:gridCol w:w="109"/>
        <w:gridCol w:w="109"/>
        <w:gridCol w:w="475"/>
        <w:gridCol w:w="1676"/>
        <w:gridCol w:w="264"/>
        <w:gridCol w:w="109"/>
        <w:gridCol w:w="109"/>
        <w:gridCol w:w="109"/>
        <w:gridCol w:w="439"/>
        <w:gridCol w:w="439"/>
        <w:gridCol w:w="442"/>
        <w:gridCol w:w="109"/>
        <w:gridCol w:w="109"/>
        <w:gridCol w:w="109"/>
        <w:gridCol w:w="403"/>
        <w:gridCol w:w="403"/>
        <w:gridCol w:w="573"/>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2026</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1 of Part I, Financial Statements - Note 11, "Derivatives," for more information on interest rate swaps.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sans-serif" w:hAnsi="Times New Roman;sans-serif"/>
          <w:b w:val="false"/>
          <w:i/>
          <w:color w:val="000000"/>
          <w:sz w:val="20"/>
        </w:rPr>
        <w:t>Constant Currency Revenue</w:t>
      </w:r>
      <w:r>
        <w:rPr>
          <w:rFonts w:ascii="Times New Roman;sans-serif" w:hAnsi="Times New Roman;sans-serif"/>
          <w:b w:val="false"/>
          <w:color w:val="000000"/>
          <w:sz w:val="20"/>
        </w:rPr>
        <w:t xml:space="preserve">."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three months ended March 31, 2024, we recognized foreign currency transaction gains </w:t>
      </w:r>
      <w:r>
        <w:rPr>
          <w:rFonts w:ascii="Times New Roman;sans-serif" w:hAnsi="Times New Roman;sans-serif"/>
          <w:b w:val="false"/>
          <w:color w:val="000000"/>
          <w:sz w:val="20"/>
          <w:shd w:fill="FFFFFF" w:val="clear"/>
        </w:rPr>
        <w:t>of $0.2 million wit</w:t>
      </w:r>
      <w:r>
        <w:rPr>
          <w:rFonts w:ascii="Times New Roman;sans-serif" w:hAnsi="Times New Roman;sans-serif"/>
          <w:b w:val="false"/>
          <w:color w:val="000000"/>
          <w:sz w:val="20"/>
        </w:rPr>
        <w:t>hin "Other income (expense), net" in our Condensed Consolidated Statements of Comprehensive Loss. As we grow our international operations, our exposure to foreign currency translation and transaction risk could become more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and may in the future enter into foreign currency hedging instruments to limit our exposure to foreign currency risk.</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Power Prices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are a large consumer of power. In the three months ended March 31, 2024, we expensed a</w:t>
      </w:r>
      <w:r>
        <w:rPr>
          <w:rFonts w:ascii="Times New Roman;sans-serif" w:hAnsi="Times New Roman;sans-serif"/>
          <w:b w:val="false"/>
          <w:color w:val="000000"/>
          <w:sz w:val="20"/>
          <w:shd w:fill="FFFFFF" w:val="clear"/>
        </w:rPr>
        <w:t>pproximately $11 million for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power contracts for data centers in</w:t>
      </w:r>
      <w:r>
        <w:rPr>
          <w:color w:val="000000"/>
        </w:rPr>
        <w:t xml:space="preserve"> </w:t>
      </w:r>
      <w:r>
        <w:rPr>
          <w:rFonts w:ascii="Times New Roman;sans-serif" w:hAnsi="Times New Roman;sans-serif"/>
          <w:b w:val="false"/>
          <w:color w:val="000000"/>
          <w:sz w:val="20"/>
        </w:rPr>
        <w:t>the Dallas-Fort Worth, San Jose, Somerset, New Jersey and London areas that allow us to procure power either on a fixed price or on a variable price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- 57 -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 CONTROLS AND PROCEDURES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Inherent Limitations of Internal Controls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- 58 -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 LEGAL PROCEEDINGS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1A – RISK FACTORS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ITEM 2 –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 DEFAULTS UPON SENIOR SECURITIES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5 – OTHER INFORMATION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fiscal quarter ended March 31, 2024, none of the company’s directors or officers (as defined in Rule 16a-1(f) of the Exchange Act) adopted, modified or terminated a "Rule 10b5-1 trading arrangement" or a "non-Rule 10b5-1 trading arrangement" (as each term is defined in Item 408 of Regulation S-K).</w:t>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- 59 -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8"/>
        <w:gridCol w:w="156"/>
        <w:gridCol w:w="156"/>
        <w:gridCol w:w="150"/>
        <w:gridCol w:w="150"/>
        <w:gridCol w:w="151"/>
        <w:gridCol w:w="109"/>
        <w:gridCol w:w="109"/>
        <w:gridCol w:w="109"/>
        <w:gridCol w:w="2715"/>
        <w:gridCol w:w="2562"/>
        <w:gridCol w:w="3580"/>
      </w:tblGrid>
      <w:tr>
        <w:trPr/>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580" w:type="dxa"/>
            <w:tcBorders/>
            <w:vAlign w:val="center"/>
          </w:tcPr>
          <w:p>
            <w:pPr>
              <w:pStyle w:val="TableContents"/>
              <w:bidi w:val="0"/>
              <w:spacing w:before="0" w:after="283"/>
              <w:jc w:val="left"/>
              <w:rPr>
                <w:sz w:val="4"/>
                <w:szCs w:val="4"/>
              </w:rPr>
            </w:pPr>
            <w:r>
              <w:rPr>
                <w:sz w:val="4"/>
                <w:szCs w:val="4"/>
              </w:rPr>
            </w:r>
          </w:p>
        </w:tc>
      </w:tr>
      <w:tr>
        <w:trPr/>
        <w:tc>
          <w:tcPr>
            <w:tcW w:w="10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Indenture, dated March 12, 2024, among Rackspace Finance, LLC, the guarantors party thereto from time to time and Computershare Trust Company, N.A., as trustee (incorporated by reference from Exhibit 4.1 to Rackspace Technology, Inc.’s Form 8-K filed on March 12, 2024)</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First Lien Credit Agreement, dated March 12, 2024, among Rackspace Finance Holdings, LLC, Rackspace Finance, LLC, the lenders and issuing banks party thereto and Citibank, N.A., as administrative agent and Citibank, N.A., acting through its agency &amp; trust business, as collateral agent (incorporated by reference from Exhibit 10.1 to Rackspace Technology, Inc.’s Form 8-K, filed on March 12, 2024)</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FF"/>
                  <w:sz w:val="20"/>
                  <w:u w:val="single"/>
                </w:rPr>
                <w:t>Incremental Assumption and Amendment Agreement No. 1, dated March 12, 2024, among Rackspace Finance Holdings, LLC, Rackspace Finance, LLC, the subsidiary loan parties party thereto, the lenders party thereto and Citibank, N.A., as administrative agent (incorporated by reference from Exhibit 10.2 to Rackspace Technology, Inc.’s Form 8-K filed on March 12, 2024)</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Receivables Purchase Agreement, dated as of September 29, 2023, as amended on February 12, 2024, by and among Rackspace Receivables II LLC, Rackspace Receivables Canada Limited, the persons from time to time party thereto as purchasers, PNC Bank, National Association, Rackspace US, Inc., Rackspace International GmbH, Rackspace Limited and Onica Technologies Canada Inc. and PNC Capital Markets LLC as structuring agent (incorporated by reference from Exhibit 10.17 to Rackspace Technology, Inc.’s Form 10-K filed on March 15, 2024)</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80"/>
                  <w:sz w:val="20"/>
                  <w:u w:val="single"/>
                </w:rPr>
                <w:t>Separation Agreement and Release between Rackspace US, Inc. and Naushaza Molu, dated January 19, 2024</w:t>
              </w:r>
            </w:hyperlink>
            <w:hyperlink r:id="rId8">
              <w:r>
                <w:rPr>
                  <w:rStyle w:val="InternetLink"/>
                  <w:rFonts w:ascii="Times New Roman;sans-serif" w:hAnsi="Times New Roman;sans-serif"/>
                  <w:b w:val="false"/>
                  <w:color w:val="000080"/>
                  <w:sz w:val="20"/>
                  <w:u w:val="single"/>
                </w:rPr>
                <w:t xml:space="preserve"> </w:t>
              </w:r>
            </w:hyperlink>
            <w:hyperlink r:id="rId9">
              <w:r>
                <w:rPr>
                  <w:rStyle w:val="InternetLink"/>
                  <w:rFonts w:ascii="Times New Roman;sans-serif" w:hAnsi="Times New Roman;sans-serif"/>
                  <w:b w:val="false"/>
                  <w:color w:val="000080"/>
                  <w:sz w:val="20"/>
                  <w:u w:val="single"/>
                </w:rPr>
                <w:t>(incorporated by reference from Exhibit 10.</w:t>
              </w:r>
            </w:hyperlink>
            <w:hyperlink r:id="rId10">
              <w:r>
                <w:rPr>
                  <w:rStyle w:val="InternetLink"/>
                  <w:rFonts w:ascii="Times New Roman;sans-serif" w:hAnsi="Times New Roman;sans-serif"/>
                  <w:b w:val="false"/>
                  <w:color w:val="000080"/>
                  <w:sz w:val="20"/>
                  <w:u w:val="single"/>
                </w:rPr>
                <w:t>28</w:t>
              </w:r>
            </w:hyperlink>
            <w:hyperlink r:id="rId11">
              <w:r>
                <w:rPr>
                  <w:rStyle w:val="InternetLink"/>
                  <w:rFonts w:ascii="Times New Roman;sans-serif" w:hAnsi="Times New Roman;sans-serif"/>
                  <w:b w:val="false"/>
                  <w:color w:val="000080"/>
                  <w:sz w:val="20"/>
                  <w:u w:val="single"/>
                </w:rPr>
                <w:t xml:space="preserve"> to Rackspace Technology, Inc.’s Form 10-K filed on March 15, 2024)</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20"/>
                  <w:u w:val="single"/>
                </w:rPr>
                <w:t>Amended and Restated Employment Agreement between Rackspace US, Inc. and Mark Marino, effective January 12, 2024 (incorporated by reference from Exhibit 10.1 to Rackspace Technology, Inc.’s Form 8-K, filed on January 12, 2024)</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6-brianlillieempl.htm">
              <w:r>
                <w:rPr>
                  <w:rStyle w:val="InternetLink"/>
                  <w:rFonts w:ascii="Times New Roman;sans-serif" w:hAnsi="Times New Roman;sans-serif"/>
                  <w:b w:val="false"/>
                  <w:color w:val="0000FF"/>
                  <w:sz w:val="20"/>
                  <w:u w:val="single"/>
                </w:rPr>
                <w:t>Employment Agreement between Rackspace US, Inc. and Brian Lillie, effective January 16, 2023.</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7-dksinhaemployme.htm">
              <w:r>
                <w:rPr>
                  <w:rStyle w:val="InternetLink"/>
                  <w:rFonts w:ascii="Times New Roman;sans-serif" w:hAnsi="Times New Roman;sans-serif"/>
                  <w:b w:val="false"/>
                  <w:color w:val="0000FF"/>
                  <w:sz w:val="20"/>
                  <w:u w:val="single"/>
                </w:rPr>
                <w:t>Employment Agreement between Rackspace US, Inc. and Dharmendra Kumar (“DK”) Sinha, effective July 13, 2022.</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1q12024.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2q12024.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1q12024.htm">
              <w:r>
                <w:rPr>
                  <w:rStyle w:val="InternetLink"/>
                  <w:rFonts w:ascii="Times New Roman;sans-serif" w:hAnsi="Times New Roman;sans-serif"/>
                  <w:b w:val="false"/>
                  <w:color w:val="0000FF"/>
                  <w:sz w:val="20"/>
                  <w:u w:val="single"/>
                </w:rPr>
                <w:t>Certification of the Chief Executive Officer pursuant to Section 906 of the Sarbanes-Oxley Act of 2002</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2q12024.htm">
              <w:r>
                <w:rPr>
                  <w:rStyle w:val="InternetLink"/>
                  <w:rFonts w:ascii="Times New Roman;sans-serif" w:hAnsi="Times New Roman;sans-serif"/>
                  <w:b w:val="false"/>
                  <w:color w:val="0000FF"/>
                  <w:sz w:val="20"/>
                  <w:u w:val="single"/>
                </w:rPr>
                <w:t>Certification of the Chief Financial Officer pursuant to Section 906 of the Sarbanes-Oxley Act of 2002</w:t>
              </w:r>
            </w:hyperlink>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pPr>
      <w:r>
        <w:rPr>
          <w:rFonts w:ascii="Times New Roman;sans-serif" w:hAnsi="Times New Roman;sans-serif"/>
          <w:b/>
          <w:color w:val="000000"/>
          <w:sz w:val="18"/>
        </w:rPr>
        <w:t>*    </w:t>
      </w:r>
      <w:r>
        <w:rPr>
          <w:rFonts w:ascii="Times New Roman;sans-serif" w:hAnsi="Times New Roman;sans-serif"/>
          <w:b w:val="false"/>
          <w:color w:val="000000"/>
          <w:sz w:val="18"/>
        </w:rPr>
        <w:t>Filed herewith.</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Furnished herewith.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- 60 -</w:t>
                      </w:r>
                    </w:p>
                  </w:txbxContent>
                </v:textbox>
                <w10:wrap type="none"/>
              </v:rect>
            </w:pict>
          </mc:Fallback>
        </mc:AlternateContent>
      </w:r>
    </w:p>
    <w:p>
      <w:pPr>
        <w:pStyle w:val="TextBody"/>
        <w:bidi w:val="0"/>
        <w:spacing w:lineRule="auto" w:line="288" w:before="0" w:after="0"/>
        <w:jc w:val="left"/>
        <w:rPr/>
      </w:pPr>
      <w:hyperlink w:anchor="id5080971d349449b90d5c08326eaad02_7">
        <w:r>
          <w:rPr>
            <w:rStyle w:val="InternetLink"/>
            <w:rFonts w:ascii="Times New Roman;sans-serif" w:hAnsi="Times New Roman;sans-serif"/>
            <w:b w:val="false"/>
            <w:color w:val="000080"/>
            <w:sz w:val="20"/>
            <w:u w:val="single"/>
          </w:rPr>
          <w:t xml:space="preserve">Table of </w:t>
        </w:r>
      </w:hyperlink>
      <w:hyperlink w:anchor="id5080971d349449b90d5c08326eaad02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5589"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10.6</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- 61 -</w:t>
                      </w:r>
                    </w:p>
                  </w:txbxContent>
                </v:textbox>
                <w10:wrap type="none"/>
              </v:rect>
            </w:pict>
          </mc:Fallback>
        </mc:AlternateContent>
      </w:r>
    </w:p>
    <w:p>
      <w:pPr>
        <w:pStyle w:val="TextBody"/>
        <w:bidi w:val="0"/>
        <w:spacing w:lineRule="auto" w:line="288" w:before="170" w:after="283"/>
        <w:jc w:val="center"/>
        <w:rPr>
          <w:rFonts w:ascii="Times New Roman;sans-serif" w:hAnsi="Times New Roman;sans-serif"/>
          <w:b/>
          <w:color w:val="111111"/>
          <w:sz w:val="22"/>
        </w:rPr>
      </w:pPr>
      <w:r>
        <w:rPr>
          <w:rFonts w:ascii="Times New Roman;sans-serif" w:hAnsi="Times New Roman;sans-serif"/>
          <w:b/>
          <w:color w:val="111111"/>
          <w:sz w:val="22"/>
        </w:rPr>
        <w:t>EMPLOYMENT AGREEMENT</w:t>
      </w:r>
    </w:p>
    <w:p>
      <w:pPr>
        <w:pStyle w:val="TextBody"/>
        <w:bidi w:val="0"/>
        <w:spacing w:lineRule="auto" w:line="276" w:before="252" w:after="283"/>
        <w:ind w:left="0" w:right="0" w:firstLine="723"/>
        <w:jc w:val="both"/>
        <w:rPr>
          <w:rFonts w:ascii="Times New Roman;sans-serif" w:hAnsi="Times New Roman;sans-serif"/>
          <w:b w:val="false"/>
          <w:color w:val="111111"/>
          <w:sz w:val="22"/>
        </w:rPr>
      </w:pPr>
      <w:r>
        <w:rPr>
          <w:rFonts w:ascii="Times New Roman;sans-serif" w:hAnsi="Times New Roman;sans-serif"/>
          <w:b w:val="false"/>
          <w:color w:val="111111"/>
          <w:sz w:val="22"/>
        </w:rPr>
        <w:t>This Employment Agreement ("Agreement") is between Rackspace US, Inc. ("Company") and Brian Lillie ("Employee").</w:t>
      </w:r>
    </w:p>
    <w:p>
      <w:pPr>
        <w:pStyle w:val="TextBody"/>
        <w:bidi w:val="0"/>
        <w:spacing w:before="14" w:after="283"/>
        <w:jc w:val="left"/>
        <w:rPr/>
      </w:pPr>
      <w:r>
        <w:rPr/>
      </w:r>
    </w:p>
    <w:p>
      <w:pPr>
        <w:pStyle w:val="TextBody"/>
        <w:bidi w:val="0"/>
        <w:spacing w:lineRule="auto" w:line="288" w:before="0" w:after="0"/>
        <w:ind w:left="0" w:right="0" w:hanging="718"/>
        <w:jc w:val="left"/>
        <w:rPr>
          <w:rFonts w:ascii="Times New Roman;sans-serif" w:hAnsi="Times New Roman;sans-serif"/>
          <w:b/>
          <w:color w:val="111111"/>
          <w:sz w:val="22"/>
        </w:rPr>
      </w:pPr>
      <w:r>
        <w:rPr>
          <w:rFonts w:ascii="Times New Roman;sans-serif" w:hAnsi="Times New Roman;sans-serif"/>
          <w:b/>
          <w:color w:val="111111"/>
          <w:sz w:val="22"/>
        </w:rPr>
        <w:t>1.    TERM OF EMPLOYMENT</w:t>
      </w:r>
    </w:p>
    <w:p>
      <w:pPr>
        <w:pStyle w:val="TextBody"/>
        <w:bidi w:val="0"/>
        <w:spacing w:before="10" w:after="283"/>
        <w:jc w:val="left"/>
        <w:rPr/>
      </w:pPr>
      <w:r>
        <w:rPr/>
      </w:r>
    </w:p>
    <w:p>
      <w:pPr>
        <w:pStyle w:val="TextBody"/>
        <w:bidi w:val="0"/>
        <w:spacing w:lineRule="auto" w:line="288" w:before="1" w:after="283"/>
        <w:ind w:left="0" w:right="0" w:firstLine="642"/>
        <w:jc w:val="both"/>
        <w:rPr/>
      </w:pPr>
      <w:r>
        <w:rPr>
          <w:rFonts w:ascii="Times New Roman;sans-serif" w:hAnsi="Times New Roman;sans-serif"/>
          <w:b w:val="false"/>
          <w:color w:val="111111"/>
          <w:sz w:val="22"/>
        </w:rPr>
        <w:t xml:space="preserve">This Agreement commences </w:t>
      </w:r>
      <w:r>
        <w:rPr>
          <w:rFonts w:ascii="Times New Roman;sans-serif" w:hAnsi="Times New Roman;sans-serif"/>
          <w:b w:val="false"/>
          <w:color w:val="111111"/>
          <w:sz w:val="22"/>
          <w:u w:val="single"/>
        </w:rPr>
        <w:t>January 23, 2023</w:t>
      </w:r>
      <w:r>
        <w:rPr>
          <w:color w:val="111111"/>
        </w:rPr>
        <w:t xml:space="preserve"> </w:t>
      </w:r>
      <w:r>
        <w:rPr>
          <w:rFonts w:ascii="Times New Roman;sans-serif" w:hAnsi="Times New Roman;sans-serif"/>
          <w:b w:val="false"/>
          <w:color w:val="111111"/>
          <w:sz w:val="22"/>
        </w:rPr>
        <w:t xml:space="preserve">("Start Date") and ends on </w:t>
      </w:r>
      <w:r>
        <w:rPr>
          <w:rFonts w:ascii="Times New Roman;sans-serif" w:hAnsi="Times New Roman;sans-serif"/>
          <w:b w:val="false"/>
          <w:color w:val="111111"/>
          <w:sz w:val="22"/>
          <w:u w:val="single"/>
        </w:rPr>
        <w:t xml:space="preserve">January 22, 2026 </w:t>
      </w:r>
      <w:r>
        <w:rPr>
          <w:rFonts w:ascii="Times New Roman;sans-serif" w:hAnsi="Times New Roman;sans-serif"/>
          <w:b w:val="false"/>
          <w:color w:val="111111"/>
          <w:sz w:val="22"/>
        </w:rPr>
        <w:t>(the "Employment Period"); however, the Employment Period will thereafter be automatically extended for two year periods unless either Company or Employee gives written notice of non- renewal no later than ninety days prior to the expiration of the then-applicable Employment Period. The term "Employment Period" shall refer to the Employment Period if and as so extended.</w:t>
      </w:r>
    </w:p>
    <w:p>
      <w:pPr>
        <w:pStyle w:val="TextBody"/>
        <w:bidi w:val="0"/>
        <w:spacing w:before="19" w:after="283"/>
        <w:jc w:val="left"/>
        <w:rPr/>
      </w:pPr>
      <w:r>
        <w:rPr/>
      </w:r>
    </w:p>
    <w:p>
      <w:pPr>
        <w:pStyle w:val="TextBody"/>
        <w:bidi w:val="0"/>
        <w:spacing w:lineRule="auto" w:line="288" w:before="1" w:after="283"/>
        <w:ind w:left="0" w:right="0" w:hanging="718"/>
        <w:jc w:val="left"/>
        <w:rPr>
          <w:rFonts w:ascii="Times New Roman;sans-serif" w:hAnsi="Times New Roman;sans-serif"/>
          <w:b/>
          <w:color w:val="111111"/>
          <w:sz w:val="22"/>
        </w:rPr>
      </w:pPr>
      <w:r>
        <w:rPr>
          <w:rFonts w:ascii="Times New Roman;sans-serif" w:hAnsi="Times New Roman;sans-serif"/>
          <w:b/>
          <w:color w:val="111111"/>
          <w:sz w:val="22"/>
        </w:rPr>
        <w:t>2.    TITLE AND EXCLUSIVE SERVICES</w:t>
      </w:r>
    </w:p>
    <w:p>
      <w:pPr>
        <w:pStyle w:val="TextBody"/>
        <w:bidi w:val="0"/>
        <w:spacing w:before="32" w:after="283"/>
        <w:jc w:val="left"/>
        <w:rPr/>
      </w:pPr>
      <w:r>
        <w:rPr/>
      </w:r>
    </w:p>
    <w:p>
      <w:pPr>
        <w:pStyle w:val="TextBody"/>
        <w:bidi w:val="0"/>
        <w:spacing w:lineRule="auto" w:line="288" w:before="0" w:after="0"/>
        <w:ind w:left="0" w:right="0" w:hanging="723"/>
        <w:jc w:val="both"/>
        <w:rPr/>
      </w:pPr>
      <w:r>
        <w:rPr>
          <w:rFonts w:ascii="Times New Roman;sans-serif" w:hAnsi="Times New Roman;sans-serif"/>
          <w:b/>
          <w:color w:val="111111"/>
          <w:sz w:val="22"/>
        </w:rPr>
        <w:t xml:space="preserve">(a)    Title and Duties. </w:t>
      </w:r>
      <w:r>
        <w:rPr>
          <w:rFonts w:ascii="Times New Roman;sans-serif" w:hAnsi="Times New Roman;sans-serif"/>
          <w:b w:val="false"/>
          <w:color w:val="111111"/>
          <w:sz w:val="22"/>
        </w:rPr>
        <w:t>Employee's level is Executive Vice President, and his title will be President Private Cloud. Employee will perform job duties that are usual and customary for this position. Employee will report to the Company's Chief Executive Officer. The Company agrees that Employee may reside and work from California and travel regularly to San Antonio, Texas as requested and approved by Company and other locations as required by the company and to facilitate the duties of the role. The Company reserves the right to assign to the Employee duties of a different nature, either additional to, or instead of, those referred to above, it being understood that Employee will not be assigned duties that conflict with the terms of any lawful, enforceable and ongoing post-employment restrictions with a prior employer or that Employee cannot reasonably perform.</w:t>
      </w:r>
    </w:p>
    <w:p>
      <w:pPr>
        <w:pStyle w:val="TextBody"/>
        <w:bidi w:val="0"/>
        <w:spacing w:before="24" w:after="283"/>
        <w:jc w:val="left"/>
        <w:rPr/>
      </w:pPr>
      <w:r>
        <w:rPr/>
      </w:r>
    </w:p>
    <w:p>
      <w:pPr>
        <w:pStyle w:val="TextBody"/>
        <w:bidi w:val="0"/>
        <w:spacing w:lineRule="auto" w:line="288" w:before="0" w:after="0"/>
        <w:ind w:left="0" w:right="0" w:hanging="722"/>
        <w:jc w:val="both"/>
        <w:rPr/>
      </w:pPr>
      <w:r>
        <w:rPr>
          <w:rFonts w:ascii="Times New Roman;sans-serif" w:hAnsi="Times New Roman;sans-serif"/>
          <w:b/>
          <w:color w:val="111111"/>
          <w:sz w:val="22"/>
        </w:rPr>
        <w:t xml:space="preserve">(b)        Exclusive Services. </w:t>
      </w:r>
      <w:r>
        <w:rPr>
          <w:rFonts w:ascii="Times New Roman;sans-serif" w:hAnsi="Times New Roman;sans-serif"/>
          <w:b w:val="false"/>
          <w:color w:val="111111"/>
          <w:sz w:val="22"/>
        </w:rPr>
        <w:t>Employee shall not be employed or render services elsewhere during the Employment Period. Notwithstanding the foregoing provision of this Section, during the Employment Period, Employee may devote reasonable time to activities other than those required under this Agreement, including activities of a charitable, educational, religious or similar nature (including professional associations), or activities related to corporate board or advisory board positions for non-competitive companies, subject to the company's standard approval policy, and the management of the Employee's personal investments, to the extent such activities do not compete in a material way with the business of the Company. For purposes of clarification, the Company agrees to allow Employee to keep his board position with Lumentum and to continue to pursue charitable/humanitarian work primarily in Poland</w:t>
      </w:r>
    </w:p>
    <w:p>
      <w:pPr>
        <w:pStyle w:val="TextBody"/>
        <w:bidi w:val="0"/>
        <w:spacing w:before="28" w:after="283"/>
        <w:jc w:val="left"/>
        <w:rPr/>
      </w:pPr>
      <w:r>
        <w:rPr/>
      </w:r>
    </w:p>
    <w:p>
      <w:pPr>
        <w:pStyle w:val="TextBody"/>
        <w:bidi w:val="0"/>
        <w:spacing w:lineRule="auto" w:line="288" w:before="0" w:after="0"/>
        <w:ind w:left="0" w:right="0" w:hanging="725"/>
        <w:jc w:val="left"/>
        <w:rPr>
          <w:rFonts w:ascii="Times New Roman;sans-serif" w:hAnsi="Times New Roman;sans-serif"/>
          <w:b/>
          <w:color w:val="111111"/>
          <w:sz w:val="22"/>
        </w:rPr>
      </w:pPr>
      <w:r>
        <w:rPr>
          <w:rFonts w:ascii="Times New Roman;sans-serif" w:hAnsi="Times New Roman;sans-serif"/>
          <w:b/>
          <w:color w:val="111111"/>
          <w:sz w:val="22"/>
        </w:rPr>
        <w:t>3.    COMPENSATION AND BENEFITS</w:t>
      </w:r>
    </w:p>
    <w:p>
      <w:pPr>
        <w:pStyle w:val="TextBody"/>
        <w:bidi w:val="0"/>
        <w:spacing w:before="28" w:after="283"/>
        <w:jc w:val="left"/>
        <w:rPr/>
      </w:pPr>
      <w:r>
        <w:rPr/>
      </w:r>
    </w:p>
    <w:p>
      <w:pPr>
        <w:pStyle w:val="TextBody"/>
        <w:bidi w:val="0"/>
        <w:spacing w:lineRule="auto" w:line="288" w:before="0" w:after="0"/>
        <w:ind w:left="0" w:right="0" w:hanging="720"/>
        <w:jc w:val="both"/>
        <w:rPr/>
      </w:pPr>
      <w:r>
        <w:rPr>
          <w:rFonts w:ascii="Times New Roman;sans-serif" w:hAnsi="Times New Roman;sans-serif"/>
          <w:b/>
          <w:color w:val="111111"/>
          <w:sz w:val="22"/>
        </w:rPr>
        <w:t xml:space="preserve">(a)        Base Salary. </w:t>
      </w:r>
      <w:r>
        <w:rPr>
          <w:rFonts w:ascii="Times New Roman;sans-serif" w:hAnsi="Times New Roman;sans-serif"/>
          <w:b w:val="false"/>
          <w:color w:val="111111"/>
          <w:sz w:val="22"/>
        </w:rPr>
        <w:t xml:space="preserve">Employee shall be paid an annual base salary of </w:t>
      </w:r>
      <w:r>
        <w:rPr>
          <w:rFonts w:ascii="Times New Roman;sans-serif" w:hAnsi="Times New Roman;sans-serif"/>
          <w:b w:val="false"/>
          <w:color w:val="111111"/>
          <w:sz w:val="22"/>
          <w:u w:val="single"/>
        </w:rPr>
        <w:t>$650,000.00</w:t>
      </w:r>
      <w:r>
        <w:rPr>
          <w:color w:val="111111"/>
        </w:rPr>
        <w:t xml:space="preserve"> </w:t>
      </w:r>
      <w:r>
        <w:rPr>
          <w:rFonts w:ascii="Times New Roman;sans-serif" w:hAnsi="Times New Roman;sans-serif"/>
          <w:b w:val="false"/>
          <w:color w:val="111111"/>
          <w:sz w:val="22"/>
        </w:rPr>
        <w:t>and shall be eligible for increases in base salary consistent with Company's ordinary compensation cycles and process; any such increase shall be deemed thereafter the Base Salary for purposes of this Agreement. The Base Salary shall not be decreased during the Employment Period without the written consent of the Employee</w:t>
      </w:r>
    </w:p>
    <w:p>
      <w:pPr>
        <w:pStyle w:val="TextBody"/>
        <w:bidi w:val="0"/>
        <w:spacing w:before="20" w:after="283"/>
        <w:jc w:val="left"/>
        <w:rPr/>
      </w:pPr>
      <w:r>
        <w:rPr/>
      </w:r>
    </w:p>
    <w:p>
      <w:pPr>
        <w:pStyle w:val="TextBody"/>
        <w:bidi w:val="0"/>
        <w:spacing w:lineRule="auto" w:line="292" w:before="90" w:after="283"/>
        <w:ind w:left="0" w:right="0" w:firstLine="4"/>
        <w:jc w:val="both"/>
        <w:rPr/>
      </w:pPr>
      <w:r>
        <w:rPr>
          <w:rFonts w:ascii="Times New Roman;sans-serif" w:hAnsi="Times New Roman;sans-serif"/>
          <w:b/>
          <w:color w:val="111111"/>
          <w:sz w:val="22"/>
        </w:rPr>
        <w:t xml:space="preserve">(a)    Annual Corporate Bonus. </w:t>
      </w:r>
      <w:r>
        <w:rPr>
          <w:rFonts w:ascii="Times New Roman;sans-serif" w:hAnsi="Times New Roman;sans-serif"/>
          <w:b w:val="false"/>
          <w:color w:val="111111"/>
          <w:sz w:val="22"/>
        </w:rPr>
        <w:t xml:space="preserve">Employee is eligible for an annualized on-target bonus of </w:t>
      </w:r>
      <w:r>
        <w:rPr>
          <w:rFonts w:ascii="Times New Roman;sans-serif" w:hAnsi="Times New Roman;sans-serif"/>
          <w:b w:val="false"/>
          <w:color w:val="111111"/>
          <w:sz w:val="22"/>
          <w:u w:val="single"/>
        </w:rPr>
        <w:t>100%</w:t>
      </w:r>
      <w:r>
        <w:rPr>
          <w:color w:val="111111"/>
        </w:rPr>
        <w:t xml:space="preserve"> </w:t>
      </w:r>
      <w:r>
        <w:rPr>
          <w:rFonts w:ascii="Times New Roman;sans-serif" w:hAnsi="Times New Roman;sans-serif"/>
          <w:b w:val="false"/>
          <w:color w:val="111111"/>
          <w:sz w:val="22"/>
        </w:rPr>
        <w:t xml:space="preserve">of annual base salary, with a maximum potential amount of 150% of annual base salary, subject to the Rackspace Technology, Inc. Annual Cash Incentive Plan, or successor plan, (the "Plan") as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90" w:after="283"/>
        <w:jc w:val="both"/>
        <w:rPr>
          <w:rFonts w:ascii="Times New Roman;sans-serif" w:hAnsi="Times New Roman;sans-serif"/>
          <w:b w:val="false"/>
          <w:color w:val="111111"/>
          <w:sz w:val="22"/>
        </w:rPr>
      </w:pPr>
      <w:r>
        <w:rPr>
          <w:rFonts w:ascii="Times New Roman;sans-serif" w:hAnsi="Times New Roman;sans-serif"/>
          <w:b w:val="false"/>
          <w:color w:val="111111"/>
          <w:sz w:val="22"/>
        </w:rPr>
        <w:t>approved by the Board of Directors or Compensation Committee of Rackspace Technology, Inc. From time to time the Company will review Employee's Annual Corporate Bonus Target and may provide for an increase as it may deem appropriate its discretion; any such increase shall be deemed thereafter the Annual Corporate Bonus Target for purposes of this agreement. The Annual Corporate Bonus target will not be decreased during the Employment Period without the written consent of Employee.</w:t>
      </w:r>
    </w:p>
    <w:p>
      <w:pPr>
        <w:pStyle w:val="TextBody"/>
        <w:bidi w:val="0"/>
        <w:spacing w:before="23" w:after="283"/>
        <w:jc w:val="left"/>
        <w:rPr/>
      </w:pPr>
      <w:r>
        <w:rPr/>
      </w:r>
    </w:p>
    <w:p>
      <w:pPr>
        <w:pStyle w:val="TextBody"/>
        <w:bidi w:val="0"/>
        <w:spacing w:lineRule="auto" w:line="292" w:before="0" w:after="0"/>
        <w:ind w:left="0" w:right="0" w:hanging="720"/>
        <w:jc w:val="both"/>
        <w:rPr/>
      </w:pPr>
      <w:r>
        <w:rPr>
          <w:rFonts w:ascii="Times New Roman;sans-serif" w:hAnsi="Times New Roman;sans-serif"/>
          <w:b/>
          <w:color w:val="111111"/>
          <w:sz w:val="22"/>
        </w:rPr>
        <w:t xml:space="preserve">(b)        Recruiting Equity Award. </w:t>
      </w:r>
      <w:r>
        <w:rPr>
          <w:rFonts w:ascii="Times New Roman;sans-serif" w:hAnsi="Times New Roman;sans-serif"/>
          <w:b w:val="false"/>
          <w:color w:val="111111"/>
          <w:sz w:val="22"/>
        </w:rPr>
        <w:t xml:space="preserve">In consideration for signing this Agreement, promptly following the Start Date (but no later than 30 days thereafter), the Company will grant Employee one-time retention grants pursuant to the Rackspace Technology, Inc. 2020 Equity Incentive Plan (or any successor plan) ("Equity Plan") in the form of (i) restricted stock units ("RSUs") and (ii) performance stock units ("PSUs"), in each case, of the Company's common stock, par value </w:t>
      </w:r>
      <w:r>
        <w:rPr>
          <w:rFonts w:ascii="Times New Roman;sans-serif" w:hAnsi="Times New Roman;sans-serif"/>
          <w:b w:val="false"/>
          <w:color w:val="282828"/>
          <w:sz w:val="22"/>
        </w:rPr>
        <w:t xml:space="preserve">$.01 </w:t>
      </w:r>
      <w:r>
        <w:rPr>
          <w:rFonts w:ascii="Times New Roman;sans-serif" w:hAnsi="Times New Roman;sans-serif"/>
          <w:b w:val="false"/>
          <w:color w:val="111111"/>
          <w:sz w:val="22"/>
        </w:rPr>
        <w:t xml:space="preserve">per share ("Common Stock"). Each of the number of RSUs and target number of PSUs granted to Employee shall be determined by dividing $3,500,000 (i.e., $7,000,000 in the aggregate) by a 30-trading day volume weighted average market closing price of the Company's NASDAQ-traded Common Stock immediately prior to the Start Date (the </w:t>
      </w:r>
      <w:r>
        <w:rPr>
          <w:rFonts w:ascii="Times New Roman;sans-serif" w:hAnsi="Times New Roman;sans-serif"/>
          <w:b w:val="false"/>
          <w:color w:val="282828"/>
          <w:sz w:val="22"/>
        </w:rPr>
        <w:t xml:space="preserve">"Recruiting </w:t>
      </w:r>
      <w:r>
        <w:rPr>
          <w:rFonts w:ascii="Times New Roman;sans-serif" w:hAnsi="Times New Roman;sans-serif"/>
          <w:b w:val="false"/>
          <w:color w:val="111111"/>
          <w:sz w:val="22"/>
        </w:rPr>
        <w:t>Equity Grants"). The RSUs shall vest in equal annual installments on each anniversary of the Start Date over a three-year period ending on the third anniversary of the Start Date, subject to Employee's continued employment through the applicable vesting date. The PSUs shall be eligible to vest in equal annual installments (within 30 days following the end of the applicable one-year, two-year or three-year measurement period), subject to Employee's continued employment through the applicable vesting date and the achievement of the performance conditions included in the PSU Recruiting Equity Grant. The Recruiting Equity Grants will be issued pursuant and subject to the terms and conditions set forth in the 2020 Rackspace Technology, Inc. Equity Incentive Plan and the applicable grant agreements.</w:t>
      </w:r>
    </w:p>
    <w:p>
      <w:pPr>
        <w:pStyle w:val="TextBody"/>
        <w:bidi w:val="0"/>
        <w:spacing w:before="20" w:after="283"/>
        <w:jc w:val="left"/>
        <w:rPr/>
      </w:pPr>
      <w:r>
        <w:rPr/>
      </w:r>
    </w:p>
    <w:p>
      <w:pPr>
        <w:pStyle w:val="TextBody"/>
        <w:bidi w:val="0"/>
        <w:spacing w:lineRule="auto" w:line="288" w:before="1" w:after="283"/>
        <w:ind w:left="0" w:right="0" w:hanging="720"/>
        <w:jc w:val="both"/>
        <w:rPr/>
      </w:pPr>
      <w:r>
        <w:rPr>
          <w:rFonts w:ascii="Times New Roman;sans-serif" w:hAnsi="Times New Roman;sans-serif"/>
          <w:b/>
          <w:color w:val="111111"/>
          <w:sz w:val="22"/>
        </w:rPr>
        <w:t xml:space="preserve">(c)        Annual Equity Awards. </w:t>
      </w:r>
      <w:r>
        <w:rPr>
          <w:rFonts w:ascii="Times New Roman;sans-serif" w:hAnsi="Times New Roman;sans-serif"/>
          <w:b w:val="false"/>
          <w:color w:val="111111"/>
          <w:sz w:val="22"/>
        </w:rPr>
        <w:t>Employee will be eligible to receive equity awards on the same basis and terms (including form and mix of awards, vesting and forfeiture terms and date on which such awards are granted) no less favorable to him than those applicable to any other similarly situated employees subject to Employee's continued employment through the applicable grant date.</w:t>
      </w:r>
    </w:p>
    <w:p>
      <w:pPr>
        <w:pStyle w:val="TextBody"/>
        <w:bidi w:val="0"/>
        <w:spacing w:before="25" w:after="283"/>
        <w:jc w:val="left"/>
        <w:rPr/>
      </w:pPr>
      <w:r>
        <w:rPr/>
      </w:r>
    </w:p>
    <w:p>
      <w:pPr>
        <w:pStyle w:val="TextBody"/>
        <w:bidi w:val="0"/>
        <w:spacing w:lineRule="auto" w:line="288" w:before="0" w:after="0"/>
        <w:ind w:left="0" w:right="0" w:hanging="728"/>
        <w:jc w:val="both"/>
        <w:rPr/>
      </w:pPr>
      <w:r>
        <w:rPr>
          <w:rFonts w:ascii="Times New Roman;sans-serif" w:hAnsi="Times New Roman;sans-serif"/>
          <w:b/>
          <w:color w:val="111111"/>
          <w:sz w:val="22"/>
        </w:rPr>
        <w:t xml:space="preserve">(d)    PTO. </w:t>
      </w:r>
      <w:r>
        <w:rPr>
          <w:rFonts w:ascii="Times New Roman;sans-serif" w:hAnsi="Times New Roman;sans-serif"/>
          <w:b w:val="false"/>
          <w:color w:val="111111"/>
          <w:sz w:val="22"/>
        </w:rPr>
        <w:t>Employee is eligible for ETO (earned time off) subject to the Company's policies but not less than 5 weeks per calendar year.</w:t>
      </w:r>
    </w:p>
    <w:p>
      <w:pPr>
        <w:pStyle w:val="TextBody"/>
        <w:bidi w:val="0"/>
        <w:spacing w:before="27" w:after="283"/>
        <w:jc w:val="left"/>
        <w:rPr/>
      </w:pPr>
      <w:r>
        <w:rPr/>
      </w:r>
    </w:p>
    <w:p>
      <w:pPr>
        <w:pStyle w:val="TextBody"/>
        <w:bidi w:val="0"/>
        <w:spacing w:lineRule="auto" w:line="288" w:before="0" w:after="0"/>
        <w:ind w:left="0" w:right="0" w:hanging="720"/>
        <w:jc w:val="both"/>
        <w:rPr/>
      </w:pPr>
      <w:r>
        <w:rPr>
          <w:rFonts w:ascii="Times New Roman;sans-serif" w:hAnsi="Times New Roman;sans-serif"/>
          <w:b/>
          <w:color w:val="111111"/>
          <w:sz w:val="22"/>
        </w:rPr>
        <w:t xml:space="preserve">(e)        Employment Benefit Plans. </w:t>
      </w:r>
      <w:r>
        <w:rPr>
          <w:rFonts w:ascii="Times New Roman;sans-serif" w:hAnsi="Times New Roman;sans-serif"/>
          <w:b w:val="false"/>
          <w:color w:val="111111"/>
          <w:sz w:val="22"/>
        </w:rPr>
        <w:t>Employee may participate in employee benefit plans in which other similarly situated employees may participate, according to the terms of applicable policies and as stated in the Employee Handbook. Employee acknowledges receipt of the Employee Handbook available on the intercompany website and will review and abide by its terms.</w:t>
      </w:r>
    </w:p>
    <w:p>
      <w:pPr>
        <w:pStyle w:val="TextBody"/>
        <w:bidi w:val="0"/>
        <w:spacing w:before="30" w:after="283"/>
        <w:jc w:val="left"/>
        <w:rPr/>
      </w:pPr>
      <w:r>
        <w:rPr/>
      </w:r>
    </w:p>
    <w:p>
      <w:pPr>
        <w:pStyle w:val="TextBody"/>
        <w:bidi w:val="0"/>
        <w:spacing w:lineRule="auto" w:line="283" w:before="0" w:after="0"/>
        <w:ind w:left="0" w:right="0" w:hanging="728"/>
        <w:jc w:val="both"/>
        <w:rPr/>
      </w:pPr>
      <w:r>
        <w:rPr>
          <w:rFonts w:ascii="Times New Roman;sans-serif" w:hAnsi="Times New Roman;sans-serif"/>
          <w:b/>
          <w:color w:val="111111"/>
          <w:sz w:val="22"/>
        </w:rPr>
        <w:t xml:space="preserve">(f)    Expenses. </w:t>
      </w:r>
      <w:r>
        <w:rPr>
          <w:rFonts w:ascii="Times New Roman;sans-serif" w:hAnsi="Times New Roman;sans-serif"/>
          <w:b w:val="false"/>
          <w:color w:val="111111"/>
          <w:sz w:val="22"/>
        </w:rPr>
        <w:t>Company will reimburse Employee for approved travel and business expenses pursuant to Company policy.</w:t>
      </w:r>
    </w:p>
    <w:p>
      <w:pPr>
        <w:pStyle w:val="TextBody"/>
        <w:bidi w:val="0"/>
        <w:spacing w:before="0" w:after="0"/>
        <w:jc w:val="left"/>
        <w:rPr/>
      </w:pPr>
      <w:r>
        <w:rPr/>
      </w:r>
    </w:p>
    <w:p>
      <w:pPr>
        <w:pStyle w:val="TextBody"/>
        <w:bidi w:val="0"/>
        <w:spacing w:lineRule="auto" w:line="288" w:before="1" w:after="283"/>
        <w:ind w:left="0" w:right="0" w:hanging="724"/>
        <w:jc w:val="left"/>
        <w:rPr>
          <w:rFonts w:ascii="Times New Roman;sans-serif" w:hAnsi="Times New Roman;sans-serif"/>
          <w:b/>
          <w:color w:val="111111"/>
          <w:sz w:val="22"/>
        </w:rPr>
      </w:pPr>
      <w:r>
        <w:rPr>
          <w:rFonts w:ascii="Times New Roman;sans-serif" w:hAnsi="Times New Roman;sans-serif"/>
          <w:b/>
          <w:color w:val="111111"/>
          <w:sz w:val="22"/>
        </w:rPr>
        <w:t>4.    NONDISCLOSURE OF CONFIDENTIAL INFORMATION</w:t>
      </w:r>
    </w:p>
    <w:p>
      <w:pPr>
        <w:pStyle w:val="TextBody"/>
        <w:bidi w:val="0"/>
        <w:spacing w:before="32" w:after="283"/>
        <w:jc w:val="left"/>
        <w:rPr/>
      </w:pPr>
      <w:r>
        <w:rPr/>
      </w:r>
    </w:p>
    <w:p>
      <w:pPr>
        <w:pStyle w:val="TextBody"/>
        <w:bidi w:val="0"/>
        <w:spacing w:lineRule="auto" w:line="292" w:before="81" w:after="283"/>
        <w:ind w:left="0" w:right="0" w:firstLine="3"/>
        <w:jc w:val="both"/>
        <w:rPr/>
      </w:pPr>
      <w:r>
        <w:rPr>
          <w:rFonts w:ascii="Times New Roman;sans-serif" w:hAnsi="Times New Roman;sans-serif"/>
          <w:b/>
          <w:color w:val="000000"/>
          <w:sz w:val="22"/>
        </w:rPr>
        <w:t>(a)    </w:t>
      </w:r>
      <w:r>
        <w:rPr>
          <w:rFonts w:ascii="Times New Roman;sans-serif" w:hAnsi="Times New Roman;sans-serif"/>
          <w:b w:val="false"/>
          <w:color w:val="111111"/>
          <w:sz w:val="22"/>
        </w:rPr>
        <w:t xml:space="preserve">Company has provided and will continue to provide to Employee confidential information and trade secrets including but not limited to Company's operational, sales, marketing, personally identifiable information about employees, employee contact information and/or materials used for training and or/employee development, and engineering information, customer lists,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81" w:after="283"/>
        <w:jc w:val="both"/>
        <w:rPr/>
      </w:pPr>
      <w:r>
        <w:rPr>
          <w:rFonts w:ascii="Times New Roman;sans-serif" w:hAnsi="Times New Roman;sans-serif"/>
          <w:b w:val="false"/>
          <w:color w:val="111111"/>
          <w:sz w:val="22"/>
        </w:rPr>
        <w:t>contracts, partner agreements, pricing and strategy information, product and cost or pricing data, compensation information, strategic business plans budgets, financial statements, and other information Company treats as confidential or proprietary (collectively the "Confidential Information"). This section is not intended to limit Employee's rights to discuss Employee's compensation or other terms and conditions of employment as allowed by law. Employee will not be liable under any Federal or State trade secret law for the disclosure of a trade secret that is made in confidence to a Federal</w:t>
      </w:r>
      <w:r>
        <w:rPr>
          <w:rFonts w:ascii="Times New Roman;sans-serif" w:hAnsi="Times New Roman;sans-serif"/>
          <w:b w:val="false"/>
          <w:color w:val="3A3A3A"/>
          <w:sz w:val="22"/>
        </w:rPr>
        <w:t xml:space="preserve">, </w:t>
      </w:r>
      <w:r>
        <w:rPr>
          <w:rFonts w:ascii="Times New Roman;sans-serif" w:hAnsi="Times New Roman;sans-serif"/>
          <w:b w:val="false"/>
          <w:color w:val="111111"/>
          <w:sz w:val="22"/>
        </w:rPr>
        <w:t>State or local government official, either directly or indirectly, or to an attorney, solely for the purpose of reporting or investigating a suspected violation of law or that is made in a document filed in a lawsuit so long as it is filed under seal. Employee acknowledges that such Confidential Information is proprietary and agrees not to disclose it to anyone outside Company except to the extent that (i) it is necessary in connection with performing Employee's duties; (ii) Employee is required by court order to disclose the Confidential Information, provided that Employee shall promptly inform Company, shall cooperate with Company to obtain a protective order or otherwise restrict disclosure, and shall only disclose Confidential Information to the minimum extent necessary to comply with the court order. Employee agrees to never use Confidential Information in competing, directly or indirectly, with Company. When employment ends, Employee will immediately return all Confidential Information to Company.</w:t>
      </w:r>
    </w:p>
    <w:p>
      <w:pPr>
        <w:pStyle w:val="TextBody"/>
        <w:bidi w:val="0"/>
        <w:spacing w:before="19" w:after="283"/>
        <w:jc w:val="left"/>
        <w:rPr/>
      </w:pPr>
      <w:r>
        <w:rPr/>
      </w:r>
    </w:p>
    <w:p>
      <w:pPr>
        <w:pStyle w:val="TextBody"/>
        <w:bidi w:val="0"/>
        <w:spacing w:lineRule="auto" w:line="288" w:before="0" w:after="0"/>
        <w:ind w:left="0" w:right="0" w:hanging="723"/>
        <w:jc w:val="both"/>
        <w:rPr/>
      </w:pPr>
      <w:r>
        <w:rPr>
          <w:rFonts w:ascii="Times New Roman;sans-serif" w:hAnsi="Times New Roman;sans-serif"/>
          <w:b/>
          <w:color w:val="111111"/>
          <w:sz w:val="22"/>
        </w:rPr>
        <w:t>(b)        </w:t>
      </w:r>
      <w:r>
        <w:rPr>
          <w:rFonts w:ascii="Times New Roman;sans-serif" w:hAnsi="Times New Roman;sans-serif"/>
          <w:b w:val="false"/>
          <w:color w:val="111111"/>
          <w:sz w:val="22"/>
        </w:rPr>
        <w:t>Protected Rights. Employee understands that nothing contained in this Agreement limits Employee's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Employee further understands that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This Agreement does not limit Employee's right to receive an award for information provided to any Government Agencies.</w:t>
      </w:r>
    </w:p>
    <w:p>
      <w:pPr>
        <w:pStyle w:val="TextBody"/>
        <w:bidi w:val="0"/>
        <w:spacing w:before="12" w:after="283"/>
        <w:jc w:val="left"/>
        <w:rPr/>
      </w:pPr>
      <w:r>
        <w:rPr/>
      </w:r>
    </w:p>
    <w:p>
      <w:pPr>
        <w:pStyle w:val="TextBody"/>
        <w:bidi w:val="0"/>
        <w:spacing w:lineRule="auto" w:line="288" w:before="1" w:after="283"/>
        <w:ind w:left="0" w:right="0" w:hanging="725"/>
        <w:jc w:val="both"/>
        <w:rPr/>
      </w:pPr>
      <w:r>
        <w:rPr>
          <w:rFonts w:ascii="Times New Roman;sans-serif" w:hAnsi="Times New Roman;sans-serif"/>
          <w:b/>
          <w:color w:val="111111"/>
          <w:sz w:val="22"/>
        </w:rPr>
        <w:t>(c)    </w:t>
      </w:r>
      <w:r>
        <w:rPr>
          <w:rFonts w:ascii="Times New Roman;sans-serif" w:hAnsi="Times New Roman;sans-serif"/>
          <w:b w:val="false"/>
          <w:color w:val="111111"/>
          <w:sz w:val="22"/>
        </w:rPr>
        <w:t>The terms of this Section 4 shall survive the expiration or termination of this Agreement for any reason.</w:t>
      </w:r>
    </w:p>
    <w:p>
      <w:pPr>
        <w:pStyle w:val="TextBody"/>
        <w:bidi w:val="0"/>
        <w:spacing w:before="22" w:after="283"/>
        <w:jc w:val="left"/>
        <w:rPr/>
      </w:pPr>
      <w:r>
        <w:rPr/>
      </w:r>
    </w:p>
    <w:p>
      <w:pPr>
        <w:pStyle w:val="TextBody"/>
        <w:bidi w:val="0"/>
        <w:spacing w:lineRule="auto" w:line="288" w:before="0" w:after="0"/>
        <w:ind w:left="0" w:right="0" w:hanging="721"/>
        <w:jc w:val="left"/>
        <w:rPr>
          <w:rFonts w:ascii="Times New Roman;sans-serif" w:hAnsi="Times New Roman;sans-serif"/>
          <w:b/>
          <w:color w:val="111111"/>
          <w:sz w:val="22"/>
        </w:rPr>
      </w:pPr>
      <w:r>
        <w:rPr>
          <w:rFonts w:ascii="Times New Roman;sans-serif" w:hAnsi="Times New Roman;sans-serif"/>
          <w:b/>
          <w:color w:val="111111"/>
          <w:sz w:val="22"/>
        </w:rPr>
        <w:t>5.    NON-HIRE OF COMPANY EMPLOYEES</w:t>
      </w:r>
    </w:p>
    <w:p>
      <w:pPr>
        <w:pStyle w:val="TextBody"/>
        <w:bidi w:val="0"/>
        <w:spacing w:before="8" w:after="283"/>
        <w:jc w:val="left"/>
        <w:rPr/>
      </w:pPr>
      <w:r>
        <w:rPr/>
      </w:r>
    </w:p>
    <w:p>
      <w:pPr>
        <w:pStyle w:val="TextBody"/>
        <w:bidi w:val="0"/>
        <w:spacing w:lineRule="auto" w:line="288" w:before="0" w:after="0"/>
        <w:ind w:left="0" w:right="0" w:hanging="631"/>
        <w:jc w:val="both"/>
        <w:rPr/>
      </w:pPr>
      <w:r>
        <w:rPr>
          <w:rFonts w:ascii="Times New Roman;sans-serif" w:hAnsi="Times New Roman;sans-serif"/>
          <w:b/>
          <w:color w:val="111111"/>
          <w:sz w:val="22"/>
        </w:rPr>
        <w:t>(a)    </w:t>
      </w:r>
      <w:r>
        <w:rPr>
          <w:rFonts w:ascii="Times New Roman;sans-serif" w:hAnsi="Times New Roman;sans-serif"/>
          <w:b w:val="false"/>
          <w:color w:val="111111"/>
          <w:sz w:val="22"/>
        </w:rPr>
        <w:t>To further preserve the Confidential Information, during employment and for twelve (12) months after employment ends, Employee will not, directly or indirectly, (i) solicit or encourage any employee to terminate employment or services with Company; or (ii) solicit or encourage any employee to accept employment with or provide services to Employee or any business associated with Employee. The restrictions set forth in this section shall not apply to solicitation, hiring or receipt of services provided by employees engaged via general advertising that was not targeted at Company's employees.</w:t>
      </w:r>
    </w:p>
    <w:p>
      <w:pPr>
        <w:pStyle w:val="TextBody"/>
        <w:bidi w:val="0"/>
        <w:spacing w:before="4" w:after="283"/>
        <w:jc w:val="left"/>
        <w:rPr/>
      </w:pPr>
      <w:r>
        <w:rPr/>
      </w:r>
    </w:p>
    <w:p>
      <w:pPr>
        <w:pStyle w:val="TextBody"/>
        <w:bidi w:val="0"/>
        <w:spacing w:lineRule="auto" w:line="288" w:before="0" w:after="0"/>
        <w:ind w:left="0" w:right="0" w:hanging="637"/>
        <w:jc w:val="both"/>
        <w:rPr/>
      </w:pPr>
      <w:r>
        <w:rPr>
          <w:rFonts w:ascii="Times New Roman;sans-serif" w:hAnsi="Times New Roman;sans-serif"/>
          <w:b/>
          <w:color w:val="111111"/>
          <w:sz w:val="22"/>
        </w:rPr>
        <w:t>(b)    </w:t>
      </w:r>
      <w:r>
        <w:rPr>
          <w:rFonts w:ascii="Times New Roman;sans-serif" w:hAnsi="Times New Roman;sans-serif"/>
          <w:b w:val="false"/>
          <w:color w:val="111111"/>
          <w:sz w:val="22"/>
        </w:rPr>
        <w:t>The terms of this Section 5 shall survive the expiration or termination of this Agreement for any reason.</w:t>
      </w:r>
    </w:p>
    <w:p>
      <w:pPr>
        <w:pStyle w:val="TextBody"/>
        <w:bidi w:val="0"/>
        <w:spacing w:before="29" w:after="283"/>
        <w:jc w:val="left"/>
        <w:rPr/>
      </w:pPr>
      <w:r>
        <w:rPr/>
      </w:r>
    </w:p>
    <w:p>
      <w:pPr>
        <w:pStyle w:val="TextBody"/>
        <w:bidi w:val="0"/>
        <w:spacing w:lineRule="auto" w:line="288" w:before="1" w:after="283"/>
        <w:ind w:left="0" w:right="0" w:hanging="722"/>
        <w:jc w:val="left"/>
        <w:rPr>
          <w:rFonts w:ascii="Times New Roman;sans-serif" w:hAnsi="Times New Roman;sans-serif"/>
          <w:b/>
          <w:color w:val="111111"/>
          <w:sz w:val="22"/>
        </w:rPr>
      </w:pPr>
      <w:r>
        <w:rPr>
          <w:rFonts w:ascii="Times New Roman;sans-serif" w:hAnsi="Times New Roman;sans-serif"/>
          <w:b/>
          <w:color w:val="111111"/>
          <w:sz w:val="22"/>
        </w:rPr>
        <w:t>6.    NON-SOLICITATION OF CUSTOMERS AND SUPPLIERS</w:t>
      </w:r>
    </w:p>
    <w:p>
      <w:pPr>
        <w:pStyle w:val="TextBody"/>
        <w:bidi w:val="0"/>
        <w:spacing w:before="2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ind w:left="0" w:right="0" w:hanging="726"/>
        <w:jc w:val="both"/>
        <w:rPr/>
      </w:pPr>
      <w:r>
        <w:rPr>
          <w:rFonts w:ascii="Times New Roman;sans-serif" w:hAnsi="Times New Roman;sans-serif"/>
          <w:b/>
          <w:color w:val="111111"/>
          <w:sz w:val="22"/>
        </w:rPr>
        <w:t>(a)    </w:t>
      </w:r>
      <w:r>
        <w:rPr>
          <w:rFonts w:ascii="Times New Roman;sans-serif" w:hAnsi="Times New Roman;sans-serif"/>
          <w:b w:val="false"/>
          <w:color w:val="111111"/>
          <w:sz w:val="22"/>
        </w:rPr>
        <w:t>To further preserve the Confidential Information, for twelve (12) months after employment ends, Employee agrees not to directly or indirectly, on Employee's own behalf or on behalf of any other person or entity, recruit or otherwise solicit or induce any customer or supplier of the Company, to terminate its employment or arrangement with the Company or otherwise change its relationship with the Company.</w:t>
      </w:r>
    </w:p>
    <w:p>
      <w:pPr>
        <w:pStyle w:val="TextBody"/>
        <w:bidi w:val="0"/>
        <w:spacing w:before="8" w:after="283"/>
        <w:jc w:val="left"/>
        <w:rPr/>
      </w:pPr>
      <w:r>
        <w:rPr/>
      </w:r>
    </w:p>
    <w:p>
      <w:pPr>
        <w:pStyle w:val="TextBody"/>
        <w:bidi w:val="0"/>
        <w:spacing w:lineRule="auto" w:line="288" w:before="0" w:after="0"/>
        <w:ind w:left="0" w:right="0" w:hanging="724"/>
        <w:jc w:val="left"/>
        <w:rPr/>
      </w:pPr>
      <w:r>
        <w:rPr>
          <w:rFonts w:ascii="Times New Roman;sans-serif" w:hAnsi="Times New Roman;sans-serif"/>
          <w:b/>
          <w:color w:val="111111"/>
          <w:sz w:val="22"/>
        </w:rPr>
        <w:t>(b)    </w:t>
      </w:r>
      <w:r>
        <w:rPr>
          <w:rFonts w:ascii="Times New Roman;sans-serif" w:hAnsi="Times New Roman;sans-serif"/>
          <w:b w:val="false"/>
          <w:color w:val="111111"/>
          <w:sz w:val="22"/>
        </w:rPr>
        <w:t xml:space="preserve">The terms of this Section 6 shall survive the expiration or termination of this Agreement for any </w:t>
      </w:r>
      <w:r>
        <w:rPr>
          <w:rFonts w:ascii="Times New Roman;sans-serif" w:hAnsi="Times New Roman;sans-serif"/>
          <w:b w:val="false"/>
          <w:color w:val="0F0F0F"/>
          <w:sz w:val="22"/>
        </w:rPr>
        <w:t>reason.</w:t>
      </w:r>
    </w:p>
    <w:p>
      <w:pPr>
        <w:pStyle w:val="TextBody"/>
        <w:bidi w:val="0"/>
        <w:spacing w:before="149" w:after="283"/>
        <w:jc w:val="left"/>
        <w:rPr/>
      </w:pPr>
      <w:r>
        <w:rPr/>
      </w:r>
    </w:p>
    <w:p>
      <w:pPr>
        <w:pStyle w:val="TextBody"/>
        <w:bidi w:val="0"/>
        <w:spacing w:lineRule="auto" w:line="288" w:before="0" w:after="0"/>
        <w:ind w:left="0" w:right="0" w:hanging="720"/>
        <w:jc w:val="left"/>
        <w:rPr>
          <w:rFonts w:ascii="Times New Roman;sans-serif" w:hAnsi="Times New Roman;sans-serif"/>
          <w:b/>
          <w:color w:val="0F0F0F"/>
          <w:sz w:val="22"/>
        </w:rPr>
      </w:pPr>
      <w:r>
        <w:rPr>
          <w:rFonts w:ascii="Times New Roman;sans-serif" w:hAnsi="Times New Roman;sans-serif"/>
          <w:b/>
          <w:color w:val="0F0F0F"/>
          <w:sz w:val="22"/>
        </w:rPr>
        <w:t>7.    TERMINATION</w:t>
      </w:r>
    </w:p>
    <w:p>
      <w:pPr>
        <w:pStyle w:val="TextBody"/>
        <w:bidi w:val="0"/>
        <w:spacing w:before="22" w:after="283"/>
        <w:jc w:val="left"/>
        <w:rPr/>
      </w:pPr>
      <w:r>
        <w:rPr/>
      </w:r>
    </w:p>
    <w:p>
      <w:pPr>
        <w:pStyle w:val="TextBody"/>
        <w:bidi w:val="0"/>
        <w:spacing w:lineRule="auto" w:line="285" w:before="1" w:after="283"/>
        <w:ind w:left="0" w:right="0" w:firstLine="1"/>
        <w:jc w:val="left"/>
        <w:rPr>
          <w:rFonts w:ascii="Times New Roman;sans-serif" w:hAnsi="Times New Roman;sans-serif"/>
          <w:b w:val="false"/>
          <w:color w:val="0F0F0F"/>
          <w:sz w:val="22"/>
        </w:rPr>
      </w:pPr>
      <w:r>
        <w:rPr>
          <w:rFonts w:ascii="Times New Roman;sans-serif" w:hAnsi="Times New Roman;sans-serif"/>
          <w:b w:val="false"/>
          <w:color w:val="0F0F0F"/>
          <w:sz w:val="22"/>
        </w:rPr>
        <w:t>Employee's employment may be terminated prior to the end of this Agreement only by mutual written agreement or:</w:t>
      </w:r>
    </w:p>
    <w:p>
      <w:pPr>
        <w:pStyle w:val="TextBody"/>
        <w:bidi w:val="0"/>
        <w:spacing w:before="30" w:after="283"/>
        <w:jc w:val="left"/>
        <w:rPr/>
      </w:pPr>
      <w:r>
        <w:rPr/>
      </w:r>
    </w:p>
    <w:p>
      <w:pPr>
        <w:pStyle w:val="TextBody"/>
        <w:bidi w:val="0"/>
        <w:spacing w:lineRule="auto" w:line="288" w:before="0" w:after="0"/>
        <w:ind w:left="0" w:right="0" w:hanging="722"/>
        <w:jc w:val="left"/>
        <w:rPr/>
      </w:pPr>
      <w:r>
        <w:rPr>
          <w:rFonts w:ascii="Times New Roman;sans-serif" w:hAnsi="Times New Roman;sans-serif"/>
          <w:b/>
          <w:color w:val="0F0F0F"/>
          <w:sz w:val="22"/>
        </w:rPr>
        <w:t xml:space="preserve">(a)    Death. </w:t>
      </w:r>
      <w:r>
        <w:rPr>
          <w:rFonts w:ascii="Times New Roman;sans-serif" w:hAnsi="Times New Roman;sans-serif"/>
          <w:b w:val="false"/>
          <w:color w:val="0F0F0F"/>
          <w:sz w:val="22"/>
        </w:rPr>
        <w:t>The date of Employee's death shall be the termination date.</w:t>
      </w:r>
    </w:p>
    <w:p>
      <w:pPr>
        <w:pStyle w:val="TextBody"/>
        <w:bidi w:val="0"/>
        <w:spacing w:before="29" w:after="283"/>
        <w:jc w:val="left"/>
        <w:rPr/>
      </w:pPr>
      <w:r>
        <w:rPr/>
      </w:r>
    </w:p>
    <w:p>
      <w:pPr>
        <w:pStyle w:val="TextBody"/>
        <w:bidi w:val="0"/>
        <w:spacing w:lineRule="auto" w:line="292" w:before="0" w:after="0"/>
        <w:ind w:left="0" w:right="0" w:hanging="724"/>
        <w:jc w:val="both"/>
        <w:rPr/>
      </w:pPr>
      <w:r>
        <w:rPr>
          <w:rFonts w:ascii="Times New Roman;sans-serif" w:hAnsi="Times New Roman;sans-serif"/>
          <w:b/>
          <w:color w:val="0F0F0F"/>
          <w:sz w:val="22"/>
        </w:rPr>
        <w:t xml:space="preserve">(b)    Disability. </w:t>
      </w:r>
      <w:r>
        <w:rPr>
          <w:rFonts w:ascii="Times New Roman;sans-serif" w:hAnsi="Times New Roman;sans-serif"/>
          <w:b w:val="false"/>
          <w:color w:val="0F0F0F"/>
          <w:sz w:val="22"/>
        </w:rPr>
        <w:t>Company may terminate this Agreement or Employee's employment if Employee is unable to perform the essential functions of Employee's full-time position for more than 180 days in any 12-month period, subject to applicable law.</w:t>
      </w:r>
    </w:p>
    <w:p>
      <w:pPr>
        <w:pStyle w:val="TextBody"/>
        <w:bidi w:val="0"/>
        <w:spacing w:before="19" w:after="283"/>
        <w:jc w:val="left"/>
        <w:rPr/>
      </w:pPr>
      <w:r>
        <w:rPr/>
      </w:r>
    </w:p>
    <w:p>
      <w:pPr>
        <w:pStyle w:val="TextBody"/>
        <w:bidi w:val="0"/>
        <w:spacing w:lineRule="auto" w:line="292" w:before="0" w:after="0"/>
        <w:ind w:left="0" w:right="0" w:hanging="720"/>
        <w:jc w:val="both"/>
        <w:rPr/>
      </w:pPr>
      <w:r>
        <w:rPr>
          <w:rFonts w:ascii="Times New Roman;sans-serif" w:hAnsi="Times New Roman;sans-serif"/>
          <w:b/>
          <w:color w:val="0F0F0F"/>
          <w:sz w:val="22"/>
        </w:rPr>
        <w:t xml:space="preserve">(c)    Termination By Employee For Good Reason. </w:t>
      </w:r>
      <w:r>
        <w:rPr>
          <w:rFonts w:ascii="Times New Roman;sans-serif" w:hAnsi="Times New Roman;sans-serif"/>
          <w:b w:val="false"/>
          <w:color w:val="0F0F0F"/>
          <w:sz w:val="22"/>
        </w:rPr>
        <w:t xml:space="preserve">Employee may terminate Employee's employment at any time for "Good Reason," which is: (i) Company's repeated failure to comply with a material term of this Agreement after written notice by Employee </w:t>
      </w:r>
      <w:r>
        <w:rPr>
          <w:rFonts w:ascii="Times New Roman;sans-serif" w:hAnsi="Times New Roman;sans-serif"/>
          <w:b w:val="false"/>
          <w:color w:val="282828"/>
          <w:sz w:val="22"/>
        </w:rPr>
        <w:t xml:space="preserve">specifying </w:t>
      </w:r>
      <w:r>
        <w:rPr>
          <w:rFonts w:ascii="Times New Roman;sans-serif" w:hAnsi="Times New Roman;sans-serif"/>
          <w:b w:val="false"/>
          <w:color w:val="0F0F0F"/>
          <w:sz w:val="22"/>
        </w:rPr>
        <w:t>the alleged failure; or (ii) a substantial and unusual reduction in responsibilities and authority, including reductions in Base Salary or Annual Corporate Bonus, demotion from reporting to CEO or material relocation of Employee's principal place of employment. If Employee elects to terminate Employee's employment for "Good Reason," Employee must first provide Company written notice within thirty</w:t>
      </w:r>
    </w:p>
    <w:p>
      <w:pPr>
        <w:pStyle w:val="TextBody"/>
        <w:bidi w:val="0"/>
        <w:spacing w:lineRule="auto" w:line="292" w:before="0" w:after="0"/>
        <w:ind w:left="0" w:right="0" w:firstLine="3"/>
        <w:jc w:val="both"/>
        <w:rPr/>
      </w:pPr>
      <w:r>
        <w:rPr>
          <w:rFonts w:ascii="Times New Roman;sans-serif" w:hAnsi="Times New Roman;sans-serif"/>
          <w:b w:val="false"/>
          <w:color w:val="0F0F0F"/>
          <w:sz w:val="22"/>
        </w:rPr>
        <w:t xml:space="preserve">(30) days, after which Company </w:t>
      </w:r>
      <w:r>
        <w:rPr>
          <w:rFonts w:ascii="Times New Roman;sans-serif" w:hAnsi="Times New Roman;sans-serif"/>
          <w:b w:val="false"/>
          <w:color w:val="282828"/>
          <w:sz w:val="22"/>
        </w:rPr>
        <w:t xml:space="preserve">shall </w:t>
      </w:r>
      <w:r>
        <w:rPr>
          <w:rFonts w:ascii="Times New Roman;sans-serif" w:hAnsi="Times New Roman;sans-serif"/>
          <w:b w:val="false"/>
          <w:color w:val="0F0F0F"/>
          <w:sz w:val="22"/>
        </w:rPr>
        <w:t>have sixty (60) days to cure. If Company has not cured and Employee elects to terminate employment, Employee must do so within ten (10) days after the end of the cure period.</w:t>
      </w:r>
    </w:p>
    <w:p>
      <w:pPr>
        <w:pStyle w:val="TextBody"/>
        <w:bidi w:val="0"/>
        <w:spacing w:before="18" w:after="283"/>
        <w:jc w:val="left"/>
        <w:rPr/>
      </w:pPr>
      <w:r>
        <w:rPr/>
      </w:r>
    </w:p>
    <w:p>
      <w:pPr>
        <w:pStyle w:val="TextBody"/>
        <w:bidi w:val="0"/>
        <w:spacing w:lineRule="auto" w:line="292" w:before="0" w:after="0"/>
        <w:ind w:left="0" w:right="0" w:hanging="726"/>
        <w:jc w:val="both"/>
        <w:rPr/>
      </w:pPr>
      <w:r>
        <w:rPr>
          <w:rFonts w:ascii="Times New Roman;sans-serif" w:hAnsi="Times New Roman;sans-serif"/>
          <w:b/>
          <w:color w:val="0F0F0F"/>
          <w:sz w:val="22"/>
        </w:rPr>
        <w:t xml:space="preserve">(d)    Termination By Employee Without Good Reason. </w:t>
      </w:r>
      <w:r>
        <w:rPr>
          <w:rFonts w:ascii="Times New Roman;sans-serif" w:hAnsi="Times New Roman;sans-serif"/>
          <w:b w:val="false"/>
          <w:color w:val="0F0F0F"/>
          <w:sz w:val="22"/>
        </w:rPr>
        <w:t>Employee may resign his employment without Good Reason any time upon ninety (90) days' advance written notice to the Company. Employee's termination of his employment in accordance with this section 7(d) shall not be deemed to be a breach of this Agreement.</w:t>
      </w:r>
    </w:p>
    <w:p>
      <w:pPr>
        <w:pStyle w:val="TextBody"/>
        <w:bidi w:val="0"/>
        <w:spacing w:before="20" w:after="283"/>
        <w:jc w:val="left"/>
        <w:rPr/>
      </w:pPr>
      <w:r>
        <w:rPr/>
      </w:r>
    </w:p>
    <w:p>
      <w:pPr>
        <w:pStyle w:val="TextBody"/>
        <w:bidi w:val="0"/>
        <w:spacing w:lineRule="auto" w:line="283" w:before="0" w:after="0"/>
        <w:ind w:left="0" w:right="0" w:hanging="723"/>
        <w:jc w:val="both"/>
        <w:rPr/>
      </w:pPr>
      <w:r>
        <w:rPr>
          <w:rFonts w:ascii="Times New Roman;sans-serif" w:hAnsi="Times New Roman;sans-serif"/>
          <w:b/>
          <w:color w:val="0F0F0F"/>
          <w:sz w:val="22"/>
        </w:rPr>
        <w:t xml:space="preserve">(e)    Termination By Company. </w:t>
      </w:r>
      <w:r>
        <w:rPr>
          <w:rFonts w:ascii="Times New Roman;sans-serif" w:hAnsi="Times New Roman;sans-serif"/>
          <w:b w:val="false"/>
          <w:color w:val="0F0F0F"/>
          <w:sz w:val="22"/>
        </w:rPr>
        <w:t>Company may terminate Employee's employment with or without Cause and determine the termination date. "Cause" means:</w:t>
      </w:r>
    </w:p>
    <w:p>
      <w:pPr>
        <w:pStyle w:val="TextBody"/>
        <w:bidi w:val="0"/>
        <w:spacing w:before="42" w:after="283"/>
        <w:jc w:val="left"/>
        <w:rPr/>
      </w:pPr>
      <w:r>
        <w:rPr/>
      </w:r>
    </w:p>
    <w:p>
      <w:pPr>
        <w:pStyle w:val="TextBody"/>
        <w:bidi w:val="0"/>
        <w:spacing w:lineRule="auto" w:line="292" w:before="0" w:after="0"/>
        <w:ind w:left="0" w:right="0" w:firstLine="3"/>
        <w:jc w:val="both"/>
        <w:rPr>
          <w:rFonts w:ascii="Times New Roman;sans-serif" w:hAnsi="Times New Roman;sans-serif"/>
          <w:b w:val="false"/>
          <w:color w:val="0F0F0F"/>
          <w:sz w:val="22"/>
        </w:rPr>
      </w:pPr>
      <w:r>
        <w:rPr>
          <w:rFonts w:ascii="Times New Roman;sans-serif" w:hAnsi="Times New Roman;sans-serif"/>
          <w:b w:val="false"/>
          <w:color w:val="0F0F0F"/>
          <w:sz w:val="22"/>
        </w:rPr>
        <w:t>(1)    willful misconduct, including, without limitation, violation of sexual or other harassment policy, gross negligence, misappropriation of or material misrepresentation regarding property of Company, other than customary and de minimis use of Company property for personal purposes, as determined in the discretion of Company, or failure to take reasonable and appropriate action to prevent material injury to the financial condition, business or reputation of the Company;</w:t>
      </w:r>
    </w:p>
    <w:p>
      <w:pPr>
        <w:pStyle w:val="TextBody"/>
        <w:bidi w:val="0"/>
        <w:spacing w:before="33" w:after="283"/>
        <w:jc w:val="left"/>
        <w:rPr/>
      </w:pPr>
      <w:r>
        <w:rPr/>
      </w:r>
    </w:p>
    <w:p>
      <w:pPr>
        <w:pStyle w:val="TextBody"/>
        <w:bidi w:val="0"/>
        <w:spacing w:lineRule="auto" w:line="288" w:before="1" w:after="283"/>
        <w:ind w:left="0" w:right="0" w:hanging="354"/>
        <w:jc w:val="both"/>
        <w:rPr>
          <w:rFonts w:ascii="Times New Roman;sans-serif" w:hAnsi="Times New Roman;sans-serif"/>
          <w:b w:val="false"/>
          <w:color w:val="0F0F0F"/>
          <w:sz w:val="22"/>
        </w:rPr>
      </w:pPr>
      <w:r>
        <w:rPr>
          <w:rFonts w:ascii="Times New Roman;sans-serif" w:hAnsi="Times New Roman;sans-serif"/>
          <w:b w:val="false"/>
          <w:color w:val="0F0F0F"/>
          <w:sz w:val="22"/>
        </w:rPr>
        <w:t>(2)    abandonment of duties (other than by reason of disability);</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55" w:after="283"/>
        <w:jc w:val="left"/>
        <w:rPr/>
      </w:pPr>
      <w:r>
        <w:rPr/>
      </w:r>
    </w:p>
    <w:p>
      <w:pPr>
        <w:pStyle w:val="TextBody"/>
        <w:bidi w:val="0"/>
        <w:spacing w:lineRule="auto" w:line="288" w:before="0" w:after="0"/>
        <w:ind w:left="0" w:right="0" w:firstLine="2"/>
        <w:jc w:val="both"/>
        <w:rPr>
          <w:rFonts w:ascii="Times New Roman;sans-serif" w:hAnsi="Times New Roman;sans-serif"/>
          <w:b w:val="false"/>
          <w:color w:val="0F0F0F"/>
          <w:sz w:val="22"/>
        </w:rPr>
      </w:pPr>
      <w:r>
        <w:rPr>
          <w:rFonts w:ascii="Times New Roman;sans-serif" w:hAnsi="Times New Roman;sans-serif"/>
          <w:b w:val="false"/>
          <w:color w:val="0F0F0F"/>
          <w:sz w:val="22"/>
        </w:rPr>
        <w:t>(3)    willful or intentional failure to follow lawful directives of the Company (other than a failure resulting from incapacity due to physical or mental illness), or failure to meet reasonable performance objectives following a written warning and opportunity to cure for thirty (30) days;</w:t>
      </w:r>
    </w:p>
    <w:p>
      <w:pPr>
        <w:pStyle w:val="TextBody"/>
        <w:bidi w:val="0"/>
        <w:spacing w:before="38" w:after="283"/>
        <w:jc w:val="left"/>
        <w:rPr/>
      </w:pPr>
      <w:r>
        <w:rPr/>
      </w:r>
    </w:p>
    <w:p>
      <w:pPr>
        <w:pStyle w:val="TextBody"/>
        <w:bidi w:val="0"/>
        <w:spacing w:lineRule="auto" w:line="288" w:before="0" w:after="0"/>
        <w:ind w:left="0" w:right="0" w:firstLine="3"/>
        <w:jc w:val="both"/>
        <w:rPr>
          <w:rFonts w:ascii="Times New Roman;sans-serif" w:hAnsi="Times New Roman;sans-serif"/>
          <w:b w:val="false"/>
          <w:color w:val="0F0F0F"/>
          <w:sz w:val="22"/>
        </w:rPr>
      </w:pPr>
      <w:r>
        <w:rPr>
          <w:rFonts w:ascii="Times New Roman;sans-serif" w:hAnsi="Times New Roman;sans-serif"/>
          <w:b w:val="false"/>
          <w:color w:val="0F0F0F"/>
          <w:sz w:val="22"/>
        </w:rPr>
        <w:t>(4)    a felony conviction or indictment, a plea of guilty or nolo contendere by Employee, or other conduct by Employee that has or would result in material injury to Company's reputation, including indictment or conviction of fraud, theft, embezzlement, or a crime involving moral turpitude;</w:t>
      </w:r>
    </w:p>
    <w:p>
      <w:pPr>
        <w:pStyle w:val="TextBody"/>
        <w:bidi w:val="0"/>
        <w:spacing w:before="122" w:after="283"/>
        <w:jc w:val="left"/>
        <w:rPr/>
      </w:pPr>
      <w:r>
        <w:rPr/>
      </w:r>
    </w:p>
    <w:p>
      <w:pPr>
        <w:pStyle w:val="TextBody"/>
        <w:bidi w:val="0"/>
        <w:spacing w:lineRule="auto" w:line="288" w:before="0" w:after="0"/>
        <w:ind w:left="0" w:right="0" w:hanging="340"/>
        <w:jc w:val="left"/>
        <w:rPr>
          <w:rFonts w:ascii="Times New Roman;sans-serif" w:hAnsi="Times New Roman;sans-serif"/>
          <w:b w:val="false"/>
          <w:color w:val="0F0F0F"/>
          <w:sz w:val="22"/>
        </w:rPr>
      </w:pPr>
      <w:r>
        <w:rPr>
          <w:rFonts w:ascii="Times New Roman;sans-serif" w:hAnsi="Times New Roman;sans-serif"/>
          <w:b w:val="false"/>
          <w:color w:val="0F0F0F"/>
          <w:sz w:val="22"/>
        </w:rPr>
        <w:t>(5)    a material breach of this Agreement; or</w:t>
      </w:r>
    </w:p>
    <w:p>
      <w:pPr>
        <w:pStyle w:val="TextBody"/>
        <w:bidi w:val="0"/>
        <w:spacing w:before="46" w:after="283"/>
        <w:jc w:val="left"/>
        <w:rPr/>
      </w:pPr>
      <w:r>
        <w:rPr/>
      </w:r>
    </w:p>
    <w:p>
      <w:pPr>
        <w:pStyle w:val="TextBody"/>
        <w:bidi w:val="0"/>
        <w:spacing w:lineRule="auto" w:line="288" w:before="0" w:after="0"/>
        <w:ind w:left="0" w:right="0" w:hanging="407"/>
        <w:jc w:val="left"/>
        <w:rPr>
          <w:rFonts w:ascii="Times New Roman;sans-serif" w:hAnsi="Times New Roman;sans-serif"/>
          <w:b w:val="false"/>
          <w:color w:val="0F0F0F"/>
          <w:sz w:val="22"/>
        </w:rPr>
      </w:pPr>
      <w:r>
        <w:rPr>
          <w:rFonts w:ascii="Times New Roman;sans-serif" w:hAnsi="Times New Roman;sans-serif"/>
          <w:b w:val="false"/>
          <w:color w:val="0F0F0F"/>
          <w:sz w:val="22"/>
        </w:rPr>
        <w:t>(6)    a willful violation of a material provision in Company's employment and management policies.</w:t>
      </w:r>
    </w:p>
    <w:p>
      <w:pPr>
        <w:pStyle w:val="TextBody"/>
        <w:bidi w:val="0"/>
        <w:spacing w:before="132" w:after="283"/>
        <w:jc w:val="left"/>
        <w:rPr/>
      </w:pPr>
      <w:r>
        <w:rPr/>
      </w:r>
    </w:p>
    <w:p>
      <w:pPr>
        <w:pStyle w:val="TextBody"/>
        <w:bidi w:val="0"/>
        <w:spacing w:lineRule="auto" w:line="288" w:before="1" w:after="283"/>
        <w:ind w:left="0" w:right="0" w:hanging="724"/>
        <w:jc w:val="left"/>
        <w:rPr>
          <w:rFonts w:ascii="Times New Roman;sans-serif" w:hAnsi="Times New Roman;sans-serif"/>
          <w:b/>
          <w:color w:val="0F0F0F"/>
          <w:sz w:val="22"/>
        </w:rPr>
      </w:pPr>
      <w:r>
        <w:rPr>
          <w:rFonts w:ascii="Times New Roman;sans-serif" w:hAnsi="Times New Roman;sans-serif"/>
          <w:b/>
          <w:color w:val="0F0F0F"/>
          <w:sz w:val="22"/>
        </w:rPr>
        <w:t>8.    COMPENSATION UPON TERMINATION</w:t>
      </w:r>
    </w:p>
    <w:p>
      <w:pPr>
        <w:pStyle w:val="TextBody"/>
        <w:bidi w:val="0"/>
        <w:spacing w:before="27" w:after="283"/>
        <w:jc w:val="left"/>
        <w:rPr/>
      </w:pPr>
      <w:r>
        <w:rPr/>
      </w:r>
    </w:p>
    <w:p>
      <w:pPr>
        <w:pStyle w:val="TextBody"/>
        <w:bidi w:val="0"/>
        <w:spacing w:lineRule="auto" w:line="292" w:before="0" w:after="0"/>
        <w:ind w:left="0" w:right="0" w:hanging="725"/>
        <w:jc w:val="both"/>
        <w:rPr/>
      </w:pPr>
      <w:r>
        <w:rPr>
          <w:rFonts w:ascii="Times New Roman;sans-serif" w:hAnsi="Times New Roman;sans-serif"/>
          <w:b/>
          <w:color w:val="0F0F0F"/>
          <w:sz w:val="22"/>
        </w:rPr>
        <w:t xml:space="preserve">(a)    Termination By Company For Cause: </w:t>
      </w:r>
      <w:r>
        <w:rPr>
          <w:rFonts w:ascii="Times New Roman;sans-serif" w:hAnsi="Times New Roman;sans-serif"/>
          <w:b w:val="false"/>
          <w:color w:val="0F0F0F"/>
          <w:sz w:val="22"/>
        </w:rPr>
        <w:t>Company shall, within 30 days, pay to Employee, Employee's accrued and unpaid base salary through the termination date and any payments required under applicable employee benefit plans (other than plans which provide for severance or termination payments or benefits).</w:t>
      </w:r>
    </w:p>
    <w:p>
      <w:pPr>
        <w:pStyle w:val="TextBody"/>
        <w:bidi w:val="0"/>
        <w:spacing w:before="20" w:after="283"/>
        <w:jc w:val="left"/>
        <w:rPr/>
      </w:pPr>
      <w:r>
        <w:rPr/>
      </w:r>
    </w:p>
    <w:p>
      <w:pPr>
        <w:pStyle w:val="TextBody"/>
        <w:bidi w:val="0"/>
        <w:spacing w:lineRule="auto" w:line="292" w:before="0" w:after="0"/>
        <w:ind w:left="0" w:right="0" w:hanging="720"/>
        <w:jc w:val="both"/>
        <w:rPr/>
      </w:pPr>
      <w:r>
        <w:rPr>
          <w:rFonts w:ascii="Times New Roman;sans-serif" w:hAnsi="Times New Roman;sans-serif"/>
          <w:b/>
          <w:color w:val="0F0F0F"/>
          <w:sz w:val="22"/>
        </w:rPr>
        <w:t xml:space="preserve">(b)    Non-Renewal or Termination without Good Reason by Employee. </w:t>
      </w:r>
      <w:r>
        <w:rPr>
          <w:rFonts w:ascii="Times New Roman;sans-serif" w:hAnsi="Times New Roman;sans-serif"/>
          <w:b w:val="false"/>
          <w:color w:val="0F0F0F"/>
          <w:sz w:val="22"/>
        </w:rPr>
        <w:t>If Employee gives notice of non-renewal under Section 1 or gives notice of termination without Good Reason, Company shall determine the employment termination date and will pay accrued and unpaid base salary through the employment termination date, and any payments required under applicable employee benefit plans (other than plans that provide for severance or termination payments or benefits). If the employment termination date is before the end of the Notice Period (as defined herein), Employee signs and does not revoke a Severance Agreement and General Release of claims in a form reasonably satisfactory to Company (a "Release") and subject to Employee's compliance with the terms of this Agreement, then Company will (i) in periodic payments in accordance with ordinary payroll practices and deductions, pay Employee an amount equal to Employee's pro-rata base salary through the end of the Notice Period, and (ii) accelerate the vesting of any time-based equity awards that would have, but for the Employee's termination of employment, vested before the end of the Notice Period. "Notice Period" shall mean the: (i) ninety days prior to the expiration of the then applicable Employment Period for notice of non-renewal; or (ii) ninety days prior to the last date of employment specified in his notice of termination without Good Reason.</w:t>
      </w:r>
    </w:p>
    <w:p>
      <w:pPr>
        <w:pStyle w:val="TextBody"/>
        <w:bidi w:val="0"/>
        <w:spacing w:before="18" w:after="283"/>
        <w:jc w:val="left"/>
        <w:rPr/>
      </w:pPr>
      <w:r>
        <w:rPr/>
      </w:r>
    </w:p>
    <w:p>
      <w:pPr>
        <w:pStyle w:val="TextBody"/>
        <w:bidi w:val="0"/>
        <w:spacing w:lineRule="auto" w:line="288" w:before="1" w:after="283"/>
        <w:ind w:left="0" w:right="0" w:hanging="721"/>
        <w:jc w:val="left"/>
        <w:rPr>
          <w:rFonts w:ascii="Times New Roman;sans-serif" w:hAnsi="Times New Roman;sans-serif"/>
          <w:b/>
          <w:color w:val="0F0F0F"/>
          <w:sz w:val="22"/>
        </w:rPr>
      </w:pPr>
      <w:r>
        <w:rPr>
          <w:rFonts w:ascii="Times New Roman;sans-serif" w:hAnsi="Times New Roman;sans-serif"/>
          <w:b/>
          <w:color w:val="0F0F0F"/>
          <w:sz w:val="22"/>
        </w:rPr>
        <w:t>(c)    Termination With Severance.</w:t>
      </w:r>
    </w:p>
    <w:p>
      <w:pPr>
        <w:pStyle w:val="TextBody"/>
        <w:bidi w:val="0"/>
        <w:spacing w:before="27" w:after="283"/>
        <w:jc w:val="left"/>
        <w:rPr/>
      </w:pPr>
      <w:r>
        <w:rPr/>
      </w:r>
    </w:p>
    <w:p>
      <w:pPr>
        <w:pStyle w:val="TextBody"/>
        <w:bidi w:val="0"/>
        <w:spacing w:lineRule="auto" w:line="292" w:before="90" w:after="283"/>
        <w:ind w:left="0" w:right="0" w:hanging="718"/>
        <w:jc w:val="both"/>
        <w:rPr/>
      </w:pPr>
      <w:r>
        <w:rPr>
          <w:rFonts w:ascii="Times New Roman;sans-serif" w:hAnsi="Times New Roman;sans-serif"/>
          <w:b w:val="false"/>
          <w:color w:val="000000"/>
          <w:sz w:val="22"/>
        </w:rPr>
        <w:t>(1)    </w:t>
      </w:r>
      <w:r>
        <w:rPr>
          <w:rFonts w:ascii="Times New Roman;sans-serif" w:hAnsi="Times New Roman;sans-serif"/>
          <w:b w:val="false"/>
          <w:color w:val="0F0F0F"/>
          <w:sz w:val="22"/>
          <w:u w:val="single"/>
        </w:rPr>
        <w:t>Termination By Company Without Cause or Termination by Employee for Good Reason -</w:t>
      </w:r>
      <w:r>
        <w:rPr>
          <w:color w:val="0F0F0F"/>
        </w:rPr>
        <w:t xml:space="preserve"> </w:t>
      </w:r>
      <w:r>
        <w:rPr>
          <w:rFonts w:ascii="Times New Roman;sans-serif" w:hAnsi="Times New Roman;sans-serif"/>
          <w:b w:val="false"/>
          <w:color w:val="0F0F0F"/>
          <w:sz w:val="22"/>
          <w:u w:val="single"/>
        </w:rPr>
        <w:t>Severance</w:t>
      </w:r>
      <w:r>
        <w:rPr>
          <w:rFonts w:ascii="Times New Roman;sans-serif" w:hAnsi="Times New Roman;sans-serif"/>
          <w:b w:val="false"/>
          <w:color w:val="0F0F0F"/>
          <w:sz w:val="22"/>
        </w:rPr>
        <w:t xml:space="preserve">: If Company terminates Employee's employment without Cause and not by reason of death or disability or if Employee terminates for Good Reason, Company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90" w:after="283"/>
        <w:jc w:val="both"/>
        <w:rPr/>
      </w:pPr>
      <w:r>
        <w:rPr>
          <w:rFonts w:ascii="Times New Roman;sans-serif" w:hAnsi="Times New Roman;sans-serif"/>
          <w:b w:val="false"/>
          <w:color w:val="0F0F0F"/>
          <w:sz w:val="22"/>
        </w:rPr>
        <w:t xml:space="preserve">Company, Company will pay Employee, in periodic payments in accordance with ordinary payroll practices and deductions, (i) the greater of Employee's current base salary for twelve (12) months or the amount that would be provided by the severance guidelines that are prevailing at the time of termination based on the Employee's location, (ii) an amount equal to Employee's target annual performance bonus; (iii) a pro rata bonus, which represents the unpaid pro-rata portion of the actual annual performance bonus (as outlined in Section 2) that Employee would otherwise be entitled to receive based on the actual level of achievement of the applicable performance objectives for the fiscal year in which Employee's termination occurs paid in a lump sum at the same time bonuses are paid to Company's other similarly situated employees, and (iii) a lump sum cash payment, less applicable withholdings and other ordinary payroll deductions, which is equal to the applicable premium cost for twelve (12) months of continued Company group health </w:t>
      </w:r>
      <w:r>
        <w:rPr>
          <w:rFonts w:ascii="Times New Roman;sans-serif" w:hAnsi="Times New Roman;sans-serif"/>
          <w:b w:val="false"/>
          <w:color w:val="111111"/>
          <w:sz w:val="22"/>
        </w:rPr>
        <w:t>coverage for Employee and any spouse and dependents ("Family Members") pursuant to the Consolidated Omnibus Budget Reconciliation Act of 1986, as amended ("COBRA"), based on Employee's elections with respect to health coverage for Employee and Employee's Family Members in effect immediately prior to Employees termination (which amount will be based on the premium for the first month of COBRA coverage). The lump sum COBRA payment will be made on the same date that the first Severance payment is paid and will be paid regardless of whether Employee elects COBRA continuation coverage. If Employees chooses to elect COBRA, Employee must do so within 60 days of the later of (i) the date Employee is furnished the election notice or (ii) the date Employee loses coverage, and Employee shall be solely responsible for payment of any premiums due with respect to such coverage. The payments made and benefits provided pursuant to this section are referred to as (the "Severance Payments" or "Severance Pay Period").</w:t>
      </w:r>
    </w:p>
    <w:p>
      <w:pPr>
        <w:pStyle w:val="TextBody"/>
        <w:bidi w:val="0"/>
        <w:spacing w:before="32" w:after="283"/>
        <w:jc w:val="left"/>
        <w:rPr/>
      </w:pPr>
      <w:r>
        <w:rPr/>
      </w:r>
    </w:p>
    <w:p>
      <w:pPr>
        <w:pStyle w:val="TextBody"/>
        <w:bidi w:val="0"/>
        <w:spacing w:lineRule="auto" w:line="292" w:before="0" w:after="0"/>
        <w:ind w:left="0" w:right="0" w:hanging="718"/>
        <w:jc w:val="both"/>
        <w:rPr/>
      </w:pPr>
      <w:r>
        <w:rPr>
          <w:rFonts w:ascii="Times New Roman;sans-serif" w:hAnsi="Times New Roman;sans-serif"/>
          <w:b w:val="false"/>
          <w:color w:val="111111"/>
          <w:sz w:val="22"/>
        </w:rPr>
        <w:t>(2)    </w:t>
      </w:r>
      <w:r>
        <w:rPr>
          <w:rFonts w:ascii="Times New Roman;sans-serif" w:hAnsi="Times New Roman;sans-serif"/>
          <w:b w:val="false"/>
          <w:color w:val="111111"/>
          <w:sz w:val="22"/>
          <w:u w:val="single"/>
        </w:rPr>
        <w:t>Non-Renewal By Company - Severance</w:t>
      </w:r>
      <w:r>
        <w:rPr>
          <w:rFonts w:ascii="Times New Roman;sans-serif" w:hAnsi="Times New Roman;sans-serif"/>
          <w:b w:val="false"/>
          <w:color w:val="111111"/>
          <w:sz w:val="22"/>
        </w:rPr>
        <w:t>: If Employee's employment ends because Company gives notice of non-renewal under Section 1, Company shall determine the termination date, even if such date is prior to the end of the Employment Period and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and provide Employee with the benefits set forth in Section 8(c)(l), above.</w:t>
      </w:r>
    </w:p>
    <w:p>
      <w:pPr>
        <w:pStyle w:val="TextBody"/>
        <w:bidi w:val="0"/>
        <w:spacing w:before="33" w:after="283"/>
        <w:jc w:val="left"/>
        <w:rPr/>
      </w:pPr>
      <w:r>
        <w:rPr/>
      </w:r>
    </w:p>
    <w:p>
      <w:pPr>
        <w:pStyle w:val="TextBody"/>
        <w:bidi w:val="0"/>
        <w:spacing w:lineRule="auto" w:line="288" w:before="0" w:after="0"/>
        <w:ind w:left="0" w:right="0" w:hanging="721"/>
        <w:jc w:val="left"/>
        <w:rPr/>
      </w:pPr>
      <w:r>
        <w:rPr>
          <w:rFonts w:ascii="Times New Roman;sans-serif" w:hAnsi="Times New Roman;sans-serif"/>
          <w:b w:val="false"/>
          <w:color w:val="111111"/>
          <w:sz w:val="22"/>
        </w:rPr>
        <w:t>(3)    </w:t>
      </w:r>
      <w:r>
        <w:rPr>
          <w:rFonts w:ascii="Times New Roman;sans-serif" w:hAnsi="Times New Roman;sans-serif"/>
          <w:b w:val="false"/>
          <w:color w:val="111111"/>
          <w:sz w:val="22"/>
          <w:u w:val="single"/>
        </w:rPr>
        <w:t>Re-hire During Severance Pay Period:</w:t>
      </w:r>
    </w:p>
    <w:p>
      <w:pPr>
        <w:pStyle w:val="TextBody"/>
        <w:bidi w:val="0"/>
        <w:spacing w:before="22" w:after="283"/>
        <w:jc w:val="left"/>
        <w:rPr/>
      </w:pPr>
      <w:r>
        <w:rPr/>
      </w:r>
    </w:p>
    <w:p>
      <w:pPr>
        <w:pStyle w:val="TextBody"/>
        <w:bidi w:val="0"/>
        <w:spacing w:lineRule="auto" w:line="292" w:before="0" w:after="0"/>
        <w:ind w:left="0" w:right="0" w:firstLine="2"/>
        <w:jc w:val="both"/>
        <w:rPr>
          <w:rFonts w:ascii="Times New Roman;sans-serif" w:hAnsi="Times New Roman;sans-serif"/>
          <w:b w:val="false"/>
          <w:color w:val="111111"/>
          <w:sz w:val="22"/>
        </w:rPr>
      </w:pPr>
      <w:r>
        <w:rPr>
          <w:rFonts w:ascii="Times New Roman;sans-serif" w:hAnsi="Times New Roman;sans-serif"/>
          <w:b w:val="false"/>
          <w:color w:val="111111"/>
          <w:sz w:val="22"/>
        </w:rPr>
        <w:t>If Employee is rehired by Company or employed by or performing services in any capacity or business during any Severance Pay Period, the Severance Payments shall cease.</w:t>
      </w:r>
    </w:p>
    <w:p>
      <w:pPr>
        <w:pStyle w:val="TextBody"/>
        <w:bidi w:val="0"/>
        <w:spacing w:before="20" w:after="283"/>
        <w:jc w:val="left"/>
        <w:rPr/>
      </w:pPr>
      <w:r>
        <w:rPr/>
      </w:r>
    </w:p>
    <w:p>
      <w:pPr>
        <w:pStyle w:val="TextBody"/>
        <w:bidi w:val="0"/>
        <w:spacing w:lineRule="auto" w:line="288" w:before="0" w:after="0"/>
        <w:ind w:left="0" w:right="0" w:hanging="722"/>
        <w:jc w:val="left"/>
        <w:rPr>
          <w:rFonts w:ascii="Times New Roman;sans-serif" w:hAnsi="Times New Roman;sans-serif"/>
          <w:b/>
          <w:color w:val="111111"/>
          <w:sz w:val="22"/>
        </w:rPr>
      </w:pPr>
      <w:r>
        <w:rPr>
          <w:rFonts w:ascii="Times New Roman;sans-serif" w:hAnsi="Times New Roman;sans-serif"/>
          <w:b/>
          <w:color w:val="111111"/>
          <w:sz w:val="22"/>
        </w:rPr>
        <w:t>(d)    Timing of Payments After Termination of Employment.</w:t>
      </w:r>
    </w:p>
    <w:p>
      <w:pPr>
        <w:pStyle w:val="TextBody"/>
        <w:bidi w:val="0"/>
        <w:spacing w:before="42" w:after="283"/>
        <w:jc w:val="left"/>
        <w:rPr/>
      </w:pPr>
      <w:r>
        <w:rPr/>
      </w:r>
    </w:p>
    <w:p>
      <w:pPr>
        <w:pStyle w:val="TextBody"/>
        <w:bidi w:val="0"/>
        <w:spacing w:lineRule="auto" w:line="292"/>
        <w:ind w:left="0" w:right="0" w:hanging="810"/>
        <w:jc w:val="both"/>
        <w:rPr/>
      </w:pPr>
      <w:r>
        <w:rPr>
          <w:rFonts w:ascii="Times New Roman;sans-serif" w:hAnsi="Times New Roman;sans-serif"/>
          <w:b w:val="false"/>
          <w:color w:val="111111"/>
          <w:sz w:val="22"/>
        </w:rPr>
        <w:t>(1)        </w:t>
      </w:r>
      <w:r>
        <w:rPr>
          <w:rFonts w:ascii="Times New Roman;sans-serif" w:hAnsi="Times New Roman;sans-serif"/>
          <w:b w:val="false"/>
          <w:color w:val="111111"/>
          <w:sz w:val="22"/>
          <w:u w:val="single"/>
        </w:rPr>
        <w:t>Death or Disability</w:t>
      </w:r>
      <w:r>
        <w:rPr>
          <w:rFonts w:ascii="Times New Roman;sans-serif" w:hAnsi="Times New Roman;sans-serif"/>
          <w:b w:val="false"/>
          <w:color w:val="111111"/>
          <w:sz w:val="22"/>
        </w:rPr>
        <w:t xml:space="preserve">: If Employee's employment is terminated by reason of death or disability, then Company shall: (i) within thirty (30) days of the employment termination date, accelerate the vesting of any equity awards that would have, but for the Employee's termination of employment, vested within twelve (12) months of the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0" w:after="0"/>
        <w:jc w:val="both"/>
        <w:rPr>
          <w:rFonts w:ascii="Times New Roman;sans-serif" w:hAnsi="Times New Roman;sans-serif"/>
          <w:b w:val="false"/>
          <w:color w:val="111111"/>
          <w:sz w:val="22"/>
        </w:rPr>
      </w:pPr>
      <w:r>
        <w:rPr>
          <w:rFonts w:ascii="Times New Roman;sans-serif" w:hAnsi="Times New Roman;sans-serif"/>
          <w:b w:val="false"/>
          <w:color w:val="111111"/>
          <w:sz w:val="22"/>
        </w:rPr>
        <w:t>termination date; and (ii) issue payment to Employee (or Employee's designee or estate if due to death) as follows:</w:t>
      </w:r>
    </w:p>
    <w:p>
      <w:pPr>
        <w:pStyle w:val="TextBody"/>
        <w:bidi w:val="0"/>
        <w:spacing w:lineRule="auto" w:line="285" w:before="21" w:after="283"/>
        <w:ind w:left="0" w:right="0" w:firstLine="723"/>
        <w:jc w:val="both"/>
        <w:rPr/>
      </w:pPr>
      <w:r>
        <w:rPr>
          <w:rFonts w:ascii="Times New Roman;sans-serif" w:hAnsi="Times New Roman;sans-serif"/>
          <w:b w:val="false"/>
          <w:color w:val="111111"/>
          <w:sz w:val="21"/>
        </w:rPr>
        <w:t>(x)    </w:t>
      </w:r>
      <w:r>
        <w:rPr>
          <w:rFonts w:ascii="Times New Roman;sans-serif" w:hAnsi="Times New Roman;sans-serif"/>
          <w:b w:val="false"/>
          <w:color w:val="111111"/>
          <w:sz w:val="22"/>
        </w:rPr>
        <w:t>Accrued but unpaid base salary shall be paid in accordance with applicable law and no later than 30 days after termination of employment;</w:t>
      </w:r>
    </w:p>
    <w:p>
      <w:pPr>
        <w:pStyle w:val="TextBody"/>
        <w:bidi w:val="0"/>
        <w:spacing w:lineRule="auto" w:line="292" w:before="27" w:after="283"/>
        <w:ind w:left="0" w:right="0" w:firstLine="725"/>
        <w:jc w:val="both"/>
        <w:rPr/>
      </w:pPr>
      <w:r>
        <w:rPr>
          <w:rFonts w:ascii="Times New Roman;sans-serif" w:hAnsi="Times New Roman;sans-serif"/>
          <w:b w:val="false"/>
          <w:color w:val="111111"/>
          <w:sz w:val="21"/>
        </w:rPr>
        <w:t>(y)    </w:t>
      </w:r>
      <w:r>
        <w:rPr>
          <w:rFonts w:ascii="Times New Roman;sans-serif" w:hAnsi="Times New Roman;sans-serif"/>
          <w:b w:val="false"/>
          <w:color w:val="111111"/>
          <w:sz w:val="22"/>
        </w:rPr>
        <w:t>Pro-rata annual bonus shall be paid out at the same time as annual bonuses for such fiscal year of the Company are paid to the Company's other similarly situated employees; and</w:t>
      </w:r>
    </w:p>
    <w:p>
      <w:pPr>
        <w:pStyle w:val="TextBody"/>
        <w:bidi w:val="0"/>
        <w:spacing w:lineRule="auto" w:line="292" w:before="18" w:after="283"/>
        <w:ind w:left="0" w:right="0" w:firstLine="721"/>
        <w:jc w:val="both"/>
        <w:rPr/>
      </w:pPr>
      <w:r>
        <w:rPr>
          <w:rFonts w:ascii="Times New Roman;sans-serif" w:hAnsi="Times New Roman;sans-serif"/>
          <w:b w:val="false"/>
          <w:color w:val="111111"/>
          <w:sz w:val="21"/>
        </w:rPr>
        <w:t>(z)    </w:t>
      </w:r>
      <w:r>
        <w:rPr>
          <w:rFonts w:ascii="Times New Roman;sans-serif" w:hAnsi="Times New Roman;sans-serif"/>
          <w:b w:val="false"/>
          <w:color w:val="111111"/>
          <w:sz w:val="22"/>
        </w:rPr>
        <w:t>any payments required under the applicable employee benefits plans as promptly following the date of employment termination as is reasonably feasible.</w:t>
      </w:r>
    </w:p>
    <w:p>
      <w:pPr>
        <w:pStyle w:val="TextBody"/>
        <w:bidi w:val="0"/>
        <w:spacing w:before="29" w:after="283"/>
        <w:jc w:val="left"/>
        <w:rPr/>
      </w:pPr>
      <w:r>
        <w:rPr/>
      </w:r>
    </w:p>
    <w:p>
      <w:pPr>
        <w:pStyle w:val="TextBody"/>
        <w:bidi w:val="0"/>
        <w:spacing w:lineRule="auto" w:line="292" w:before="1" w:after="283"/>
        <w:ind w:left="0" w:right="0" w:hanging="810"/>
        <w:jc w:val="both"/>
        <w:rPr/>
      </w:pPr>
      <w:r>
        <w:rPr>
          <w:rFonts w:ascii="Times New Roman;sans-serif" w:hAnsi="Times New Roman;sans-serif"/>
          <w:b w:val="false"/>
          <w:color w:val="111111"/>
          <w:sz w:val="22"/>
        </w:rPr>
        <w:t>(2)    </w:t>
      </w:r>
      <w:r>
        <w:rPr>
          <w:rFonts w:ascii="Times New Roman;sans-serif" w:hAnsi="Times New Roman;sans-serif"/>
          <w:b w:val="false"/>
          <w:color w:val="111111"/>
          <w:sz w:val="22"/>
          <w:u w:val="single"/>
        </w:rPr>
        <w:t>Timing</w:t>
      </w:r>
      <w:r>
        <w:rPr>
          <w:rFonts w:ascii="Times New Roman;sans-serif" w:hAnsi="Times New Roman;sans-serif"/>
          <w:b w:val="false"/>
          <w:color w:val="111111"/>
          <w:sz w:val="22"/>
        </w:rPr>
        <w:t>: Whenever a payment under this Agreement specifies a payment period with a reference to a number of days (e.g., "payment shall be made within thirty</w:t>
      </w:r>
    </w:p>
    <w:p>
      <w:pPr>
        <w:pStyle w:val="TextBody"/>
        <w:bidi w:val="0"/>
        <w:spacing w:lineRule="auto" w:line="288" w:before="2" w:after="283"/>
        <w:jc w:val="both"/>
        <w:rPr>
          <w:rFonts w:ascii="Times New Roman;sans-serif" w:hAnsi="Times New Roman;sans-serif"/>
          <w:b w:val="false"/>
          <w:color w:val="111111"/>
          <w:sz w:val="22"/>
        </w:rPr>
      </w:pPr>
      <w:r>
        <w:rPr>
          <w:rFonts w:ascii="Times New Roman;sans-serif" w:hAnsi="Times New Roman;sans-serif"/>
          <w:b w:val="false"/>
          <w:color w:val="111111"/>
          <w:sz w:val="22"/>
        </w:rPr>
        <w:t>(30) days following the termination date"), the actual date of payment within the specified period shall be within the sole discretion of the Company, and if such payment spans two taxable years, then payment will be made in the second taxable year.</w:t>
      </w:r>
    </w:p>
    <w:p>
      <w:pPr>
        <w:pStyle w:val="TextBody"/>
        <w:bidi w:val="0"/>
        <w:spacing w:before="2" w:after="283"/>
        <w:jc w:val="both"/>
        <w:rPr/>
      </w:pPr>
      <w:r>
        <w:rPr/>
      </w:r>
    </w:p>
    <w:p>
      <w:pPr>
        <w:pStyle w:val="TextBody"/>
        <w:bidi w:val="0"/>
        <w:spacing w:lineRule="auto" w:line="288" w:before="100" w:after="283"/>
        <w:ind w:left="0" w:right="0" w:hanging="809"/>
        <w:jc w:val="both"/>
        <w:rPr/>
      </w:pPr>
      <w:r>
        <w:rPr>
          <w:rFonts w:ascii="Times New Roman;sans-serif" w:hAnsi="Times New Roman;sans-serif"/>
          <w:b w:val="false"/>
          <w:color w:val="111111"/>
          <w:sz w:val="22"/>
        </w:rPr>
        <w:t>(3)    </w:t>
      </w:r>
      <w:r>
        <w:rPr>
          <w:rFonts w:ascii="Times New Roman;sans-serif" w:hAnsi="Times New Roman;sans-serif"/>
          <w:b w:val="false"/>
          <w:color w:val="111111"/>
          <w:sz w:val="22"/>
          <w:u w:val="single"/>
        </w:rPr>
        <w:t>Offset or Reduction</w:t>
      </w:r>
      <w:r>
        <w:rPr>
          <w:rFonts w:ascii="Times New Roman;sans-serif" w:hAnsi="Times New Roman;sans-serif"/>
          <w:b w:val="false"/>
          <w:color w:val="111111"/>
          <w:sz w:val="22"/>
        </w:rPr>
        <w:t>: There shall be no offset or reduction against any payments, compensation or benefits under this Agreement if such offset or reduction would result in the imposition of additional taxes, interest or penalties under Section 409A on any payment, benefit or entitlement payable to Employee.</w:t>
      </w:r>
    </w:p>
    <w:p>
      <w:pPr>
        <w:pStyle w:val="TextBody"/>
        <w:bidi w:val="0"/>
        <w:spacing w:before="23" w:after="283"/>
        <w:jc w:val="left"/>
        <w:rPr/>
      </w:pPr>
      <w:r>
        <w:rPr/>
      </w:r>
    </w:p>
    <w:p>
      <w:pPr>
        <w:pStyle w:val="TextBody"/>
        <w:bidi w:val="0"/>
        <w:spacing w:lineRule="auto" w:line="288" w:before="0" w:after="0"/>
        <w:ind w:left="0" w:right="0" w:hanging="724"/>
        <w:jc w:val="left"/>
        <w:rPr>
          <w:rFonts w:ascii="Times New Roman;sans-serif" w:hAnsi="Times New Roman;sans-serif"/>
          <w:b/>
          <w:color w:val="111111"/>
          <w:sz w:val="22"/>
        </w:rPr>
      </w:pPr>
      <w:r>
        <w:rPr>
          <w:rFonts w:ascii="Times New Roman;sans-serif" w:hAnsi="Times New Roman;sans-serif"/>
          <w:b/>
          <w:color w:val="111111"/>
          <w:sz w:val="22"/>
        </w:rPr>
        <w:t>9.    OWNERSHIP OF MATERIALS</w:t>
      </w:r>
    </w:p>
    <w:p>
      <w:pPr>
        <w:pStyle w:val="TextBody"/>
        <w:bidi w:val="0"/>
        <w:spacing w:before="8" w:after="283"/>
        <w:jc w:val="left"/>
        <w:rPr/>
      </w:pPr>
      <w:r>
        <w:rPr/>
      </w:r>
    </w:p>
    <w:p>
      <w:pPr>
        <w:pStyle w:val="TextBody"/>
        <w:bidi w:val="0"/>
        <w:spacing w:lineRule="auto" w:line="288" w:before="0" w:after="0"/>
        <w:ind w:left="0" w:right="0" w:firstLine="727"/>
        <w:jc w:val="both"/>
        <w:rPr>
          <w:rFonts w:ascii="Times New Roman;sans-serif" w:hAnsi="Times New Roman;sans-serif"/>
          <w:b w:val="false"/>
          <w:color w:val="111111"/>
          <w:sz w:val="22"/>
        </w:rPr>
      </w:pPr>
      <w:r>
        <w:rPr>
          <w:rFonts w:ascii="Times New Roman;sans-serif" w:hAnsi="Times New Roman;sans-serif"/>
          <w:b w:val="false"/>
          <w:color w:val="111111"/>
          <w:sz w:val="22"/>
        </w:rPr>
        <w:t>Employee agrees that all inventions, improvements, discoveries, designs, technology, and works of authorship (including but not limited to computer software) made, created, conceived, or reduced to practice by Employee, whether alone or in cooperation with others, during employment, that, in any way, relate to Company's business or use Company Confidential Information, together with all patent, trademark, copyright, trade secret, and other intellectual property rights related to any of the foregoing throughout the world, are among other things works made for hire and belong exclusively to the Company, and Employee hereby assigns all such rights to the Company. Employee agrees to execute any documents, testify in any legal proceedings, and do all things necessary or desirable to secure Company's rights to the foregoing, including without limitation executing inventors' declarations and assignment forms. If there is a separate signed agreement between Employee and the Company including terms directly related to intellectual property rights, then the intellectual property terms of that agreement shall control.</w:t>
      </w:r>
    </w:p>
    <w:p>
      <w:pPr>
        <w:pStyle w:val="TextBody"/>
        <w:bidi w:val="0"/>
        <w:spacing w:before="40" w:after="283"/>
        <w:jc w:val="left"/>
        <w:rPr/>
      </w:pPr>
      <w:r>
        <w:rPr/>
      </w:r>
    </w:p>
    <w:p>
      <w:pPr>
        <w:pStyle w:val="TextBody"/>
        <w:bidi w:val="0"/>
        <w:spacing w:lineRule="auto" w:line="288" w:before="0" w:after="0"/>
        <w:ind w:left="0" w:right="0" w:hanging="721"/>
        <w:jc w:val="left"/>
        <w:rPr>
          <w:rFonts w:ascii="Times New Roman;sans-serif" w:hAnsi="Times New Roman;sans-serif"/>
          <w:b/>
          <w:color w:val="111111"/>
          <w:sz w:val="22"/>
        </w:rPr>
      </w:pPr>
      <w:r>
        <w:rPr>
          <w:rFonts w:ascii="Times New Roman;sans-serif" w:hAnsi="Times New Roman;sans-serif"/>
          <w:b/>
          <w:color w:val="111111"/>
          <w:sz w:val="22"/>
        </w:rPr>
        <w:t>10.    PARTIES BENEFITED; ASSIGNMENTS</w:t>
      </w:r>
    </w:p>
    <w:p>
      <w:pPr>
        <w:pStyle w:val="TextBody"/>
        <w:bidi w:val="0"/>
        <w:spacing w:before="13" w:after="283"/>
        <w:jc w:val="left"/>
        <w:rPr/>
      </w:pPr>
      <w:r>
        <w:rPr/>
      </w:r>
    </w:p>
    <w:p>
      <w:pPr>
        <w:pStyle w:val="TextBody"/>
        <w:bidi w:val="0"/>
        <w:spacing w:lineRule="auto" w:line="288" w:before="0" w:after="0"/>
        <w:ind w:left="0" w:right="0" w:firstLine="722"/>
        <w:jc w:val="both"/>
        <w:rPr/>
      </w:pPr>
      <w:r>
        <w:rPr>
          <w:rFonts w:ascii="Times New Roman;sans-serif" w:hAnsi="Times New Roman;sans-serif"/>
          <w:b w:val="false"/>
          <w:color w:val="111111"/>
          <w:sz w:val="22"/>
        </w:rPr>
        <w:t xml:space="preserve">This Agreement shall be binding upon Employee, Employee's heirs and Employee's personal representative or representatives, and upon Company and its respective successors and assigns. Neither this Agreement nor any rights or obligations hereunder may be assigned by Employee, other than by will or by the laws of descent and distribution. The Company may assign its rights and obligation under this Agreement to any entity, including any </w:t>
      </w:r>
      <w:r>
        <w:rPr>
          <w:rFonts w:ascii="Times New Roman;sans-serif" w:hAnsi="Times New Roman;sans-serif"/>
          <w:b w:val="false"/>
          <w:color w:val="2A2A2A"/>
          <w:sz w:val="22"/>
        </w:rPr>
        <w:t xml:space="preserve">successor </w:t>
      </w:r>
      <w:r>
        <w:rPr>
          <w:rFonts w:ascii="Times New Roman;sans-serif" w:hAnsi="Times New Roman;sans-serif"/>
          <w:b w:val="false"/>
          <w:color w:val="111111"/>
          <w:sz w:val="22"/>
        </w:rPr>
        <w:t>to all or substantially all the assets of the Company, by merger or otherwise.</w:t>
      </w:r>
    </w:p>
    <w:p>
      <w:pPr>
        <w:pStyle w:val="TextBody"/>
        <w:bidi w:val="0"/>
        <w:spacing w:before="22" w:after="283"/>
        <w:jc w:val="left"/>
        <w:rPr/>
      </w:pPr>
      <w:r>
        <w:rPr/>
      </w:r>
    </w:p>
    <w:p>
      <w:pPr>
        <w:pStyle w:val="TextBody"/>
        <w:bidi w:val="0"/>
        <w:spacing w:lineRule="auto" w:line="288" w:before="0" w:after="0"/>
        <w:ind w:left="0" w:right="0" w:hanging="722"/>
        <w:jc w:val="left"/>
        <w:rPr>
          <w:rFonts w:ascii="Times New Roman;sans-serif" w:hAnsi="Times New Roman;sans-serif"/>
          <w:b/>
          <w:color w:val="111111"/>
          <w:sz w:val="22"/>
        </w:rPr>
      </w:pPr>
      <w:r>
        <w:rPr>
          <w:rFonts w:ascii="Times New Roman;sans-serif" w:hAnsi="Times New Roman;sans-serif"/>
          <w:b/>
          <w:color w:val="111111"/>
          <w:sz w:val="22"/>
        </w:rPr>
        <w:t>11.    GOVERNING LAW</w:t>
      </w:r>
    </w:p>
    <w:p>
      <w:pPr>
        <w:pStyle w:val="TextBody"/>
        <w:bidi w:val="0"/>
        <w:spacing w:before="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5"/>
        <w:jc w:val="both"/>
        <w:rPr/>
      </w:pPr>
      <w:r>
        <w:rPr>
          <w:rFonts w:ascii="Times New Roman;sans-serif" w:hAnsi="Times New Roman;sans-serif"/>
          <w:b w:val="false"/>
          <w:color w:val="111111"/>
          <w:sz w:val="22"/>
        </w:rPr>
        <w:t xml:space="preserve">This Agreement shall be governed, construed, interpreted, and enforced in accordance with the substantive laws of the State of California, without reference to the principles of conflicts of law of California or any other jurisdiction, and where applicable, the laws of the United States. Each of the Company and Employee (on behalf of itself and its affiliates) expressly consents to the personal jurisdiction of the California </w:t>
      </w:r>
      <w:r>
        <w:rPr>
          <w:rFonts w:ascii="Times New Roman;sans-serif" w:hAnsi="Times New Roman;sans-serif"/>
          <w:b w:val="false"/>
          <w:color w:val="2A2A2A"/>
          <w:sz w:val="22"/>
        </w:rPr>
        <w:t xml:space="preserve">state </w:t>
      </w:r>
      <w:r>
        <w:rPr>
          <w:rFonts w:ascii="Times New Roman;sans-serif" w:hAnsi="Times New Roman;sans-serif"/>
          <w:b w:val="false"/>
          <w:color w:val="111111"/>
          <w:sz w:val="22"/>
        </w:rPr>
        <w:t>and federal courts for any lawsuit relating to this Agreement, waives any other requirement (whether imposed by statute, rule of court, or otherwise) with respect to such personal jurisdiction or service of process, and waives any objection to jurisdiction based on improper venue or improper jurisdiction.</w:t>
      </w:r>
    </w:p>
    <w:p>
      <w:pPr>
        <w:pStyle w:val="TextBody"/>
        <w:bidi w:val="0"/>
        <w:spacing w:before="6" w:after="283"/>
        <w:jc w:val="left"/>
        <w:rPr/>
      </w:pPr>
      <w:r>
        <w:rPr/>
      </w:r>
    </w:p>
    <w:p>
      <w:pPr>
        <w:pStyle w:val="TextBody"/>
        <w:bidi w:val="0"/>
        <w:spacing w:lineRule="auto" w:line="288" w:before="0" w:after="0"/>
        <w:ind w:left="0" w:right="0" w:firstLine="725"/>
        <w:jc w:val="both"/>
        <w:rPr>
          <w:rFonts w:ascii="Times New Roman;sans-serif" w:hAnsi="Times New Roman;sans-serif"/>
          <w:b w:val="false"/>
          <w:color w:val="111111"/>
          <w:sz w:val="22"/>
        </w:rPr>
      </w:pPr>
      <w:r>
        <w:rPr>
          <w:rFonts w:ascii="Times New Roman;sans-serif" w:hAnsi="Times New Roman;sans-serif"/>
          <w:b w:val="false"/>
          <w:color w:val="111111"/>
          <w:sz w:val="22"/>
        </w:rPr>
        <w:t>Each party hereto hereby waives, to the fullest extent permitted by applicable law, any right it may have to a trial by jury 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 (ii) acknowledges that it and the other party hereto have been induced to enter into this Agreement by, among other things, the mutual waiver and certifications in this Section.</w:t>
      </w:r>
    </w:p>
    <w:p>
      <w:pPr>
        <w:pStyle w:val="TextBody"/>
        <w:bidi w:val="0"/>
        <w:spacing w:before="2" w:after="283"/>
        <w:jc w:val="left"/>
        <w:rPr/>
      </w:pPr>
      <w:r>
        <w:rPr/>
      </w:r>
    </w:p>
    <w:p>
      <w:pPr>
        <w:pStyle w:val="TextBody"/>
        <w:bidi w:val="0"/>
        <w:spacing w:lineRule="auto" w:line="288" w:before="1" w:after="283"/>
        <w:ind w:left="0" w:right="0" w:firstLine="725"/>
        <w:jc w:val="both"/>
        <w:rPr>
          <w:rFonts w:ascii="Times New Roman;sans-serif" w:hAnsi="Times New Roman;sans-serif"/>
          <w:b w:val="false"/>
          <w:color w:val="111111"/>
          <w:sz w:val="22"/>
        </w:rPr>
      </w:pPr>
      <w:r>
        <w:rPr>
          <w:rFonts w:ascii="Times New Roman;sans-serif" w:hAnsi="Times New Roman;sans-serif"/>
          <w:b w:val="false"/>
          <w:color w:val="111111"/>
          <w:sz w:val="22"/>
        </w:rPr>
        <w:t>Employee acknowledges that it is advisable to be represented by counsel in connection with Employee's review and agreement to all terms and conditions of this Agreement.</w:t>
      </w:r>
    </w:p>
    <w:p>
      <w:pPr>
        <w:pStyle w:val="TextBody"/>
        <w:bidi w:val="0"/>
        <w:spacing w:before="5" w:after="283"/>
        <w:jc w:val="left"/>
        <w:rPr/>
      </w:pPr>
      <w:r>
        <w:rPr/>
      </w:r>
    </w:p>
    <w:p>
      <w:pPr>
        <w:pStyle w:val="TextBody"/>
        <w:bidi w:val="0"/>
        <w:spacing w:lineRule="auto" w:line="288" w:before="0" w:after="0"/>
        <w:ind w:left="0" w:right="0" w:firstLine="948"/>
        <w:jc w:val="left"/>
        <w:rPr>
          <w:rFonts w:ascii="Times New Roman;sans-serif" w:hAnsi="Times New Roman;sans-serif"/>
          <w:b w:val="false"/>
          <w:color w:val="111111"/>
          <w:sz w:val="22"/>
        </w:rPr>
      </w:pPr>
      <w:r>
        <w:rPr>
          <w:rFonts w:ascii="Times New Roman;sans-serif" w:hAnsi="Times New Roman;sans-serif"/>
          <w:b w:val="false"/>
          <w:color w:val="111111"/>
          <w:sz w:val="22"/>
        </w:rPr>
        <w:t>Employee acknowledges and agrees that entering into this Agreement is not a condition of Employee's employment with the Company or its affiliates.</w:t>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ans-serif" w:hAnsi="Times New Roman;sans-serif"/>
          <w:b/>
          <w:color w:val="111111"/>
          <w:sz w:val="22"/>
        </w:rPr>
      </w:pPr>
      <w:r>
        <w:rPr>
          <w:rFonts w:ascii="Times New Roman;sans-serif" w:hAnsi="Times New Roman;sans-serif"/>
          <w:b/>
          <w:color w:val="111111"/>
          <w:sz w:val="22"/>
        </w:rPr>
        <w:t>12.    DEFINITION OF COMPANY</w:t>
      </w:r>
    </w:p>
    <w:p>
      <w:pPr>
        <w:pStyle w:val="TextBody"/>
        <w:bidi w:val="0"/>
        <w:spacing w:before="15" w:after="283"/>
        <w:jc w:val="left"/>
        <w:rPr/>
      </w:pPr>
      <w:r>
        <w:rPr/>
      </w:r>
    </w:p>
    <w:p>
      <w:pPr>
        <w:pStyle w:val="TextBody"/>
        <w:bidi w:val="0"/>
        <w:spacing w:lineRule="auto" w:line="276" w:before="0" w:after="0"/>
        <w:ind w:left="0" w:right="0" w:firstLine="714"/>
        <w:jc w:val="both"/>
        <w:rPr>
          <w:rFonts w:ascii="Times New Roman;sans-serif" w:hAnsi="Times New Roman;sans-serif"/>
          <w:b w:val="false"/>
          <w:color w:val="111111"/>
          <w:sz w:val="22"/>
        </w:rPr>
      </w:pPr>
      <w:r>
        <w:rPr>
          <w:rFonts w:ascii="Times New Roman;sans-serif" w:hAnsi="Times New Roman;sans-serif"/>
          <w:b w:val="false"/>
          <w:color w:val="111111"/>
          <w:sz w:val="22"/>
        </w:rPr>
        <w:t>"Company" shall include Rackspace US, Inc., and its past, present and future divisions, operating companies, subsidiaries, affiliates and successors.</w:t>
      </w:r>
    </w:p>
    <w:p>
      <w:pPr>
        <w:pStyle w:val="TextBody"/>
        <w:bidi w:val="0"/>
        <w:spacing w:before="22" w:after="283"/>
        <w:jc w:val="left"/>
        <w:rPr/>
      </w:pPr>
      <w:r>
        <w:rPr/>
      </w:r>
    </w:p>
    <w:p>
      <w:pPr>
        <w:pStyle w:val="TextBody"/>
        <w:bidi w:val="0"/>
        <w:spacing w:lineRule="auto" w:line="288" w:before="1" w:after="283"/>
        <w:ind w:left="0" w:right="0" w:hanging="722"/>
        <w:jc w:val="left"/>
        <w:rPr>
          <w:rFonts w:ascii="Times New Roman;sans-serif" w:hAnsi="Times New Roman;sans-serif"/>
          <w:b/>
          <w:color w:val="111111"/>
          <w:sz w:val="22"/>
        </w:rPr>
      </w:pPr>
      <w:r>
        <w:rPr>
          <w:rFonts w:ascii="Times New Roman;sans-serif" w:hAnsi="Times New Roman;sans-serif"/>
          <w:b/>
          <w:color w:val="111111"/>
          <w:sz w:val="22"/>
        </w:rPr>
        <w:t>13.    LITIGATION AND REGULATORY COOPERATION</w:t>
      </w:r>
    </w:p>
    <w:p>
      <w:pPr>
        <w:pStyle w:val="TextBody"/>
        <w:bidi w:val="0"/>
        <w:spacing w:before="13" w:after="283"/>
        <w:jc w:val="left"/>
        <w:rPr/>
      </w:pPr>
      <w:r>
        <w:rPr/>
      </w:r>
    </w:p>
    <w:p>
      <w:pPr>
        <w:pStyle w:val="TextBody"/>
        <w:bidi w:val="0"/>
        <w:spacing w:lineRule="auto" w:line="288" w:before="0" w:after="0"/>
        <w:ind w:left="0" w:right="0" w:firstLine="726"/>
        <w:jc w:val="both"/>
        <w:rPr>
          <w:rFonts w:ascii="Times New Roman;sans-serif" w:hAnsi="Times New Roman;sans-serif"/>
          <w:b w:val="false"/>
          <w:color w:val="111111"/>
          <w:sz w:val="22"/>
        </w:rPr>
      </w:pPr>
      <w:r>
        <w:rPr>
          <w:rFonts w:ascii="Times New Roman;sans-serif" w:hAnsi="Times New Roman;sans-serif"/>
          <w:b w:val="false"/>
          <w:color w:val="111111"/>
          <w:sz w:val="22"/>
        </w:rPr>
        <w:t>During and after employment, Employee shall reasonably cooperate in the defense or prosecution of claims, investigations, or other actions which relate to events or occurrences during employment. Employee agrees, unless precluded by law, to promptly inform the Company if Employee is asked to participate (or otherwise become involved) in any such claim, investigation or action. Employee's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pStyle w:val="TextBody"/>
        <w:bidi w:val="0"/>
        <w:spacing w:before="25" w:after="283"/>
        <w:jc w:val="left"/>
        <w:rPr/>
      </w:pPr>
      <w:r>
        <w:rPr/>
      </w:r>
    </w:p>
    <w:p>
      <w:pPr>
        <w:pStyle w:val="TextBody"/>
        <w:bidi w:val="0"/>
        <w:spacing w:lineRule="auto" w:line="288" w:before="0" w:after="0"/>
        <w:ind w:left="0" w:right="0" w:hanging="719"/>
        <w:jc w:val="left"/>
        <w:rPr>
          <w:rFonts w:ascii="Times New Roman;sans-serif" w:hAnsi="Times New Roman;sans-serif"/>
          <w:b/>
          <w:color w:val="111111"/>
          <w:sz w:val="22"/>
        </w:rPr>
      </w:pPr>
      <w:r>
        <w:rPr>
          <w:rFonts w:ascii="Times New Roman;sans-serif" w:hAnsi="Times New Roman;sans-serif"/>
          <w:b/>
          <w:color w:val="111111"/>
          <w:sz w:val="22"/>
        </w:rPr>
        <w:t>14.    DISPUTE RESOLUTION</w:t>
      </w:r>
    </w:p>
    <w:p>
      <w:pPr>
        <w:pStyle w:val="TextBody"/>
        <w:bidi w:val="0"/>
        <w:spacing w:before="27" w:after="283"/>
        <w:jc w:val="left"/>
        <w:rPr/>
      </w:pPr>
      <w:r>
        <w:rPr/>
      </w:r>
    </w:p>
    <w:p>
      <w:pPr>
        <w:pStyle w:val="TextBody"/>
        <w:bidi w:val="0"/>
        <w:spacing w:lineRule="auto" w:line="288"/>
        <w:ind w:left="0" w:right="0" w:hanging="722"/>
        <w:jc w:val="both"/>
        <w:rPr/>
      </w:pPr>
      <w:r>
        <w:rPr>
          <w:rFonts w:ascii="Times New Roman;sans-serif" w:hAnsi="Times New Roman;sans-serif"/>
          <w:b/>
          <w:color w:val="111111"/>
          <w:sz w:val="22"/>
        </w:rPr>
        <w:t xml:space="preserve">(a)        Injunctive Relief: </w:t>
      </w:r>
      <w:r>
        <w:rPr>
          <w:rFonts w:ascii="Times New Roman;sans-serif" w:hAnsi="Times New Roman;sans-serif"/>
          <w:b w:val="false"/>
          <w:color w:val="111111"/>
          <w:sz w:val="22"/>
        </w:rPr>
        <w:t>Employee agrees that irreparable damages to Company will result from Employee's breach of this Agreement, including loss of revenue, loss of goodwill associated with Employee as a result of employment, and/or loss of the benefit to Company of any training, confidential, and/or trade secret information provided to Employee, and any other tangible and intangible investments made to and on behalf of Employee. A breach or threat of breach of this Agreement shall give the non-breaching party the right to seek a temporary restraining order and a preliminary or permanent injunction enjoining the breaching party from violating this Agreement in order to prevent immediate and irreparable harm. The breaching party shall pay to the non-</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111111"/>
          <w:sz w:val="22"/>
        </w:rPr>
      </w:pPr>
      <w:r>
        <w:rPr>
          <w:rFonts w:ascii="Times New Roman;sans-serif" w:hAnsi="Times New Roman;sans-serif"/>
          <w:b w:val="false"/>
          <w:color w:val="111111"/>
          <w:sz w:val="22"/>
        </w:rPr>
        <w:t>breaching party reasonable attorneys' fees and costs associated with enforcement of this Agreement, including any appeals. Pursuit of equitable relief under this Agreement shall have no effect regarding the continued enforceability of the Arbitration Section below. Remedies for breach under this Section are cumulative and not exclusive; the parties may elect to pursue any remedies available under this Agreement.</w:t>
      </w:r>
    </w:p>
    <w:p>
      <w:pPr>
        <w:pStyle w:val="TextBody"/>
        <w:bidi w:val="0"/>
        <w:spacing w:before="24" w:after="283"/>
        <w:jc w:val="left"/>
        <w:rPr/>
      </w:pPr>
      <w:r>
        <w:rPr/>
      </w:r>
    </w:p>
    <w:p>
      <w:pPr>
        <w:pStyle w:val="TextBody"/>
        <w:bidi w:val="0"/>
        <w:spacing w:lineRule="auto" w:line="292" w:before="1" w:after="283"/>
        <w:ind w:left="0" w:right="0" w:firstLine="6"/>
        <w:jc w:val="both"/>
        <w:rPr/>
      </w:pPr>
      <w:r>
        <w:rPr>
          <w:rFonts w:ascii="Times New Roman;sans-serif" w:hAnsi="Times New Roman;sans-serif"/>
          <w:b/>
          <w:color w:val="000000"/>
          <w:sz w:val="22"/>
        </w:rPr>
        <w:t>(b)    </w:t>
      </w:r>
      <w:r>
        <w:rPr>
          <w:rFonts w:ascii="Times New Roman;sans-serif" w:hAnsi="Times New Roman;sans-serif"/>
          <w:b/>
          <w:color w:val="111111"/>
          <w:sz w:val="22"/>
        </w:rPr>
        <w:t xml:space="preserve">Arbitration: </w:t>
      </w:r>
      <w:r>
        <w:rPr>
          <w:rFonts w:ascii="Times New Roman;sans-serif" w:hAnsi="Times New Roman;sans-serif"/>
          <w:b w:val="false"/>
          <w:color w:val="111111"/>
          <w:sz w:val="22"/>
        </w:rPr>
        <w:t xml:space="preserve">The parties agree that any dispute or claim, that could be brought in court including discrimination or retaliation claims, relating to this Agreement or arising out of Employee's employment or termination of employment, shall, upon timely written request of either party, be submitted to binding arbitration, except claims regarding: (i) workers' compensation benefits; (ii) unemployment benefits; (iii) Company's employee welfare benefit plans, if the plan contains a final and binding appeal procedure for the resolution of disputes under the plan; (iv) wage and hour disputes within the jurisdiction of any state Labor Commissioner; and (v) issues that could be brought before the National Labor Relations Board or covered by the National Labor Relations Act. The arbitration shall be conducted in California. The arbitration shall proceed in accordance with the </w:t>
      </w:r>
      <w:r>
        <w:rPr>
          <w:rFonts w:ascii="Times New Roman;sans-serif" w:hAnsi="Times New Roman;sans-serif"/>
          <w:b w:val="false"/>
          <w:i/>
          <w:color w:val="111111"/>
          <w:sz w:val="22"/>
        </w:rPr>
        <w:t xml:space="preserve">JAMS Comprehensive Arbitration Rules and Procedures </w:t>
      </w:r>
      <w:r>
        <w:rPr>
          <w:rFonts w:ascii="Times New Roman;sans-serif" w:hAnsi="Times New Roman;sans-serif"/>
          <w:b w:val="false"/>
          <w:color w:val="111111"/>
          <w:sz w:val="22"/>
        </w:rPr>
        <w:t>("JAMS") in effect at the time the claim or dispute arose, unless other rules are agreed upon by the parties. Unless agreed to in writing, the arbitration shall be conducted by one arbitrator from JAMS or a comparable arbitration service, and who is selected pursuant to the JAMS Comprehensive Arbitration Rules and Procedures, or other rules as the parties may agree to in writing. Any claims received after the applicable statute of limitations period shall be deemed null and void. The parties further agree that by entering into this Agreement, the right to participate in a class or collective action is waived. CLAIMS MAY BE ASSERTED AGAINST THE OTHER PARTY ONLY IN AN INDIVIDUAL CAPACITY AND NOT AS A PLAINTIFF OR CLASS MEMBER IN ANY PURPORTED CLASS OR REPRESENTATIVE PROCEEDING</w:t>
      </w:r>
      <w:r>
        <w:rPr>
          <w:rFonts w:ascii="Times New Roman;sans-serif" w:hAnsi="Times New Roman;sans-serif"/>
          <w:b w:val="false"/>
          <w:color w:val="444444"/>
          <w:sz w:val="22"/>
        </w:rPr>
        <w:t xml:space="preserve">. </w:t>
      </w:r>
      <w:r>
        <w:rPr>
          <w:rFonts w:ascii="Times New Roman;sans-serif" w:hAnsi="Times New Roman;sans-serif"/>
          <w:b w:val="false"/>
          <w:color w:val="111111"/>
          <w:sz w:val="22"/>
        </w:rPr>
        <w:t>Further, unless the parties agree otherwise, the arbitrator may not consolidate more than one person's claims, and may not otherwise preside over any form of a representative, collective or class proceeding. If this specific provision is found to be unenforceable, then the entirety of this arbitration provision shall be null and void. The arbitrator shall issue a reasoned award with findings of fact and conclusions of law. Either party may bring an action in any court of competent jurisdiction to compel arbitration under this Agreement, or to enforce or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unless state law requires otherwise. Company will pay the actual fee for the arbitrator and the claimant's filing fee; unless otherwise provided by law and awarded by the arbitrator, each party will pay their own attorneys' fees and other expenses.</w:t>
      </w:r>
    </w:p>
    <w:p>
      <w:pPr>
        <w:pStyle w:val="TextBody"/>
        <w:bidi w:val="0"/>
        <w:spacing w:before="22" w:after="283"/>
        <w:jc w:val="left"/>
        <w:rPr/>
      </w:pPr>
      <w:r>
        <w:rPr/>
      </w:r>
    </w:p>
    <w:p>
      <w:pPr>
        <w:pStyle w:val="TextBody"/>
        <w:bidi w:val="0"/>
        <w:spacing w:lineRule="auto" w:line="288" w:before="0" w:after="0"/>
        <w:ind w:left="0" w:right="0" w:hanging="722"/>
        <w:jc w:val="left"/>
        <w:rPr>
          <w:rFonts w:ascii="Times New Roman;sans-serif" w:hAnsi="Times New Roman;sans-serif"/>
          <w:b/>
          <w:color w:val="111111"/>
          <w:sz w:val="22"/>
        </w:rPr>
      </w:pPr>
      <w:r>
        <w:rPr>
          <w:rFonts w:ascii="Times New Roman;sans-serif" w:hAnsi="Times New Roman;sans-serif"/>
          <w:b/>
          <w:color w:val="111111"/>
          <w:sz w:val="22"/>
        </w:rPr>
        <w:t>15.    REPRESENTATIONS AND WARRANTIES OF EMPLOYEE</w:t>
      </w:r>
    </w:p>
    <w:p>
      <w:pPr>
        <w:pStyle w:val="TextBody"/>
        <w:bidi w:val="0"/>
        <w:spacing w:before="95" w:after="283"/>
        <w:jc w:val="left"/>
        <w:rPr/>
      </w:pPr>
      <w:r>
        <w:rPr/>
      </w:r>
    </w:p>
    <w:p>
      <w:pPr>
        <w:pStyle w:val="TextBody"/>
        <w:bidi w:val="0"/>
        <w:spacing w:lineRule="auto" w:line="292"/>
        <w:ind w:left="0" w:right="0" w:firstLine="725"/>
        <w:jc w:val="both"/>
        <w:rPr>
          <w:rFonts w:ascii="Times New Roman;sans-serif" w:hAnsi="Times New Roman;sans-serif"/>
          <w:b w:val="false"/>
          <w:color w:val="111111"/>
          <w:sz w:val="22"/>
        </w:rPr>
      </w:pPr>
      <w:r>
        <w:rPr>
          <w:rFonts w:ascii="Times New Roman;sans-serif" w:hAnsi="Times New Roman;sans-serif"/>
          <w:b w:val="false"/>
          <w:color w:val="111111"/>
          <w:sz w:val="22"/>
        </w:rPr>
        <w:t>Employee shall keep all terms of this Agreement confidential, except as may be disclosed to Employee's spouse, accountants or attorneys, each of whom shall agree to keep all terms of this Agreement confidential. Employee represents that Employee is under no contractual or other restriction inconsistent with the execution of this Agreement, the performance of Employee's duties hereunder, or the rights of Company. Employee authorizes the Company to inform any prospective employer of the existence and terms of this Agreement without liability for interference with Employee's prospective employment. Employee represents that Employee is under no disability that prevents Employee from performing the essential functions of Employee's position, with or without reasonable accommodation.</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94" w:after="283"/>
        <w:jc w:val="left"/>
        <w:rPr/>
      </w:pPr>
      <w:r>
        <w:rPr/>
      </w:r>
    </w:p>
    <w:p>
      <w:pPr>
        <w:pStyle w:val="TextBody"/>
        <w:bidi w:val="0"/>
        <w:spacing w:lineRule="auto" w:line="288" w:before="1" w:after="283"/>
        <w:ind w:left="0" w:right="0" w:hanging="720"/>
        <w:jc w:val="left"/>
        <w:rPr>
          <w:rFonts w:ascii="Times New Roman;sans-serif" w:hAnsi="Times New Roman;sans-serif"/>
          <w:b/>
          <w:color w:val="111111"/>
          <w:sz w:val="22"/>
        </w:rPr>
      </w:pPr>
      <w:r>
        <w:rPr>
          <w:rFonts w:ascii="Times New Roman;sans-serif" w:hAnsi="Times New Roman;sans-serif"/>
          <w:b/>
          <w:color w:val="111111"/>
          <w:sz w:val="22"/>
        </w:rPr>
        <w:t>16.    SECTION 409A COMPLIANCE</w:t>
      </w:r>
    </w:p>
    <w:p>
      <w:pPr>
        <w:pStyle w:val="TextBody"/>
        <w:bidi w:val="0"/>
        <w:spacing w:before="22" w:after="283"/>
        <w:jc w:val="left"/>
        <w:rPr/>
      </w:pPr>
      <w:r>
        <w:rPr/>
      </w:r>
    </w:p>
    <w:p>
      <w:pPr>
        <w:pStyle w:val="TextBody"/>
        <w:bidi w:val="0"/>
        <w:spacing w:lineRule="auto" w:line="292" w:before="0" w:after="0"/>
        <w:ind w:left="0" w:right="0" w:hanging="720"/>
        <w:jc w:val="both"/>
        <w:rPr/>
      </w:pPr>
      <w:r>
        <w:rPr>
          <w:rFonts w:ascii="Times New Roman;sans-serif" w:hAnsi="Times New Roman;sans-serif"/>
          <w:b/>
          <w:color w:val="111111"/>
          <w:sz w:val="22"/>
        </w:rPr>
        <w:t xml:space="preserve">(a)        General. </w:t>
      </w:r>
      <w:r>
        <w:rPr>
          <w:rFonts w:ascii="Times New Roman;sans-serif" w:hAnsi="Times New Roman;sans-serif"/>
          <w:b w:val="false"/>
          <w:color w:val="111111"/>
          <w:sz w:val="22"/>
        </w:rPr>
        <w:t>The parties hereto acknowledge and agree that, to the extent applicable, this Agreement shall be interpreted in accordance with, and incorporate the terms and conditions required by, Section 409A of the Internal Revenue Code of 1986, as amended (the "Code")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the Company determines that any amounts payable hereunder will be taxable currently to the Employee under Section 409A(a)(l )(A) of the Code and related Department of Treasury guidance, the Company and the Employee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w:t>
      </w:r>
      <w:r>
        <w:rPr>
          <w:rFonts w:ascii="Times New Roman;sans-serif" w:hAnsi="Times New Roman;sans-serif"/>
          <w:b w:val="false"/>
          <w:color w:val="444444"/>
          <w:sz w:val="22"/>
        </w:rPr>
        <w:t>/</w:t>
      </w:r>
      <w:r>
        <w:rPr>
          <w:rFonts w:ascii="Times New Roman;sans-serif" w:hAnsi="Times New Roman;sans-serif"/>
          <w:b w:val="false"/>
          <w:color w:val="111111"/>
          <w:sz w:val="22"/>
        </w:rPr>
        <w:t>or (ii) take such other actions as mutually determined to be necessary or appropriate to exempt the amounts payable hereunder from Section 409A of the Code or to comply with the requirements of Section 409A of the Code and thereby avoid the application of penalty taxes thereunder; provided, however, that this Section does not create an obligation on the part of the Company to modify this Agreement or any other agreement, arrangement or plan and does not guarantee that the amounts payable hereunder will not be subject to interest or penalties under Section 409A, and in no event whatsoever shall the Company or any of its affiliates be liable for any additional tax, interest, or penalties that may be imposed on Employee as a result of Section 409A of the Code or any damages for failing to comply with Section 409A of the Code.</w:t>
      </w:r>
    </w:p>
    <w:p>
      <w:pPr>
        <w:pStyle w:val="TextBody"/>
        <w:bidi w:val="0"/>
        <w:spacing w:before="21" w:after="283"/>
        <w:jc w:val="left"/>
        <w:rPr/>
      </w:pPr>
      <w:r>
        <w:rPr/>
      </w:r>
    </w:p>
    <w:p>
      <w:pPr>
        <w:pStyle w:val="TextBody"/>
        <w:bidi w:val="0"/>
        <w:spacing w:lineRule="auto" w:line="288"/>
        <w:ind w:left="0" w:right="0" w:hanging="720"/>
        <w:jc w:val="both"/>
        <w:rPr/>
      </w:pPr>
      <w:r>
        <w:rPr>
          <w:rFonts w:ascii="Times New Roman;sans-serif" w:hAnsi="Times New Roman;sans-serif"/>
          <w:b/>
          <w:color w:val="111111"/>
          <w:sz w:val="22"/>
        </w:rPr>
        <w:t xml:space="preserve">(b)    Separation from Service under Section 409A. </w:t>
      </w:r>
      <w:r>
        <w:rPr>
          <w:rFonts w:ascii="Times New Roman;sans-serif" w:hAnsi="Times New Roman;sans-serif"/>
          <w:b w:val="false"/>
          <w:color w:val="111111"/>
          <w:sz w:val="22"/>
        </w:rPr>
        <w:t xml:space="preserve">Notwithstanding any provision to the contrary in this Agreement: (i) no Severance Payments shall be payable unless the termination of the Employee's employment constitutes a "separation from service" within the meaning of Section 1.409A-l(h) of the Department of Treasury Regulations; (ii) if the Employee is deemed at the time of Employee's separation from </w:t>
      </w:r>
      <w:r>
        <w:rPr>
          <w:rFonts w:ascii="Times New Roman;sans-serif" w:hAnsi="Times New Roman;sans-serif"/>
          <w:b w:val="false"/>
          <w:color w:val="282828"/>
          <w:sz w:val="22"/>
        </w:rPr>
        <w:t xml:space="preserve">service </w:t>
      </w:r>
      <w:r>
        <w:rPr>
          <w:rFonts w:ascii="Times New Roman;sans-serif" w:hAnsi="Times New Roman;sans-serif"/>
          <w:b w:val="false"/>
          <w:color w:val="111111"/>
          <w:sz w:val="22"/>
        </w:rPr>
        <w:t>to be a "specified employee" for purposes of Section 409A(a)(2)(B)(i) of the Code, to the extent that delayed commencement of any portion of the Severance Payments (after taking into account all exclusions applicable to such Severance Payment under Section 409A) is required in order to avoid a prohibited distribution under Section 409A(a)(2)(B)(i) of the Code, such portion of the Severance Payments shall not be provided to the Employee prior to the earlier of (A) the expiration of the six-month period measured from the date of the Employee's "separation from service" with the Company (as such term is defined in the Department of Treasury Regulations issued under Section 409A) and (B) the date of the Employee's death; provided, that upon the earlier of such dates, all payments deferred pursuant to this Section 18(b) shall be paid to the Employee in a lump sum, and any remaining Severance Payments shall be paid as otherwise provided herein; (iii) the determination of whether the Employee is a "specified employee" for purposes of Section 409A(a)(2)(B)(i) of the Code as of the time of Employee's separation from service shall be made by the Company in accordance with the terms of Section 409A of the Code and applicable guidance thereunder (including, without limitation, Section 1.409A-l(i) of the Department of Treasury Regulations and any successor provision thereto); (iv) for purposes of Section 409A of the Code, the Employee's right to receive installment payments of the Severance Payments shall be treated as a right to receive a series of separate and distinct payments; and (v) to the extent that any reimbursement of expenses or in-</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111111"/>
          <w:sz w:val="22"/>
        </w:rPr>
      </w:pPr>
      <w:r>
        <w:rPr>
          <w:rFonts w:ascii="Times New Roman;sans-serif" w:hAnsi="Times New Roman;sans-serif"/>
          <w:b w:val="false"/>
          <w:color w:val="111111"/>
          <w:sz w:val="22"/>
        </w:rPr>
        <w:t>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Reimbursements and in-kind benefits are not subject to liquidation or exchange for another benefit.</w:t>
      </w:r>
    </w:p>
    <w:p>
      <w:pPr>
        <w:pStyle w:val="TextBody"/>
        <w:bidi w:val="0"/>
        <w:spacing w:before="35" w:after="283"/>
        <w:jc w:val="left"/>
        <w:rPr/>
      </w:pPr>
      <w:r>
        <w:rPr/>
      </w:r>
    </w:p>
    <w:p>
      <w:pPr>
        <w:pStyle w:val="TextBody"/>
        <w:bidi w:val="0"/>
        <w:spacing w:lineRule="auto" w:line="288" w:before="1" w:after="283"/>
        <w:ind w:left="0" w:right="0" w:hanging="720"/>
        <w:jc w:val="left"/>
        <w:rPr>
          <w:rFonts w:ascii="Times New Roman;sans-serif" w:hAnsi="Times New Roman;sans-serif"/>
          <w:b/>
          <w:color w:val="111111"/>
          <w:sz w:val="22"/>
        </w:rPr>
      </w:pPr>
      <w:r>
        <w:rPr>
          <w:rFonts w:ascii="Times New Roman;sans-serif" w:hAnsi="Times New Roman;sans-serif"/>
          <w:b/>
          <w:color w:val="111111"/>
          <w:sz w:val="22"/>
        </w:rPr>
        <w:t>17.    WITHHOLDING</w:t>
      </w:r>
    </w:p>
    <w:p>
      <w:pPr>
        <w:pStyle w:val="TextBody"/>
        <w:bidi w:val="0"/>
        <w:spacing w:before="13" w:after="283"/>
        <w:jc w:val="left"/>
        <w:rPr/>
      </w:pPr>
      <w:r>
        <w:rPr/>
      </w:r>
    </w:p>
    <w:p>
      <w:pPr>
        <w:pStyle w:val="TextBody"/>
        <w:bidi w:val="0"/>
        <w:spacing w:lineRule="auto" w:line="288" w:before="0" w:after="0"/>
        <w:ind w:left="0" w:right="0" w:firstLine="4"/>
        <w:jc w:val="both"/>
        <w:rPr>
          <w:rFonts w:ascii="Times New Roman;sans-serif" w:hAnsi="Times New Roman;sans-serif"/>
          <w:b w:val="false"/>
          <w:color w:val="111111"/>
          <w:sz w:val="22"/>
        </w:rPr>
      </w:pPr>
      <w:r>
        <w:rPr>
          <w:rFonts w:ascii="Times New Roman;sans-serif" w:hAnsi="Times New Roman;sans-serif"/>
          <w:b w:val="false"/>
          <w:color w:val="111111"/>
          <w:sz w:val="22"/>
        </w:rPr>
        <w:t>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pStyle w:val="TextBody"/>
        <w:bidi w:val="0"/>
        <w:spacing w:before="23" w:after="283"/>
        <w:jc w:val="left"/>
        <w:rPr/>
      </w:pPr>
      <w:r>
        <w:rPr/>
      </w:r>
    </w:p>
    <w:p>
      <w:pPr>
        <w:pStyle w:val="TextBody"/>
        <w:bidi w:val="0"/>
        <w:spacing w:lineRule="auto" w:line="288" w:before="0" w:after="0"/>
        <w:ind w:left="0" w:right="0" w:hanging="722"/>
        <w:jc w:val="left"/>
        <w:rPr>
          <w:rFonts w:ascii="Times New Roman;sans-serif" w:hAnsi="Times New Roman;sans-serif"/>
          <w:b/>
          <w:color w:val="111111"/>
          <w:sz w:val="22"/>
        </w:rPr>
      </w:pPr>
      <w:r>
        <w:rPr>
          <w:rFonts w:ascii="Times New Roman;sans-serif" w:hAnsi="Times New Roman;sans-serif"/>
          <w:b/>
          <w:color w:val="111111"/>
          <w:sz w:val="22"/>
        </w:rPr>
        <w:t>18.    EXCESS PARACHUTE PAYMENTS</w:t>
      </w:r>
    </w:p>
    <w:p>
      <w:pPr>
        <w:pStyle w:val="TextBody"/>
        <w:bidi w:val="0"/>
        <w:spacing w:before="8" w:after="283"/>
        <w:jc w:val="left"/>
        <w:rPr/>
      </w:pPr>
      <w:r>
        <w:rPr/>
      </w:r>
    </w:p>
    <w:p>
      <w:pPr>
        <w:pStyle w:val="TextBody"/>
        <w:bidi w:val="0"/>
        <w:spacing w:lineRule="auto" w:line="288"/>
        <w:ind w:left="0" w:right="0" w:firstLine="4"/>
        <w:jc w:val="both"/>
        <w:rPr>
          <w:rFonts w:ascii="Times New Roman;sans-serif" w:hAnsi="Times New Roman;sans-serif"/>
          <w:b w:val="false"/>
          <w:color w:val="111111"/>
          <w:sz w:val="22"/>
        </w:rPr>
      </w:pPr>
      <w:r>
        <w:rPr>
          <w:rFonts w:ascii="Times New Roman;sans-serif" w:hAnsi="Times New Roman;sans-serif"/>
          <w:b w:val="false"/>
          <w:color w:val="111111"/>
          <w:sz w:val="22"/>
        </w:rPr>
        <w:t xml:space="preserve">If it is determined (as hereafter provided) that any payment or distribution by the Company to or for the benefit of Employee,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any successor provision thereto) by reason of being contingent on a change in ownership or effective control of the Company or of a substantial portion of the assets of the Company, within the meaning of Section 280G of the Code (or any successor provision thereto), or to any similar tax imposed by state or local law, or any interest or penalties with respect to such excise tax (such tax or taxes, together with any such interest or penalties, are hereafter collectively referred to as the "Excise Tax"), then, in the event that the after-tax value of all Payments to Employee (such after-tax value to reflect the reduction for the Excise Tax and all federal, state, and local income, employment, and other taxes on such Payments) would, in the aggregate, be less than the after-tax value to Employee (reflecting a reduction for all such taxes in a like manner) of the amount that is 2.99 times Employee's "base amount" within the meaning of Section 280G(b)(3) of the Code (the "Safe Harbor Amount"), (a) the cash portions of the Payments payable to Employee under this Agreement shall be reduced, in the reverse order in which they are due to be paid commencing with the latest such payment, until the Parachute Value (as defined below) of all Payments paid to Employee, in the aggregate, equals the Safe Harbor Amount, and (b) if the reduction of the cash portions of the Payments, payable under this Agreement, to zero would not be sufficient to reduce the Parachute Value of all Payments to the Safe Harbor Amount, then any cash portions of the Payments payable to Employee under any other agreements, policies, plans, programs, or arrangements shall be reduced, in the reverse order in which they are due to be paid commencing with the latest such payment, until the Parachute Value of all Payments paid to Employee, in the aggregate, equals the Safe Harbor Amount, and (c) if the reduction of all cash portions of the Payments, payable pursuant to this Agreement or otherwise, to zero would not be sufficient to reduce the Parachute Value of all Payments to the Safe Harbor Amount, then non- cash portions of the Payments shall be reduced, in the reverse order in which they are due to be paid commencing with the latest such payment, until the Parachute Value of all Payments paid to Employee, in the aggregate, equals the Safe Harbor Amount. All calculations under this Section shall be determined by a national accounting firm selected by the Company (which may include the Company's outside auditors). The Company shall pay all costs to obtain and provide such calculations to Employee and the Company. For purposes of this Agreement, the "Parachute Value" of a Payment shall mean the present value as of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111111"/>
          <w:sz w:val="22"/>
        </w:rPr>
      </w:pPr>
      <w:r>
        <w:rPr>
          <w:rFonts w:ascii="Times New Roman;sans-serif" w:hAnsi="Times New Roman;sans-serif"/>
          <w:b w:val="false"/>
          <w:color w:val="111111"/>
          <w:sz w:val="22"/>
        </w:rPr>
        <w:t>the date of the change in ownership or effective control, within the meaning of Section 280G of the Code, of the portion of such Payment that constitutes a "parachute payment" under Section 280G(b)(2) of the Code, as determined for purposes of determining whether and to what extent the Excise Tax will apply to such Payment.</w:t>
      </w:r>
    </w:p>
    <w:p>
      <w:pPr>
        <w:pStyle w:val="TextBody"/>
        <w:bidi w:val="0"/>
        <w:spacing w:before="25" w:after="283"/>
        <w:jc w:val="left"/>
        <w:rPr/>
      </w:pPr>
      <w:r>
        <w:rPr/>
      </w:r>
    </w:p>
    <w:p>
      <w:pPr>
        <w:pStyle w:val="TextBody"/>
        <w:bidi w:val="0"/>
        <w:spacing w:lineRule="auto" w:line="288" w:before="0" w:after="0"/>
        <w:ind w:left="0" w:right="0" w:hanging="722"/>
        <w:jc w:val="left"/>
        <w:rPr>
          <w:rFonts w:ascii="Times New Roman;sans-serif" w:hAnsi="Times New Roman;sans-serif"/>
          <w:b/>
          <w:color w:val="111111"/>
          <w:sz w:val="22"/>
        </w:rPr>
      </w:pPr>
      <w:r>
        <w:rPr>
          <w:rFonts w:ascii="Times New Roman;sans-serif" w:hAnsi="Times New Roman;sans-serif"/>
          <w:b/>
          <w:color w:val="111111"/>
          <w:sz w:val="22"/>
        </w:rPr>
        <w:t>19.    MISCELLANEOUS</w:t>
      </w:r>
    </w:p>
    <w:p>
      <w:pPr>
        <w:pStyle w:val="TextBody"/>
        <w:bidi w:val="0"/>
        <w:spacing w:before="18" w:after="283"/>
        <w:jc w:val="left"/>
        <w:rPr/>
      </w:pPr>
      <w:r>
        <w:rPr/>
      </w:r>
    </w:p>
    <w:p>
      <w:pPr>
        <w:pStyle w:val="TextBody"/>
        <w:bidi w:val="0"/>
        <w:spacing w:lineRule="auto" w:line="292" w:before="0" w:after="0"/>
        <w:ind w:left="0" w:right="0" w:firstLine="725"/>
        <w:jc w:val="both"/>
        <w:rPr/>
      </w:pPr>
      <w:r>
        <w:rPr>
          <w:rFonts w:ascii="Times New Roman;sans-serif" w:hAnsi="Times New Roman;sans-serif"/>
          <w:b w:val="false"/>
          <w:color w:val="111111"/>
          <w:sz w:val="22"/>
        </w:rPr>
        <w:t>This Agreement is not effective unless fully executed by all parties, including the CEO or authorized officer of the Company, and approved by the Executive Committee as required by Company or its affiliates. This Agreement may not be modified, amended, or terminated except by an instrument in writing signed by Employee and the CEO or authorized officer of the Company that expressly identifies the amended provision of this Agreement. This Agreement contains the entire agreement of the parties on the subject matters in this agreement and supersedes any prior written or oral agreements or understandings between the parties except as noted in Section 10 above. No modification shall be valid unless in writing and signed by the parties. This Agreement may be executed in counterparts, a counterpart transmitted via electronic means, and all executed counterparts, when taken together, shall constitute sufficient proof of the parties' entry into this Agreement. The parties agree to execute any further or future documents which may be necessary to allow the full performance of this Agreement. The failure of a party to require performance of any provision of this Agreement shall not affect the right of such party to later enforce any provision</w:t>
      </w:r>
      <w:r>
        <w:rPr>
          <w:rFonts w:ascii="Times New Roman;sans-serif" w:hAnsi="Times New Roman;sans-serif"/>
          <w:b w:val="false"/>
          <w:color w:val="464646"/>
          <w:sz w:val="22"/>
        </w:rPr>
        <w:t xml:space="preserve">. </w:t>
      </w:r>
      <w:r>
        <w:rPr>
          <w:rFonts w:ascii="Times New Roman;sans-serif" w:hAnsi="Times New Roman;sans-serif"/>
          <w:b w:val="false"/>
          <w:color w:val="111111"/>
          <w:sz w:val="22"/>
        </w:rPr>
        <w:t>A waiver of the breach of any term or condition of this Agreement shall not be deemed a waiver of any subsequent breach of the same or any other term or condition. The headings in this Agreement are inserted for convenience of reference only and shall not control the meaning of any provision hereof.</w:t>
      </w:r>
    </w:p>
    <w:p>
      <w:pPr>
        <w:pStyle w:val="TextBody"/>
        <w:bidi w:val="0"/>
        <w:spacing w:before="11" w:after="283"/>
        <w:jc w:val="left"/>
        <w:rPr/>
      </w:pPr>
      <w:r>
        <w:rPr/>
      </w:r>
    </w:p>
    <w:p>
      <w:pPr>
        <w:pStyle w:val="TextBody"/>
        <w:bidi w:val="0"/>
        <w:spacing w:lineRule="auto" w:line="292" w:before="0" w:after="0"/>
        <w:ind w:left="0" w:right="0" w:firstLine="725"/>
        <w:jc w:val="both"/>
        <w:rPr/>
      </w:pPr>
      <w:r>
        <w:rPr>
          <w:rFonts w:ascii="Times New Roman;sans-serif" w:hAnsi="Times New Roman;sans-serif"/>
          <w:b w:val="false"/>
          <w:color w:val="111111"/>
          <w:sz w:val="22"/>
        </w:rPr>
        <w:t>If for ay provision of this Agreement shall, for any reason, be held unenforceable, such unenforceability shall not affect the remaining provisions hereof, except as specifically noted in this Agreement, or the application of such provisions to other persons or circumstances, all of which shall be enforced to the greatest extent permitted by law. Company and Employee agree that the restrictions</w:t>
      </w:r>
      <w:r>
        <w:rPr>
          <w:color w:val="000000"/>
        </w:rPr>
        <w:t xml:space="preserve"> </w:t>
      </w:r>
      <w:r>
        <w:rPr>
          <w:rFonts w:ascii="Times New Roman;sans-serif" w:hAnsi="Times New Roman;sans-serif"/>
          <w:b w:val="false"/>
          <w:color w:val="111111"/>
          <w:sz w:val="22"/>
        </w:rPr>
        <w:t>contained in Section 4, 5, and 6, are reasonable in scope and duration and are necessary to protect Confidential Information. If any restrictive covenant is held to be unenforceable because of the scope, duration or geographic area of such restrictive covenant, the parties agree that a court or arbitrator may reduce the scope, duration, or geographic area, and in its reduced form, such provision shall be enforceable. Should Employee violate the provisions of Sections 5 or 6, then in addition to all other remedies available to Company, the duration of these covenants shall be extended for the period of time when Employee began such violation until Employee permanently ceases such violation.</w:t>
      </w:r>
    </w:p>
    <w:p>
      <w:pPr>
        <w:pStyle w:val="TextBody"/>
        <w:bidi w:val="0"/>
        <w:spacing w:before="11" w:after="283"/>
        <w:jc w:val="left"/>
        <w:rPr/>
      </w:pPr>
      <w:r>
        <w:rPr/>
      </w:r>
    </w:p>
    <w:p>
      <w:pPr>
        <w:pStyle w:val="TextBody"/>
        <w:bidi w:val="0"/>
        <w:spacing w:lineRule="auto" w:line="292" w:before="1" w:after="283"/>
        <w:ind w:left="0" w:right="0" w:firstLine="725"/>
        <w:jc w:val="both"/>
        <w:rPr>
          <w:rFonts w:ascii="Times New Roman;sans-serif" w:hAnsi="Times New Roman;sans-serif"/>
          <w:b w:val="false"/>
          <w:color w:val="111111"/>
          <w:sz w:val="22"/>
        </w:rPr>
      </w:pPr>
      <w:r>
        <w:rPr>
          <w:rFonts w:ascii="Times New Roman;sans-serif" w:hAnsi="Times New Roman;sans-serif"/>
          <w:b w:val="false"/>
          <w:color w:val="111111"/>
          <w:sz w:val="22"/>
        </w:rPr>
        <w:t>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before="12"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0" w:after="0"/>
        <w:ind w:left="0" w:right="0" w:firstLine="725"/>
        <w:jc w:val="left"/>
        <w:rPr>
          <w:rFonts w:ascii="Times New Roman;sans-serif" w:hAnsi="Times New Roman;sans-serif"/>
          <w:b w:val="false"/>
          <w:color w:val="111111"/>
          <w:sz w:val="22"/>
        </w:rPr>
      </w:pPr>
      <w:r>
        <w:rPr>
          <w:rFonts w:ascii="Times New Roman;sans-serif" w:hAnsi="Times New Roman;sans-serif"/>
          <w:b w:val="false"/>
          <w:color w:val="111111"/>
          <w:sz w:val="22"/>
        </w:rPr>
        <w:t>Upon full execution by all parties, this Agreement shall be effective on the later date of the two signature dates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EMPLOYEE:</w:t>
      </w:r>
    </w:p>
    <w:p>
      <w:pPr>
        <w:pStyle w:val="TextBody"/>
        <w:bidi w:val="0"/>
        <w:spacing w:before="0" w:after="0"/>
        <w:jc w:val="left"/>
        <w:rPr/>
      </w:pPr>
      <w:r>
        <w:rPr/>
      </w:r>
    </w:p>
    <w:p>
      <w:pPr>
        <w:pStyle w:val="TextBody"/>
        <w:bidi w:val="0"/>
        <w:spacing w:before="0" w:after="0"/>
        <w:jc w:val="left"/>
        <w:rPr/>
      </w:pPr>
      <w:r>
        <w:rPr/>
      </w:r>
    </w:p>
    <w:tbl>
      <w:tblPr>
        <w:tblW w:w="3808" w:type="dxa"/>
        <w:jc w:val="left"/>
        <w:tblInd w:w="0" w:type="dxa"/>
        <w:tblLayout w:type="fixed"/>
        <w:tblCellMar>
          <w:top w:w="28" w:type="dxa"/>
          <w:left w:w="28" w:type="dxa"/>
          <w:bottom w:w="28" w:type="dxa"/>
          <w:right w:w="28" w:type="dxa"/>
        </w:tblCellMar>
      </w:tblPr>
      <w:tblGrid>
        <w:gridCol w:w="532"/>
        <w:gridCol w:w="468"/>
        <w:gridCol w:w="470"/>
        <w:gridCol w:w="204"/>
        <w:gridCol w:w="204"/>
        <w:gridCol w:w="206"/>
        <w:gridCol w:w="504"/>
        <w:gridCol w:w="504"/>
        <w:gridCol w:w="71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Brian Lillie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 January 2023</w:t>
            </w:r>
          </w:p>
        </w:tc>
      </w:tr>
      <w:tr>
        <w:trPr/>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bidi w:val="0"/>
        <w:spacing w:before="0" w:after="0"/>
        <w:jc w:val="left"/>
        <w:rPr/>
      </w:pPr>
      <w:r>
        <w:rPr/>
      </w:r>
    </w:p>
    <w:p>
      <w:pPr>
        <w:pStyle w:val="TextBody"/>
        <w:bidi w:val="0"/>
        <w:spacing w:before="0" w:after="0"/>
        <w:jc w:val="left"/>
        <w:rPr/>
      </w:pPr>
      <w:r>
        <w:rPr/>
      </w:r>
    </w:p>
    <w:tbl>
      <w:tblPr>
        <w:tblW w:w="5278" w:type="dxa"/>
        <w:jc w:val="left"/>
        <w:tblInd w:w="0" w:type="dxa"/>
        <w:tblLayout w:type="fixed"/>
        <w:tblCellMar>
          <w:top w:w="28" w:type="dxa"/>
          <w:left w:w="28" w:type="dxa"/>
          <w:bottom w:w="28" w:type="dxa"/>
          <w:right w:w="28" w:type="dxa"/>
        </w:tblCellMar>
      </w:tblPr>
      <w:tblGrid>
        <w:gridCol w:w="1061"/>
        <w:gridCol w:w="938"/>
        <w:gridCol w:w="941"/>
        <w:gridCol w:w="204"/>
        <w:gridCol w:w="204"/>
        <w:gridCol w:w="206"/>
        <w:gridCol w:w="504"/>
        <w:gridCol w:w="504"/>
        <w:gridCol w:w="716"/>
      </w:tblGrid>
      <w:tr>
        <w:trPr/>
        <w:tc>
          <w:tcPr>
            <w:tcW w:w="106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Kelly Butler</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 January 2023</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Kelly Butler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Rackspace US, Inc.</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SVP, Global HR Services</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1" w:after="283"/>
        <w:jc w:val="center"/>
        <w:rPr>
          <w:rFonts w:ascii="Times New Roman;sans-serif" w:hAnsi="Times New Roman;sans-serif"/>
          <w:b/>
          <w:color w:val="000000"/>
          <w:sz w:val="22"/>
        </w:rPr>
      </w:pPr>
      <w:r>
        <w:rPr>
          <w:rFonts w:ascii="Times New Roman;sans-serif" w:hAnsi="Times New Roman;sans-serif"/>
          <w:b/>
          <w:color w:val="000000"/>
          <w:sz w:val="22"/>
        </w:rPr>
        <w:t>EMPLOYMENT AGREEMENT</w:t>
      </w:r>
    </w:p>
    <w:p>
      <w:pPr>
        <w:pStyle w:val="TextBody"/>
        <w:bidi w:val="0"/>
        <w:spacing w:lineRule="auto" w:line="288" w:before="275" w:after="283"/>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This Employment Agreement (“Agreement”) is between Rackspace US, Inc. (“Company”) and Dharmendra Kumar (D K) Sinha (“Employee”).</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1.    </w:t>
      </w:r>
      <w:r>
        <w:rPr>
          <w:rFonts w:ascii="Times New Roman;sans-serif" w:hAnsi="Times New Roman;sans-serif"/>
          <w:b/>
          <w:color w:val="000000"/>
          <w:sz w:val="22"/>
        </w:rPr>
        <w:t>TERM OF EMPLOYMENT</w:t>
      </w:r>
    </w:p>
    <w:p>
      <w:pPr>
        <w:pStyle w:val="TextBody"/>
        <w:bidi w:val="0"/>
        <w:spacing w:before="6" w:after="283"/>
        <w:jc w:val="left"/>
        <w:rPr/>
      </w:pPr>
      <w:r>
        <w:rPr/>
      </w:r>
    </w:p>
    <w:p>
      <w:pPr>
        <w:pStyle w:val="TextBody"/>
        <w:bidi w:val="0"/>
        <w:spacing w:lineRule="auto" w:line="288" w:before="0" w:after="0"/>
        <w:ind w:left="0" w:right="0" w:firstLine="631"/>
        <w:jc w:val="both"/>
        <w:rPr/>
      </w:pPr>
      <w:r>
        <w:rPr>
          <w:rFonts w:ascii="Times New Roman;sans-serif" w:hAnsi="Times New Roman;sans-serif"/>
          <w:b w:val="false"/>
          <w:color w:val="000000"/>
          <w:sz w:val="22"/>
        </w:rPr>
        <w:t xml:space="preserve">This Agreement commences </w:t>
      </w:r>
      <w:r>
        <w:rPr>
          <w:rFonts w:ascii="Times New Roman;sans-serif" w:hAnsi="Times New Roman;sans-serif"/>
          <w:b w:val="false"/>
          <w:color w:val="000000"/>
          <w:sz w:val="22"/>
          <w:u w:val="single"/>
        </w:rPr>
        <w:t>July 18, 2022</w:t>
      </w:r>
      <w:r>
        <w:rPr>
          <w:color w:val="000000"/>
        </w:rPr>
        <w:t xml:space="preserve"> </w:t>
      </w:r>
      <w:r>
        <w:rPr>
          <w:rFonts w:ascii="Times New Roman;sans-serif" w:hAnsi="Times New Roman;sans-serif"/>
          <w:b w:val="false"/>
          <w:color w:val="000000"/>
          <w:sz w:val="22"/>
        </w:rPr>
        <w:t xml:space="preserve">(“Start Date”), and ends on </w:t>
      </w:r>
      <w:r>
        <w:rPr>
          <w:rFonts w:ascii="Times New Roman;sans-serif" w:hAnsi="Times New Roman;sans-serif"/>
          <w:b w:val="false"/>
          <w:color w:val="000000"/>
          <w:sz w:val="22"/>
          <w:u w:val="single"/>
        </w:rPr>
        <w:t xml:space="preserve">July 17, 2026 </w:t>
      </w:r>
      <w:r>
        <w:rPr>
          <w:rFonts w:ascii="Times New Roman;sans-serif" w:hAnsi="Times New Roman;sans-serif"/>
          <w:b w:val="false"/>
          <w:color w:val="000000"/>
          <w:sz w:val="22"/>
        </w:rPr>
        <w:t>(the “Employment Period”); however, the Employment Period will thereafter be automatically extended for two year periods unless either Company or Employee gives written notice of non- renewal no later than ninety days prior to the expiration of the then-applicable Employment Period. The term “Employment Period” shall refer to the Employment Period if and as so extended.</w:t>
      </w:r>
    </w:p>
    <w:p>
      <w:pPr>
        <w:pStyle w:val="TextBody"/>
        <w:bidi w:val="0"/>
        <w:spacing w:lineRule="auto" w:line="288" w:before="252" w:after="283"/>
        <w:ind w:left="0" w:right="0" w:hanging="719"/>
        <w:jc w:val="left"/>
        <w:rPr/>
      </w:pPr>
      <w:r>
        <w:rPr>
          <w:rFonts w:ascii="Times New Roman;sans-serif" w:hAnsi="Times New Roman;sans-serif"/>
          <w:b/>
          <w:color w:val="000000"/>
          <w:sz w:val="24"/>
        </w:rPr>
        <w:t>2.    </w:t>
      </w:r>
      <w:r>
        <w:rPr>
          <w:rFonts w:ascii="Times New Roman;sans-serif" w:hAnsi="Times New Roman;sans-serif"/>
          <w:b/>
          <w:color w:val="000000"/>
          <w:sz w:val="22"/>
        </w:rPr>
        <w:t>TITLE AND EXCLUSIVE SERVICES</w:t>
      </w:r>
    </w:p>
    <w:p>
      <w:pPr>
        <w:pStyle w:val="TextBody"/>
        <w:bidi w:val="0"/>
        <w:spacing w:before="6" w:after="283"/>
        <w:jc w:val="left"/>
        <w:rPr/>
      </w:pPr>
      <w:r>
        <w:rPr/>
      </w:r>
    </w:p>
    <w:p>
      <w:pPr>
        <w:pStyle w:val="TextBody"/>
        <w:bidi w:val="0"/>
        <w:spacing w:lineRule="auto" w:line="288" w:before="1" w:after="283"/>
        <w:ind w:left="0" w:right="0" w:hanging="720"/>
        <w:jc w:val="both"/>
        <w:rPr/>
      </w:pPr>
      <w:r>
        <w:rPr>
          <w:rFonts w:ascii="Times New Roman;sans-serif" w:hAnsi="Times New Roman;sans-serif"/>
          <w:b/>
          <w:color w:val="000000"/>
          <w:sz w:val="22"/>
        </w:rPr>
        <w:t xml:space="preserve">(a)    Title and Duties. </w:t>
      </w:r>
      <w:r>
        <w:rPr>
          <w:rFonts w:ascii="Times New Roman;sans-serif" w:hAnsi="Times New Roman;sans-serif"/>
          <w:b w:val="false"/>
          <w:color w:val="000000"/>
          <w:sz w:val="22"/>
        </w:rPr>
        <w:t>Employee’s level is Executive Vice President, and his title will be President Public Cloud. Employee will perform job duties that are usual and customary for this position. Employee will report to the Company’s Chief Executive Officer. The Company agrees that Employee may reside and work from California and travel regularly to San Antonio, Texas as requested and approved by Company and other locations as required by the company and to facilitate the duties of the role. The Company reserves the right to assign to the Employee duties of a different nature, either additional to, or instead of, those referred to above, it being understood that Employee will not be assigned duties that conflict with the terms of any lawful, enforceable and ongoing post-employment restrictions with a prior employer or that Employee cannot reasonably perform.</w:t>
      </w:r>
    </w:p>
    <w:p>
      <w:pPr>
        <w:pStyle w:val="TextBody"/>
        <w:bidi w:val="0"/>
        <w:spacing w:lineRule="auto" w:line="288" w:before="248" w:after="283"/>
        <w:ind w:left="0" w:right="0" w:hanging="720"/>
        <w:jc w:val="both"/>
        <w:rPr/>
      </w:pPr>
      <w:r>
        <w:rPr>
          <w:rFonts w:ascii="Times New Roman;sans-serif" w:hAnsi="Times New Roman;sans-serif"/>
          <w:b/>
          <w:color w:val="000000"/>
          <w:sz w:val="22"/>
        </w:rPr>
        <w:t xml:space="preserve">(b)    Exclusive Services. </w:t>
      </w:r>
      <w:r>
        <w:rPr>
          <w:rFonts w:ascii="Times New Roman;sans-serif" w:hAnsi="Times New Roman;sans-serif"/>
          <w:b w:val="false"/>
          <w:color w:val="000000"/>
          <w:sz w:val="22"/>
        </w:rPr>
        <w:t>Employee shall not be employed or render services elsewhere during the Employment Period. Notwithstanding the foregoing provision of this Section, during the Employment Period, Employee may devote reasonable time to activities other than those required under this Agreement, including activities of a charitable, educational, religious or similar nature (including professional associations), or activities related to corporate board or advisory board positions for non-competitive companies, subject to the company’s standard approval policy, and the management of the Employee’s personal investments, to the extent such activities do not compete in a material way with the business of the Company.</w:t>
      </w:r>
    </w:p>
    <w:p>
      <w:pPr>
        <w:pStyle w:val="TextBody"/>
        <w:bidi w:val="0"/>
        <w:spacing w:lineRule="auto" w:line="288" w:before="250" w:after="283"/>
        <w:ind w:left="0" w:right="0" w:hanging="719"/>
        <w:jc w:val="left"/>
        <w:rPr/>
      </w:pPr>
      <w:r>
        <w:rPr>
          <w:rFonts w:ascii="Times New Roman;sans-serif" w:hAnsi="Times New Roman;sans-serif"/>
          <w:b/>
          <w:color w:val="000000"/>
          <w:sz w:val="24"/>
        </w:rPr>
        <w:t>3.    </w:t>
      </w:r>
      <w:r>
        <w:rPr>
          <w:rFonts w:ascii="Times New Roman;sans-serif" w:hAnsi="Times New Roman;sans-serif"/>
          <w:b/>
          <w:color w:val="000000"/>
          <w:sz w:val="22"/>
        </w:rPr>
        <w:t>COMPENSATION AND BENEFITS</w:t>
      </w:r>
    </w:p>
    <w:p>
      <w:pPr>
        <w:pStyle w:val="TextBody"/>
        <w:bidi w:val="0"/>
        <w:spacing w:before="10" w:after="283"/>
        <w:jc w:val="left"/>
        <w:rPr/>
      </w:pPr>
      <w:r>
        <w:rPr/>
      </w:r>
    </w:p>
    <w:p>
      <w:pPr>
        <w:pStyle w:val="TextBody"/>
        <w:bidi w:val="0"/>
        <w:spacing w:lineRule="auto" w:line="273" w:before="0" w:after="0"/>
        <w:ind w:left="0" w:right="0" w:hanging="720"/>
        <w:jc w:val="both"/>
        <w:rPr/>
      </w:pPr>
      <w:r>
        <w:rPr>
          <w:rFonts w:ascii="Times New Roman;sans-serif" w:hAnsi="Times New Roman;sans-serif"/>
          <w:b/>
          <w:color w:val="000000"/>
          <w:sz w:val="22"/>
        </w:rPr>
        <w:t xml:space="preserve">(a)    Base Salary. </w:t>
      </w:r>
      <w:r>
        <w:rPr>
          <w:rFonts w:ascii="Times New Roman;sans-serif" w:hAnsi="Times New Roman;sans-serif"/>
          <w:b w:val="false"/>
          <w:color w:val="000000"/>
          <w:sz w:val="22"/>
        </w:rPr>
        <w:t xml:space="preserve">Employee shall be paid an annual base salary of </w:t>
      </w:r>
      <w:r>
        <w:rPr>
          <w:rFonts w:ascii="Times New Roman;sans-serif" w:hAnsi="Times New Roman;sans-serif"/>
          <w:b w:val="false"/>
          <w:color w:val="000000"/>
          <w:sz w:val="22"/>
          <w:u w:val="single"/>
        </w:rPr>
        <w:t>$650,000.00</w:t>
      </w:r>
      <w:r>
        <w:rPr>
          <w:color w:val="000000"/>
        </w:rPr>
        <w:t xml:space="preserve"> </w:t>
      </w:r>
      <w:r>
        <w:rPr>
          <w:rFonts w:ascii="Times New Roman;sans-serif" w:hAnsi="Times New Roman;sans-serif"/>
          <w:b w:val="false"/>
          <w:color w:val="000000"/>
          <w:sz w:val="22"/>
        </w:rPr>
        <w:t>and shall be eligible for increases in base salary consistent with Company’s ordinary compensation cycles and process.</w:t>
      </w:r>
    </w:p>
    <w:p>
      <w:pPr>
        <w:pStyle w:val="TextBody"/>
        <w:bidi w:val="0"/>
        <w:spacing w:before="2" w:after="283"/>
        <w:jc w:val="left"/>
        <w:rPr/>
      </w:pPr>
      <w:r>
        <w:rPr/>
      </w:r>
    </w:p>
    <w:p>
      <w:pPr>
        <w:pStyle w:val="TextBody"/>
        <w:bidi w:val="0"/>
        <w:spacing w:lineRule="auto" w:line="288"/>
        <w:ind w:left="0" w:right="0" w:hanging="720"/>
        <w:jc w:val="both"/>
        <w:rPr/>
      </w:pPr>
      <w:r>
        <w:rPr>
          <w:rFonts w:ascii="Times New Roman;sans-serif" w:hAnsi="Times New Roman;sans-serif"/>
          <w:b/>
          <w:color w:val="000000"/>
          <w:sz w:val="22"/>
        </w:rPr>
        <w:t xml:space="preserve">(b)    Annual Corporate Bonus. </w:t>
      </w:r>
      <w:r>
        <w:rPr>
          <w:rFonts w:ascii="Times New Roman;sans-serif" w:hAnsi="Times New Roman;sans-serif"/>
          <w:b w:val="false"/>
          <w:color w:val="000000"/>
          <w:sz w:val="22"/>
        </w:rPr>
        <w:t xml:space="preserve">Employee is eligible for an annualized on-target bonus of </w:t>
      </w:r>
      <w:r>
        <w:rPr>
          <w:rFonts w:ascii="Times New Roman;sans-serif" w:hAnsi="Times New Roman;sans-serif"/>
          <w:b w:val="false"/>
          <w:color w:val="000000"/>
          <w:sz w:val="22"/>
          <w:u w:val="single"/>
        </w:rPr>
        <w:t>100%</w:t>
      </w:r>
      <w:r>
        <w:rPr>
          <w:color w:val="000000"/>
        </w:rPr>
        <w:t xml:space="preserve"> </w:t>
      </w:r>
      <w:r>
        <w:rPr>
          <w:rFonts w:ascii="Times New Roman;sans-serif" w:hAnsi="Times New Roman;sans-serif"/>
          <w:b w:val="false"/>
          <w:color w:val="000000"/>
          <w:sz w:val="22"/>
        </w:rPr>
        <w:t xml:space="preserve">of annual base salary, with a maximum potential amount of 150% of annual base salary, subject to the Rackspace Technology, Inc. Annual Cash Incentive Plan, or successor plan, (the "Plan") as approved by the Board of Directors or Compensation Committee of Rackspace Technology, Inc. However, with respect to a 2022 bonus, the parties agree that Employee's potential bonus, if earned and approved under the Plan will be guaranteed at 100% of his target and pro-rated based on the Start Date. The 2022 Annual Corporate Bonus will be paid on the ordinary bonus payment date in 2023 only if Employee is employed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payout date and is otherwise eligible for a bonus under the achievement requirements and other terms of the Plan</w:t>
      </w:r>
      <w:r>
        <w:rPr>
          <w:rFonts w:ascii="Times New Roman;sans-serif" w:hAnsi="Times New Roman;sans-serif"/>
          <w:b/>
          <w:color w:val="000000"/>
          <w:sz w:val="22"/>
        </w:rPr>
        <w:t xml:space="preserve">. </w:t>
      </w:r>
      <w:r>
        <w:rPr>
          <w:rFonts w:ascii="Times New Roman;sans-serif" w:hAnsi="Times New Roman;sans-serif"/>
          <w:b w:val="false"/>
          <w:color w:val="000000"/>
          <w:sz w:val="22"/>
        </w:rPr>
        <w:t>The prorated amount is calculated by multiplying the amount of the Annual Corporate Bonus by a fraction, the numerator of which is the number of complete months Employee is actually employed by the Company during 2022 and the denominator of which is 12.</w:t>
      </w:r>
    </w:p>
    <w:p>
      <w:pPr>
        <w:pStyle w:val="TextBody"/>
        <w:bidi w:val="0"/>
        <w:spacing w:lineRule="auto" w:line="288" w:before="252" w:after="283"/>
        <w:ind w:left="0" w:right="0" w:hanging="720"/>
        <w:jc w:val="both"/>
        <w:rPr/>
      </w:pPr>
      <w:r>
        <w:rPr>
          <w:rFonts w:ascii="Times New Roman;sans-serif" w:hAnsi="Times New Roman;sans-serif"/>
          <w:b/>
          <w:color w:val="000000"/>
          <w:sz w:val="22"/>
        </w:rPr>
        <w:t xml:space="preserve">(c)    Equity Award. </w:t>
      </w:r>
      <w:r>
        <w:rPr>
          <w:rFonts w:ascii="Times New Roman;sans-serif" w:hAnsi="Times New Roman;sans-serif"/>
          <w:b w:val="false"/>
          <w:color w:val="000000"/>
          <w:sz w:val="22"/>
        </w:rPr>
        <w:t>In consideration for signing this Agreement, Company will grant Employee a one- time recruiting grant of restricted stock units (“RSUs”) of Rackspace Technology, Inc. common stock, par value $.01 per share (“Common Stock”). The number of RSUs granted to Employee shall be determined by dividing $7,000,000.00 by a 60-trading day volume weighted average price of the Company’s NASDAQ-traded Common Stock. The RSU’s shall vest as follows: one-third will vest on the 12 month anniversary of the grant date, one-third will vest on the 24 month anniversary of the grant date and one-third will vest on the 36 month anniversary of the grant date, in each case, subject to Employee’s continued employment through the applicable vesting date. This grant will be issued pursuant and subject to the 2020 Rackspace Technology, Inc. Equity Incentive Plan (or any successor plan).</w:t>
      </w:r>
    </w:p>
    <w:p>
      <w:pPr>
        <w:pStyle w:val="TextBody"/>
        <w:bidi w:val="0"/>
        <w:spacing w:lineRule="auto" w:line="288" w:before="250" w:after="283"/>
        <w:ind w:left="0" w:right="0" w:hanging="720"/>
        <w:jc w:val="both"/>
        <w:rPr/>
      </w:pPr>
      <w:r>
        <w:rPr>
          <w:rFonts w:ascii="Times New Roman;sans-serif" w:hAnsi="Times New Roman;sans-serif"/>
          <w:b/>
          <w:color w:val="000000"/>
          <w:sz w:val="22"/>
        </w:rPr>
        <w:t xml:space="preserve">(d)    Annual Equity Awards. </w:t>
      </w:r>
      <w:r>
        <w:rPr>
          <w:rFonts w:ascii="Times New Roman;sans-serif" w:hAnsi="Times New Roman;sans-serif"/>
          <w:b w:val="false"/>
          <w:color w:val="000000"/>
          <w:sz w:val="22"/>
        </w:rPr>
        <w:t>Starting in fiscal year 2022 and for each fiscal year of the Employment Period thereafter, Employee will be eligible to receive equity awards (the “Annual Equity Award”) on the same basis and terms (including form and mix of awards, vesting and forfeiture terms and date on which such awards are granted) no less favorable to him than those applicable to any other similarly situated employees subject to Employee’s continued employment through the applicable Grant Date. For the fiscal years 2023 and 2024, Company will recommend that the Compensation Committee approve an Annual Equity Award with recommended award value not less than</w:t>
      </w:r>
    </w:p>
    <w:p>
      <w:pPr>
        <w:pStyle w:val="TextBody"/>
        <w:bidi w:val="0"/>
        <w:spacing w:lineRule="atLeast" w:line="24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$5,500,000.00.</w:t>
      </w:r>
    </w:p>
    <w:p>
      <w:pPr>
        <w:pStyle w:val="TextBody"/>
        <w:bidi w:val="0"/>
        <w:spacing w:lineRule="auto" w:line="288" w:before="183" w:after="283"/>
        <w:ind w:left="0" w:right="0" w:hanging="720"/>
        <w:jc w:val="both"/>
        <w:rPr/>
      </w:pPr>
      <w:r>
        <w:rPr>
          <w:rFonts w:ascii="Times New Roman;sans-serif" w:hAnsi="Times New Roman;sans-serif"/>
          <w:b/>
          <w:color w:val="000000"/>
          <w:sz w:val="22"/>
        </w:rPr>
        <w:t>(e)    Signing Bonus</w:t>
      </w:r>
      <w:r>
        <w:rPr>
          <w:rFonts w:ascii="Times New Roman;sans-serif" w:hAnsi="Times New Roman;sans-serif"/>
          <w:b w:val="false"/>
          <w:color w:val="000000"/>
          <w:sz w:val="22"/>
        </w:rPr>
        <w:t>. Company will pay Employee a bonus (the “Signing Bonus”) with a total amount equal to: $675,000.00 (six hundred seventy-five thousand dollars). The Signing Bonus will be paid in two equal installments. Company will issue payment: (i) for the first installment of the Signing Bonus equal to $337,500.00 (three hundred thirty-seven thousand, five hundred dollars), less applicable deductions and withholdings, on the first reasonably available payroll period following six months after the Start Date; and (ii) the second installment equal to $337,500.00 (three hundred thirty-seven thousand, five hundred dollars), less applicable deductions and withholdings, on the first reasonably available payroll period in December 2023. Payment of each installment of the Signing Bonus is contingent upon Employee’s continued, active employment with the Company through the date that the applicable installment period is issued.</w:t>
      </w:r>
    </w:p>
    <w:p>
      <w:pPr>
        <w:pStyle w:val="TextBody"/>
        <w:bidi w:val="0"/>
        <w:spacing w:lineRule="auto" w:line="288" w:before="173" w:after="283"/>
        <w:ind w:left="0" w:right="0" w:hanging="719"/>
        <w:jc w:val="left"/>
        <w:rPr/>
      </w:pPr>
      <w:r>
        <w:rPr>
          <w:rFonts w:ascii="Times New Roman;sans-serif" w:hAnsi="Times New Roman;sans-serif"/>
          <w:b/>
          <w:color w:val="000000"/>
          <w:sz w:val="22"/>
        </w:rPr>
        <w:t xml:space="preserve">(f)    PTO. </w:t>
      </w:r>
      <w:r>
        <w:rPr>
          <w:rFonts w:ascii="Times New Roman;sans-serif" w:hAnsi="Times New Roman;sans-serif"/>
          <w:b w:val="false"/>
          <w:color w:val="000000"/>
          <w:sz w:val="22"/>
        </w:rPr>
        <w:t>Employee is eligible for PTO (paid time off) subject to the Company’s policies.</w:t>
      </w:r>
    </w:p>
    <w:p>
      <w:pPr>
        <w:pStyle w:val="TextBody"/>
        <w:bidi w:val="0"/>
        <w:spacing w:lineRule="auto" w:line="276" w:before="252" w:after="283"/>
        <w:ind w:left="0" w:right="0" w:hanging="721"/>
        <w:jc w:val="both"/>
        <w:rPr/>
      </w:pPr>
      <w:r>
        <w:rPr>
          <w:rFonts w:ascii="Times New Roman;sans-serif" w:hAnsi="Times New Roman;sans-serif"/>
          <w:b/>
          <w:color w:val="000000"/>
          <w:sz w:val="22"/>
        </w:rPr>
        <w:t xml:space="preserve">(g)    Employment Benefit Plans. </w:t>
      </w:r>
      <w:r>
        <w:rPr>
          <w:rFonts w:ascii="Times New Roman;sans-serif" w:hAnsi="Times New Roman;sans-serif"/>
          <w:b w:val="false"/>
          <w:color w:val="000000"/>
          <w:sz w:val="22"/>
        </w:rPr>
        <w:t>Employee may participate in employee benefit plans in which other similarly situated employees may participate, according to the terms of applicable policies and as stated in the Employee Handbook. Employee acknowledges receipt of the Employee Handbook available on the intercompany website and will review and abide by its terms.</w:t>
      </w:r>
    </w:p>
    <w:p>
      <w:pPr>
        <w:pStyle w:val="TextBody"/>
        <w:bidi w:val="0"/>
        <w:spacing w:before="9" w:after="283"/>
        <w:jc w:val="left"/>
        <w:rPr/>
      </w:pPr>
      <w:r>
        <w:rPr/>
      </w:r>
    </w:p>
    <w:p>
      <w:pPr>
        <w:pStyle w:val="TextBody"/>
        <w:bidi w:val="0"/>
        <w:spacing w:lineRule="auto" w:line="273"/>
        <w:ind w:left="0" w:right="0" w:hanging="720"/>
        <w:jc w:val="both"/>
        <w:rPr/>
      </w:pPr>
      <w:r>
        <w:rPr>
          <w:rFonts w:ascii="Times New Roman;sans-serif" w:hAnsi="Times New Roman;sans-serif"/>
          <w:b/>
          <w:color w:val="000000"/>
          <w:sz w:val="22"/>
        </w:rPr>
        <w:t xml:space="preserve">(h)    Expenses. </w:t>
      </w:r>
      <w:r>
        <w:rPr>
          <w:rFonts w:ascii="Times New Roman;sans-serif" w:hAnsi="Times New Roman;sans-serif"/>
          <w:b w:val="false"/>
          <w:color w:val="000000"/>
          <w:sz w:val="22"/>
        </w:rPr>
        <w:t>Company will reimburse Employee for approved travel and business expenses pursuant to Company policy.</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4.    </w:t>
      </w:r>
      <w:r>
        <w:rPr>
          <w:rFonts w:ascii="Times New Roman;sans-serif" w:hAnsi="Times New Roman;sans-serif"/>
          <w:b/>
          <w:color w:val="000000"/>
          <w:sz w:val="22"/>
        </w:rPr>
        <w:t>NONDISCLOSURE OF CONFIDENTIAL INFORMATION</w:t>
      </w:r>
    </w:p>
    <w:p>
      <w:pPr>
        <w:pStyle w:val="TextBody"/>
        <w:bidi w:val="0"/>
        <w:spacing w:before="3"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Company has provided and will continue to provide to Employee confidential information and trade secrets including but not limited to Company’s operational, sales, marketing, personally identifiable information about employees, employee contact information and/or materials used for training and or/employee development, and engineering information, customer lists, business contracts, partner agreements, pricing and strategy information, product and cost or pricing data, compensation information, strategic business plans budgets, financial statements, and other information Company treats as confidential or proprietary (collectively the “Confidential Information”). This section is not intended to limit Employee’s rights to discuss Employee’s compensation or other terms and conditions of employment as allowed by law. Employee will not be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that is made in a document filed in a lawsuit so long as it is filed under seal. Employee acknowledges that such Confidential Information is proprietary and agrees not to disclose it to anyone outside Company except to the extent that (i) it is necessary in connection with performing Employee’s duties; (ii) Employee is required by court order to disclose the Confidential Information, provided that Employee shall promptly inform Company, shall cooperate with Company to obtain a protective order or otherwise restrict disclosure, and shall only disclose Confidential Information to the minimum extent necessary to comply with the court order. Employee agrees to never use Confidential Information in competing, directly or indirectly, with Company. When employment ends, Employee will immediately return all Confidential Information to Company.</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color w:val="000000"/>
          <w:sz w:val="22"/>
        </w:rPr>
        <w:t>(a)    </w:t>
      </w:r>
      <w:r>
        <w:rPr>
          <w:rFonts w:ascii="Times New Roman;sans-serif" w:hAnsi="Times New Roman;sans-serif"/>
          <w:b w:val="false"/>
          <w:color w:val="000000"/>
          <w:sz w:val="22"/>
        </w:rPr>
        <w:t>Protected Rights. Employee understands that nothing contained in this Agreement limits Employee’s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Employee further understands that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This Agreement does not limit Employee’s right to receive an award for information provided to any Government Agencies.</w:t>
      </w:r>
    </w:p>
    <w:p>
      <w:pPr>
        <w:pStyle w:val="TextBody"/>
        <w:bidi w:val="0"/>
        <w:spacing w:lineRule="auto" w:line="273" w:before="252" w:after="283"/>
        <w:ind w:left="0" w:right="0" w:hanging="720"/>
        <w:jc w:val="both"/>
        <w:rPr/>
      </w:pPr>
      <w:r>
        <w:rPr>
          <w:rFonts w:ascii="Times New Roman;sans-serif" w:hAnsi="Times New Roman;sans-serif"/>
          <w:b/>
          <w:color w:val="000000"/>
          <w:sz w:val="22"/>
        </w:rPr>
        <w:t>(b)    </w:t>
      </w:r>
      <w:r>
        <w:rPr>
          <w:rFonts w:ascii="Times New Roman;sans-serif" w:hAnsi="Times New Roman;sans-serif"/>
          <w:b w:val="false"/>
          <w:color w:val="000000"/>
          <w:sz w:val="22"/>
        </w:rPr>
        <w:t>The terms of this Section 4 shall survive the expiration or termination of this Agreement for any reason.</w:t>
      </w:r>
    </w:p>
    <w:p>
      <w:pPr>
        <w:pStyle w:val="TextBody"/>
        <w:bidi w:val="0"/>
        <w:spacing w:before="2"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5.    </w:t>
      </w:r>
      <w:r>
        <w:rPr>
          <w:rFonts w:ascii="Times New Roman;sans-serif" w:hAnsi="Times New Roman;sans-serif"/>
          <w:b/>
          <w:color w:val="000000"/>
          <w:sz w:val="22"/>
        </w:rPr>
        <w:t>NON-HIRE OF COMPANY EMPLOYEES</w:t>
      </w:r>
    </w:p>
    <w:p>
      <w:pPr>
        <w:pStyle w:val="TextBody"/>
        <w:bidi w:val="0"/>
        <w:spacing w:before="6" w:after="283"/>
        <w:jc w:val="left"/>
        <w:rPr/>
      </w:pPr>
      <w:r>
        <w:rPr/>
      </w:r>
    </w:p>
    <w:p>
      <w:pPr>
        <w:pStyle w:val="TextBody"/>
        <w:bidi w:val="0"/>
        <w:spacing w:lineRule="auto" w:line="288"/>
        <w:ind w:left="0" w:right="0" w:hanging="631"/>
        <w:jc w:val="both"/>
        <w:rPr/>
      </w:pPr>
      <w:r>
        <w:rPr>
          <w:rFonts w:ascii="Times New Roman;sans-serif" w:hAnsi="Times New Roman;sans-serif"/>
          <w:b/>
          <w:color w:val="000000"/>
          <w:sz w:val="22"/>
        </w:rPr>
        <w:t>(a)    </w:t>
      </w:r>
      <w:r>
        <w:rPr>
          <w:rFonts w:ascii="Times New Roman;sans-serif" w:hAnsi="Times New Roman;sans-serif"/>
          <w:b w:val="false"/>
          <w:color w:val="000000"/>
          <w:sz w:val="22"/>
        </w:rPr>
        <w:t>To further preserve the Confidential Information, during employment and for twelve (12) months after employment ends, Employee will not, directly or indirectly, (i) solicit or encourage any employee to terminate employment or services with Company; or (ii) solicit or encourage any employee to accept employment with or provide services to Employee or any business associated with Employee. The restrictions set forth in this section shall not apply to solicitation, hiring or receipt of services provided by employees engaged via general advertising that was not targeted at Company’s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52" w:after="283"/>
        <w:ind w:left="0" w:right="0" w:hanging="632"/>
        <w:jc w:val="both"/>
        <w:rPr/>
      </w:pPr>
      <w:r>
        <w:rPr>
          <w:rFonts w:ascii="Times New Roman;sans-serif" w:hAnsi="Times New Roman;sans-serif"/>
          <w:b/>
          <w:color w:val="000000"/>
          <w:sz w:val="22"/>
        </w:rPr>
        <w:t>(b)    </w:t>
      </w:r>
      <w:r>
        <w:rPr>
          <w:rFonts w:ascii="Times New Roman;sans-serif" w:hAnsi="Times New Roman;sans-serif"/>
          <w:b w:val="false"/>
          <w:color w:val="000000"/>
          <w:sz w:val="22"/>
        </w:rPr>
        <w:t>The terms of this Section 5 shall survive the expiration or termination of this Agreement for any reason.</w:t>
      </w:r>
    </w:p>
    <w:p>
      <w:pPr>
        <w:pStyle w:val="TextBody"/>
        <w:bidi w:val="0"/>
        <w:spacing w:before="12"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6.    </w:t>
      </w:r>
      <w:r>
        <w:rPr>
          <w:rFonts w:ascii="Times New Roman;sans-serif" w:hAnsi="Times New Roman;sans-serif"/>
          <w:b/>
          <w:color w:val="000000"/>
          <w:sz w:val="22"/>
        </w:rPr>
        <w:t>NON-SOLICITATION OF CUSTOMERS AND SUPPLIERS</w:t>
      </w:r>
    </w:p>
    <w:p>
      <w:pPr>
        <w:pStyle w:val="TextBody"/>
        <w:bidi w:val="0"/>
        <w:spacing w:before="8" w:after="283"/>
        <w:jc w:val="left"/>
        <w:rPr/>
      </w:pPr>
      <w:r>
        <w:rPr/>
      </w:r>
    </w:p>
    <w:p>
      <w:pPr>
        <w:pStyle w:val="TextBody"/>
        <w:bidi w:val="0"/>
        <w:spacing w:lineRule="auto" w:line="276" w:before="1" w:after="283"/>
        <w:ind w:left="0" w:right="0" w:hanging="720"/>
        <w:jc w:val="both"/>
        <w:rPr/>
      </w:pPr>
      <w:r>
        <w:rPr>
          <w:rFonts w:ascii="Times New Roman;sans-serif" w:hAnsi="Times New Roman;sans-serif"/>
          <w:b/>
          <w:color w:val="000000"/>
          <w:sz w:val="22"/>
        </w:rPr>
        <w:t>(a)    </w:t>
      </w:r>
      <w:r>
        <w:rPr>
          <w:rFonts w:ascii="Times New Roman;sans-serif" w:hAnsi="Times New Roman;sans-serif"/>
          <w:b w:val="false"/>
          <w:color w:val="000000"/>
          <w:sz w:val="22"/>
        </w:rPr>
        <w:t>To further preserve the Confidential Information, for six (6) months after employment ends, Employee agrees not to directly or indirectly, on Employee’s own behalf or on behalf of any other person or entity, recruit or otherwise solicit or induce any customer or supplier of the Company, to terminate its employment or arrangement with the Company or otherwise change its relationship with the Company.</w:t>
      </w:r>
    </w:p>
    <w:p>
      <w:pPr>
        <w:pStyle w:val="TextBody"/>
        <w:bidi w:val="0"/>
        <w:spacing w:before="4" w:after="283"/>
        <w:jc w:val="left"/>
        <w:rPr/>
      </w:pPr>
      <w:r>
        <w:rPr/>
      </w:r>
    </w:p>
    <w:p>
      <w:pPr>
        <w:pStyle w:val="TextBody"/>
        <w:bidi w:val="0"/>
        <w:spacing w:lineRule="auto" w:line="273" w:before="1" w:after="283"/>
        <w:ind w:left="0" w:right="0" w:hanging="720"/>
        <w:jc w:val="both"/>
        <w:rPr/>
      </w:pPr>
      <w:r>
        <w:rPr>
          <w:rFonts w:ascii="Times New Roman;sans-serif" w:hAnsi="Times New Roman;sans-serif"/>
          <w:b/>
          <w:color w:val="000000"/>
          <w:sz w:val="22"/>
        </w:rPr>
        <w:t>(b)    </w:t>
      </w:r>
      <w:r>
        <w:rPr>
          <w:rFonts w:ascii="Times New Roman;sans-serif" w:hAnsi="Times New Roman;sans-serif"/>
          <w:b w:val="false"/>
          <w:color w:val="000000"/>
          <w:sz w:val="22"/>
        </w:rPr>
        <w:t>The terms of this Section 6 shall survive the expiration or termination of this Agreement for any reason.</w:t>
      </w:r>
    </w:p>
    <w:p>
      <w:pPr>
        <w:pStyle w:val="TextBody"/>
        <w:bidi w:val="0"/>
        <w:spacing w:before="92"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4"/>
        </w:rPr>
        <w:t>7.    </w:t>
      </w:r>
      <w:r>
        <w:rPr>
          <w:rFonts w:ascii="Times New Roman;sans-serif" w:hAnsi="Times New Roman;sans-serif"/>
          <w:b/>
          <w:color w:val="000000"/>
          <w:sz w:val="22"/>
        </w:rPr>
        <w:t>TERMINATION</w:t>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Employee’s employment may be terminated prior to the end of this Agreement only by mutual written agreement or:</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2"/>
        </w:rPr>
        <w:t xml:space="preserve">(a)    Death. </w:t>
      </w:r>
      <w:r>
        <w:rPr>
          <w:rFonts w:ascii="Times New Roman;sans-serif" w:hAnsi="Times New Roman;sans-serif"/>
          <w:b w:val="false"/>
          <w:color w:val="000000"/>
          <w:sz w:val="22"/>
        </w:rPr>
        <w:t>The date of Employee’s death shall be the termination date.</w:t>
      </w:r>
    </w:p>
    <w:p>
      <w:pPr>
        <w:pStyle w:val="TextBody"/>
        <w:bidi w:val="0"/>
        <w:spacing w:lineRule="auto" w:line="276" w:before="252" w:after="283"/>
        <w:ind w:left="0" w:right="0" w:hanging="721"/>
        <w:jc w:val="both"/>
        <w:rPr/>
      </w:pPr>
      <w:r>
        <w:rPr>
          <w:rFonts w:ascii="Times New Roman;sans-serif" w:hAnsi="Times New Roman;sans-serif"/>
          <w:b/>
          <w:color w:val="000000"/>
          <w:sz w:val="22"/>
        </w:rPr>
        <w:t xml:space="preserve">(b)    Disability. </w:t>
      </w:r>
      <w:r>
        <w:rPr>
          <w:rFonts w:ascii="Times New Roman;sans-serif" w:hAnsi="Times New Roman;sans-serif"/>
          <w:b w:val="false"/>
          <w:color w:val="000000"/>
          <w:sz w:val="22"/>
        </w:rPr>
        <w:t>Company may terminate this Agreement or Employee’s employment if Employee is unable to perform the essential functions of Employee’s full-time position for more than 180 days in any 12-month period, subject to applicable law.</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color w:val="000000"/>
          <w:sz w:val="22"/>
        </w:rPr>
        <w:t xml:space="preserve">(c)    Termination By Employee For Good Reason. </w:t>
      </w:r>
      <w:r>
        <w:rPr>
          <w:rFonts w:ascii="Times New Roman;sans-serif" w:hAnsi="Times New Roman;sans-serif"/>
          <w:b w:val="false"/>
          <w:color w:val="000000"/>
          <w:sz w:val="22"/>
        </w:rPr>
        <w:t>Employee may terminate Employee’s employment at any time for “Good Reason,” which is: (i) Company’s repeated failure to comply with a material term of this Agreement after written notice by Employee specifying the alleged failure; or (ii) a substantial and unusual reduction in responsibilities and authority, including reductions in Base Salary or Annual Corporate Bonus, demotion from reporting to CEO or material relocation of Employee’s principal place of employment. If Employee elects to terminate Employee’s employment for “Good Reason,” Employee must first provide Company written notice within thirty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(30) days, after which Company shall have sixty (60) days to cure. If Company has not cured and Employee elects to terminate employment, Employee must do so within ten (10) days after the end of the cure period.</w:t>
      </w:r>
    </w:p>
    <w:p>
      <w:pPr>
        <w:pStyle w:val="TextBody"/>
        <w:bidi w:val="0"/>
        <w:spacing w:lineRule="auto" w:line="276" w:before="253" w:after="283"/>
        <w:ind w:left="0" w:right="0" w:hanging="720"/>
        <w:jc w:val="both"/>
        <w:rPr/>
      </w:pPr>
      <w:r>
        <w:rPr>
          <w:rFonts w:ascii="Times New Roman;sans-serif" w:hAnsi="Times New Roman;sans-serif"/>
          <w:b/>
          <w:color w:val="000000"/>
          <w:sz w:val="22"/>
        </w:rPr>
        <w:t>(d)    Termination By Employee Without Good Reason</w:t>
      </w:r>
      <w:r>
        <w:rPr>
          <w:rFonts w:ascii="Times New Roman;sans-serif" w:hAnsi="Times New Roman;sans-serif"/>
          <w:b w:val="false"/>
          <w:color w:val="000000"/>
          <w:sz w:val="22"/>
        </w:rPr>
        <w:t>. Employee may resign his employment without Good Reason any time upon ninety (90) days’ advance written notice to the Company. Employee’s termination of his employment in accordance with this section 7(d) shall not be deemed to be a breach of this Agreement.</w:t>
      </w:r>
    </w:p>
    <w:p>
      <w:pPr>
        <w:pStyle w:val="TextBody"/>
        <w:bidi w:val="0"/>
        <w:spacing w:before="3" w:after="283"/>
        <w:jc w:val="left"/>
        <w:rPr/>
      </w:pPr>
      <w:r>
        <w:rPr/>
      </w:r>
    </w:p>
    <w:p>
      <w:pPr>
        <w:pStyle w:val="TextBody"/>
        <w:bidi w:val="0"/>
        <w:spacing w:lineRule="auto" w:line="276" w:before="1" w:after="283"/>
        <w:ind w:left="0" w:right="0" w:hanging="720"/>
        <w:jc w:val="both"/>
        <w:rPr/>
      </w:pPr>
      <w:r>
        <w:rPr>
          <w:rFonts w:ascii="Times New Roman;sans-serif" w:hAnsi="Times New Roman;sans-serif"/>
          <w:b/>
          <w:color w:val="000000"/>
          <w:sz w:val="22"/>
        </w:rPr>
        <w:t xml:space="preserve">(e)    Termination By Company. </w:t>
      </w:r>
      <w:r>
        <w:rPr>
          <w:rFonts w:ascii="Times New Roman;sans-serif" w:hAnsi="Times New Roman;sans-serif"/>
          <w:b w:val="false"/>
          <w:color w:val="000000"/>
          <w:sz w:val="22"/>
        </w:rPr>
        <w:t>Company may terminate Employee’s employment with or without Cause and determine the termination date. “Cause” means:</w:t>
      </w:r>
    </w:p>
    <w:p>
      <w:pPr>
        <w:pStyle w:val="TextBody"/>
        <w:bidi w:val="0"/>
        <w:spacing w:lineRule="auto" w:line="288" w:before="251" w:after="283"/>
        <w:ind w:left="0" w:right="0" w:hanging="1"/>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rPr>
        <w:t xml:space="preserve">willful misconduct, including, without limitation, violation of sexual or other harassment policy, gross negligence, misappropriation of or material misrepresentation regarding property of Company, other than customary and de minimis use of Company property for personal purposes, as determined in the discretion of Company, or failure to take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5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and appropriate action to prevent material injury to the financial condition, business or reputation of the Company;</w:t>
      </w:r>
    </w:p>
    <w:p>
      <w:pPr>
        <w:pStyle w:val="TextBody"/>
        <w:bidi w:val="0"/>
        <w:spacing w:lineRule="auto" w:line="288" w:before="251" w:after="283"/>
        <w:ind w:left="0" w:right="0" w:hanging="353"/>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rPr>
        <w:t>abandonment of duties (other than by reason of disability);</w:t>
      </w:r>
    </w:p>
    <w:p>
      <w:pPr>
        <w:pStyle w:val="TextBody"/>
        <w:bidi w:val="0"/>
        <w:spacing w:before="8" w:after="283"/>
        <w:jc w:val="left"/>
        <w:rPr/>
      </w:pPr>
      <w:r>
        <w:rPr/>
      </w:r>
    </w:p>
    <w:p>
      <w:pPr>
        <w:pStyle w:val="TextBody"/>
        <w:bidi w:val="0"/>
        <w:spacing w:lineRule="auto" w:line="276" w:before="0" w:after="0"/>
        <w:ind w:left="0" w:right="0" w:hanging="1"/>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rPr>
        <w:t>willful or intentional failure to follow lawful directives of the Company (other than a failure resulting from incapacity due to physical or mental illness), or failure to meet reasonable performance objectives following a written warning and opportunity to cure for thirty (30) days;</w:t>
      </w:r>
    </w:p>
    <w:p>
      <w:pPr>
        <w:pStyle w:val="TextBody"/>
        <w:bidi w:val="0"/>
        <w:spacing w:before="3" w:after="283"/>
        <w:jc w:val="left"/>
        <w:rPr/>
      </w:pPr>
      <w:r>
        <w:rPr/>
      </w:r>
    </w:p>
    <w:p>
      <w:pPr>
        <w:pStyle w:val="TextBody"/>
        <w:bidi w:val="0"/>
        <w:spacing w:lineRule="auto" w:line="288" w:before="0" w:after="0"/>
        <w:ind w:left="0" w:right="0" w:hanging="401"/>
        <w:jc w:val="both"/>
        <w:rPr/>
      </w:pPr>
      <w:r>
        <w:rPr>
          <w:rFonts w:ascii="Times New Roman;sans-serif" w:hAnsi="Times New Roman;sans-serif"/>
          <w:b w:val="false"/>
          <w:color w:val="000000"/>
          <w:sz w:val="24"/>
        </w:rPr>
        <w:t>(iv)    </w:t>
      </w:r>
      <w:r>
        <w:rPr>
          <w:rFonts w:ascii="Times New Roman;sans-serif" w:hAnsi="Times New Roman;sans-serif"/>
          <w:b w:val="false"/>
          <w:color w:val="000000"/>
          <w:sz w:val="22"/>
        </w:rPr>
        <w:t>a felony conviction or indictment, a plea of guilty or nolo contendere by Employee, or other conduct by Employee that has or would result in material injury to Company’s reputation, including indictment or conviction of fraud, theft, embezzlement, or a crime involving moral turpitude;</w:t>
      </w:r>
    </w:p>
    <w:p>
      <w:pPr>
        <w:pStyle w:val="TextBody"/>
        <w:bidi w:val="0"/>
        <w:spacing w:before="0" w:after="0"/>
        <w:jc w:val="left"/>
        <w:rPr/>
      </w:pPr>
      <w:r>
        <w:rPr/>
      </w:r>
    </w:p>
    <w:p>
      <w:pPr>
        <w:pStyle w:val="TextBody"/>
        <w:bidi w:val="0"/>
        <w:spacing w:lineRule="auto" w:line="288" w:before="0" w:after="0"/>
        <w:ind w:left="0" w:right="0" w:hanging="339"/>
        <w:jc w:val="left"/>
        <w:rPr/>
      </w:pPr>
      <w:r>
        <w:rPr>
          <w:rFonts w:ascii="Times New Roman;sans-serif" w:hAnsi="Times New Roman;sans-serif"/>
          <w:b w:val="false"/>
          <w:color w:val="000000"/>
          <w:sz w:val="24"/>
        </w:rPr>
        <w:t>(v)    </w:t>
      </w:r>
      <w:r>
        <w:rPr>
          <w:rFonts w:ascii="Times New Roman;sans-serif" w:hAnsi="Times New Roman;sans-serif"/>
          <w:b w:val="false"/>
          <w:color w:val="000000"/>
          <w:sz w:val="22"/>
        </w:rPr>
        <w:t>a material breach of this Agreement; or</w:t>
      </w:r>
    </w:p>
    <w:p>
      <w:pPr>
        <w:pStyle w:val="TextBody"/>
        <w:bidi w:val="0"/>
        <w:spacing w:lineRule="auto" w:line="288" w:before="247" w:after="283"/>
        <w:ind w:left="0" w:right="0" w:hanging="406"/>
        <w:jc w:val="left"/>
        <w:rPr/>
      </w:pPr>
      <w:r>
        <w:rPr>
          <w:rFonts w:ascii="Times New Roman;sans-serif" w:hAnsi="Times New Roman;sans-serif"/>
          <w:b w:val="false"/>
          <w:color w:val="000000"/>
          <w:sz w:val="24"/>
        </w:rPr>
        <w:t>(vi)    </w:t>
      </w:r>
      <w:r>
        <w:rPr>
          <w:rFonts w:ascii="Times New Roman;sans-serif" w:hAnsi="Times New Roman;sans-serif"/>
          <w:b w:val="false"/>
          <w:color w:val="000000"/>
          <w:sz w:val="22"/>
        </w:rPr>
        <w:t>a willful violation of a material provision in Company’s employment and management policies.</w:t>
      </w:r>
    </w:p>
    <w:p>
      <w:pPr>
        <w:pStyle w:val="TextBody"/>
        <w:bidi w:val="0"/>
        <w:spacing w:before="98"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8.    </w:t>
      </w:r>
      <w:r>
        <w:rPr>
          <w:rFonts w:ascii="Times New Roman;sans-serif" w:hAnsi="Times New Roman;sans-serif"/>
          <w:b/>
          <w:color w:val="000000"/>
          <w:sz w:val="22"/>
        </w:rPr>
        <w:t>COMPENSATION UPON TERMINATION</w:t>
      </w:r>
    </w:p>
    <w:p>
      <w:pPr>
        <w:pStyle w:val="TextBody"/>
        <w:bidi w:val="0"/>
        <w:spacing w:before="8" w:after="283"/>
        <w:jc w:val="left"/>
        <w:rPr/>
      </w:pPr>
      <w:r>
        <w:rPr/>
      </w:r>
    </w:p>
    <w:p>
      <w:pPr>
        <w:pStyle w:val="TextBody"/>
        <w:bidi w:val="0"/>
        <w:spacing w:lineRule="auto" w:line="276" w:before="0" w:after="0"/>
        <w:ind w:left="0" w:right="0" w:hanging="720"/>
        <w:jc w:val="both"/>
        <w:rPr/>
      </w:pPr>
      <w:r>
        <w:rPr>
          <w:rFonts w:ascii="Times New Roman;sans-serif" w:hAnsi="Times New Roman;sans-serif"/>
          <w:b/>
          <w:color w:val="000000"/>
          <w:sz w:val="22"/>
        </w:rPr>
        <w:t xml:space="preserve">(a)    Termination By Company For Cause: </w:t>
      </w:r>
      <w:r>
        <w:rPr>
          <w:rFonts w:ascii="Times New Roman;sans-serif" w:hAnsi="Times New Roman;sans-serif"/>
          <w:b w:val="false"/>
          <w:color w:val="000000"/>
          <w:sz w:val="22"/>
        </w:rPr>
        <w:t>Company shall, within 30 days, pay to Employee, Employee’s accrued and unpaid base salary through the termination date and any payments required under applicable employee benefit plans (other than plans which provide for severance or termination payments or benefits).</w:t>
      </w:r>
    </w:p>
    <w:p>
      <w:pPr>
        <w:pStyle w:val="TextBody"/>
        <w:bidi w:val="0"/>
        <w:spacing w:before="2" w:after="283"/>
        <w:jc w:val="left"/>
        <w:rPr/>
      </w:pPr>
      <w:r>
        <w:rPr/>
      </w:r>
    </w:p>
    <w:p>
      <w:pPr>
        <w:pStyle w:val="TextBody"/>
        <w:bidi w:val="0"/>
        <w:spacing w:lineRule="auto" w:line="288" w:before="0" w:after="0"/>
        <w:ind w:left="0" w:right="0" w:hanging="720"/>
        <w:jc w:val="both"/>
        <w:rPr/>
      </w:pPr>
      <w:r>
        <w:rPr>
          <w:rFonts w:ascii="Times New Roman;sans-serif" w:hAnsi="Times New Roman;sans-serif"/>
          <w:b/>
          <w:color w:val="000000"/>
          <w:sz w:val="22"/>
        </w:rPr>
        <w:t xml:space="preserve">(b)    Non-Renewal or Termination without Good Reason by Employee. </w:t>
      </w:r>
      <w:r>
        <w:rPr>
          <w:rFonts w:ascii="Times New Roman;sans-serif" w:hAnsi="Times New Roman;sans-serif"/>
          <w:b w:val="false"/>
          <w:color w:val="000000"/>
          <w:sz w:val="22"/>
        </w:rPr>
        <w:t>If Employee gives notice of non-renewal under Section 1 or gives notice of termination without Good Reason, Company shall determine the employment termination date and will pay accrued and unpaid base salary through the employment termination date, and any payments required under applicable employee benefit plans (other than plans that provide for severance or termination payments or benefits). If the employment termination date is before the end of the Notice Period (as defined herein), Employee signs and does not revoke a Severance Agreement and General Release of claims in a form reasonably satisfactory to Company (a “Release”) and subject to Employee’s compliance with the terms of this Agreement, then Company will (i) in periodic payments in accordance with ordinary payroll practices and deductions, pay Employee an amount equal to Employee’s pro-rata base salary through the end of the Notice Period, and (ii) accelerate the vesting of any time-based equity awards that would have, but for the Employee’s termination of employment, vested before the end of the Notice Period. “Notice Period” shall mean the: (i) ninety days prior to the expiration of the then- applicable Employment Period for notice of non-renewal; or (ii) ninety days prior to the last date of employment specified in his notice of termination without Good Reason.</w:t>
      </w:r>
    </w:p>
    <w:p>
      <w:pPr>
        <w:pStyle w:val="TextBody"/>
        <w:bidi w:val="0"/>
        <w:spacing w:lineRule="auto" w:line="288" w:before="250" w:after="283"/>
        <w:ind w:left="0" w:right="0" w:hanging="719"/>
        <w:jc w:val="left"/>
        <w:rPr>
          <w:rFonts w:ascii="Times New Roman;sans-serif" w:hAnsi="Times New Roman;sans-serif"/>
          <w:b/>
          <w:color w:val="000000"/>
          <w:sz w:val="22"/>
        </w:rPr>
      </w:pPr>
      <w:r>
        <w:rPr>
          <w:rFonts w:ascii="Times New Roman;sans-serif" w:hAnsi="Times New Roman;sans-serif"/>
          <w:b/>
          <w:color w:val="000000"/>
          <w:sz w:val="22"/>
        </w:rPr>
        <w:t>(c)    Termination With Severance.</w:t>
      </w:r>
    </w:p>
    <w:p>
      <w:pPr>
        <w:pStyle w:val="TextBody"/>
        <w:bidi w:val="0"/>
        <w:spacing w:lineRule="auto" w:line="288" w:before="248" w:after="283"/>
        <w:ind w:left="0" w:right="0" w:hanging="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u w:val="single"/>
        </w:rPr>
        <w:t>Termination By Company Without Cause or Termination by Employee for Good Reason -</w:t>
      </w:r>
      <w:r>
        <w:rPr>
          <w:color w:val="000000"/>
        </w:rPr>
        <w:t xml:space="preserve"> </w:t>
      </w:r>
      <w:r>
        <w:rPr>
          <w:rFonts w:ascii="Times New Roman;sans-serif" w:hAnsi="Times New Roman;sans-serif"/>
          <w:b w:val="false"/>
          <w:color w:val="000000"/>
          <w:sz w:val="22"/>
          <w:u w:val="single"/>
        </w:rPr>
        <w:t>Severance</w:t>
      </w:r>
      <w:r>
        <w:rPr>
          <w:rFonts w:ascii="Times New Roman;sans-serif" w:hAnsi="Times New Roman;sans-serif"/>
          <w:b w:val="false"/>
          <w:color w:val="000000"/>
          <w:sz w:val="22"/>
        </w:rPr>
        <w:t xml:space="preserve">: If Company terminates Employee’s employment without Cause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8"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and not by reason of death or disability or if Employee terminates for Good Reason, Company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Employee, in periodic payments in accordance with ordinary payroll practices and deductions, (i) the greater of Employee’s current base salary for twelve (12) months or the amount that would be provided by the severance guidelines that are prevailing at the time of termination based on the Employee’s location, (ii) an amount equal to Employee's target annual performance bonus; (iii) a pro rata bonus, which represents the unpaid pro-rata portion of the actual annual performance bonus (as outlined in Section 2) that Employee would otherwise be entitled to receive based on the actual level of achievement of the applicable performance objectives for the fiscal year in which Employee's termination occurs paid in a lump sum at the same time bonuses are paid to Company’s other similarly situated employees, and (iii) a lump sum cash payment, less applicable withholdings and other ordinary payroll deductions, which is equal to the applicable premium cost for twelve (12) months of continued Company group health coverage for Employee and any spouse and dependents (“Family Members”) pursuant to the Consolidated Omnibus Budget Reconciliation Act of 1986, as amended (“COBRA”), based on Employee’s elections with respect to health coverage for Employee and Employee’s Family Members in effect immediately prior to Employees termination (which amount will be based on the premium for the first month of COBRA coverage). The lump sum COBRA payment will be made on the same date that the first Severance payment is paid and will be paid regardless of whether Employee elects COBRA continuation coverage. If Employees chooses to elect COBRA, Employee must do so within 60 days of the later of: (i) the date Employee is furnished the election notice or (ii) the date Employee loses coverage, and Employee shall be solely responsible for payment of any premiums due with respect to such coverage. The payments made and benefits provided pursuant to this section are referred to as (the “Severance Payments” or “Severance Pay Period”).</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u w:val="single"/>
        </w:rPr>
        <w:t>Non-Renewal By Company – Severance</w:t>
      </w:r>
      <w:r>
        <w:rPr>
          <w:rFonts w:ascii="Times New Roman;sans-serif" w:hAnsi="Times New Roman;sans-serif"/>
          <w:b w:val="false"/>
          <w:color w:val="000000"/>
          <w:sz w:val="22"/>
        </w:rPr>
        <w:t>: If Employee’s employment ends because Company gives notice of non-renewal under Section 1, Company shall determine the termination date, even if such date is prior to the end of the Employment Period and will pay the accrued and unpaid base salary through the termination date and any payments required under applicable employee benefit plans (other than plans which provide for severance or termination payments or benefits). In addition, if Employee signs and does not revoke a Severance Agreement and General Release of claims in a form satisfactory to Company, Company will pay and provide Employee with the benefits set forth in Section 8(c)(1), above.</w:t>
      </w:r>
    </w:p>
    <w:p>
      <w:pPr>
        <w:pStyle w:val="TextBody"/>
        <w:bidi w:val="0"/>
        <w:spacing w:lineRule="auto" w:line="288" w:before="249" w:after="283"/>
        <w:ind w:left="0" w:right="0" w:hanging="719"/>
        <w:jc w:val="left"/>
        <w:rPr/>
      </w:pPr>
      <w:r>
        <w:rPr>
          <w:rFonts w:ascii="Times New Roman;sans-serif" w:hAnsi="Times New Roman;sans-serif"/>
          <w:b w:val="false"/>
          <w:color w:val="000000"/>
          <w:sz w:val="24"/>
        </w:rPr>
        <w:t>(iii)    </w:t>
      </w:r>
      <w:r>
        <w:rPr>
          <w:rFonts w:ascii="Times New Roman;sans-serif" w:hAnsi="Times New Roman;sans-serif"/>
          <w:b w:val="false"/>
          <w:color w:val="000000"/>
          <w:sz w:val="22"/>
          <w:u w:val="single"/>
        </w:rPr>
        <w:t>Re-hire During Severance Pay Period:</w:t>
      </w:r>
    </w:p>
    <w:p>
      <w:pPr>
        <w:pStyle w:val="TextBody"/>
        <w:bidi w:val="0"/>
        <w:spacing w:lineRule="auto" w:line="288" w:before="247"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Employee is rehired by Company or employed by or performing services in any capacity or business during any Severance Pay Period, the Severance Payments shall cease.</w:t>
      </w:r>
    </w:p>
    <w:p>
      <w:pPr>
        <w:pStyle w:val="TextBody"/>
        <w:bidi w:val="0"/>
        <w:spacing w:before="2" w:after="283"/>
        <w:jc w:val="left"/>
        <w:rPr/>
      </w:pPr>
      <w:r>
        <w:rPr/>
      </w:r>
    </w:p>
    <w:p>
      <w:pPr>
        <w:pStyle w:val="TextBody"/>
        <w:bidi w:val="0"/>
        <w:spacing w:lineRule="auto" w:line="288"/>
        <w:ind w:left="0" w:right="0" w:hanging="719"/>
        <w:jc w:val="left"/>
        <w:rPr>
          <w:rFonts w:ascii="Times New Roman;sans-serif" w:hAnsi="Times New Roman;sans-serif"/>
          <w:b/>
          <w:color w:val="000000"/>
          <w:sz w:val="22"/>
        </w:rPr>
      </w:pPr>
      <w:r>
        <w:rPr>
          <w:rFonts w:ascii="Times New Roman;sans-serif" w:hAnsi="Times New Roman;sans-serif"/>
          <w:b/>
          <w:color w:val="000000"/>
          <w:sz w:val="22"/>
        </w:rPr>
        <w:t>(d)    Timing of Payments After Termination of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 w:after="283"/>
        <w:jc w:val="left"/>
        <w:rPr/>
      </w:pPr>
      <w:r>
        <w:rPr/>
      </w:r>
    </w:p>
    <w:p>
      <w:pPr>
        <w:pStyle w:val="TextBody"/>
        <w:bidi w:val="0"/>
        <w:spacing w:lineRule="auto" w:line="288" w:before="1" w:after="283"/>
        <w:ind w:left="0" w:right="0" w:hanging="809"/>
        <w:jc w:val="both"/>
        <w:rPr/>
      </w:pPr>
      <w:r>
        <w:rPr>
          <w:rFonts w:ascii="Times New Roman;sans-serif" w:hAnsi="Times New Roman;sans-serif"/>
          <w:b w:val="false"/>
          <w:color w:val="000000"/>
          <w:sz w:val="24"/>
        </w:rPr>
        <w:t>(i)    </w:t>
      </w:r>
      <w:r>
        <w:rPr>
          <w:rFonts w:ascii="Times New Roman;sans-serif" w:hAnsi="Times New Roman;sans-serif"/>
          <w:b w:val="false"/>
          <w:color w:val="000000"/>
          <w:sz w:val="22"/>
          <w:u w:val="single"/>
        </w:rPr>
        <w:t>Death or Disability</w:t>
      </w:r>
      <w:r>
        <w:rPr>
          <w:rFonts w:ascii="Times New Roman;sans-serif" w:hAnsi="Times New Roman;sans-serif"/>
          <w:b w:val="false"/>
          <w:color w:val="000000"/>
          <w:sz w:val="22"/>
        </w:rPr>
        <w:t>: If Employee’s employment is terminated by reason of death or disability, then Company shall: (i) within thirty (30) days of the employment termination date, accelerate the vesting of any equity awards that would have, but for the Employee’s termination of employment, vested within twelve (12) months of the employment termination date; and (ii) issue payment to Employee (or Employee’s designee or estate if due to death) as follows:</w:t>
      </w:r>
    </w:p>
    <w:p>
      <w:pPr>
        <w:pStyle w:val="TextBody"/>
        <w:bidi w:val="0"/>
        <w:spacing w:lineRule="auto" w:line="273" w:before="0" w:after="0"/>
        <w:ind w:left="0" w:right="0" w:firstLine="720"/>
        <w:jc w:val="both"/>
        <w:rPr/>
      </w:pPr>
      <w:r>
        <w:rPr>
          <w:rFonts w:ascii="Times New Roman;sans-serif" w:hAnsi="Times New Roman;sans-serif"/>
          <w:b w:val="false"/>
          <w:color w:val="000000"/>
          <w:sz w:val="24"/>
        </w:rPr>
        <w:t>(x)    </w:t>
      </w:r>
      <w:r>
        <w:rPr>
          <w:rFonts w:ascii="Times New Roman;sans-serif" w:hAnsi="Times New Roman;sans-serif"/>
          <w:b w:val="false"/>
          <w:color w:val="000000"/>
          <w:sz w:val="22"/>
        </w:rPr>
        <w:t>Accrued but unpaid base salary shall be paid in accordance with applicable law and no later than 30 days after termination of employment;</w:t>
      </w:r>
    </w:p>
    <w:p>
      <w:pPr>
        <w:pStyle w:val="TextBody"/>
        <w:bidi w:val="0"/>
        <w:spacing w:lineRule="auto" w:line="276" w:before="4" w:after="283"/>
        <w:ind w:left="0" w:right="0" w:firstLine="720"/>
        <w:jc w:val="both"/>
        <w:rPr/>
      </w:pPr>
      <w:r>
        <w:rPr>
          <w:rFonts w:ascii="Times New Roman;sans-serif" w:hAnsi="Times New Roman;sans-serif"/>
          <w:b w:val="false"/>
          <w:color w:val="000000"/>
          <w:sz w:val="24"/>
        </w:rPr>
        <w:t>(y)    </w:t>
      </w:r>
      <w:r>
        <w:rPr>
          <w:rFonts w:ascii="Times New Roman;sans-serif" w:hAnsi="Times New Roman;sans-serif"/>
          <w:b w:val="false"/>
          <w:color w:val="000000"/>
          <w:sz w:val="22"/>
        </w:rPr>
        <w:t>Pro-rata annual bonus shall be paid out at the same time as annual bonuses for such fiscal year of the Company are paid to the Company’s other similarly situated employees; and</w:t>
      </w:r>
    </w:p>
    <w:p>
      <w:pPr>
        <w:pStyle w:val="TextBody"/>
        <w:bidi w:val="0"/>
        <w:spacing w:lineRule="auto" w:line="273" w:before="6" w:after="283"/>
        <w:ind w:left="0" w:right="0" w:firstLine="720"/>
        <w:jc w:val="both"/>
        <w:rPr/>
      </w:pPr>
      <w:r>
        <w:rPr>
          <w:rFonts w:ascii="Times New Roman;sans-serif" w:hAnsi="Times New Roman;sans-serif"/>
          <w:b w:val="false"/>
          <w:color w:val="000000"/>
          <w:sz w:val="24"/>
        </w:rPr>
        <w:t>(z)    </w:t>
      </w:r>
      <w:r>
        <w:rPr>
          <w:rFonts w:ascii="Times New Roman;sans-serif" w:hAnsi="Times New Roman;sans-serif"/>
          <w:b w:val="false"/>
          <w:color w:val="000000"/>
          <w:sz w:val="22"/>
        </w:rPr>
        <w:t>any payments required under the applicable employee benefits plans as promptly following the date of employment termination as is reasonably feasible.</w:t>
      </w:r>
    </w:p>
    <w:p>
      <w:pPr>
        <w:pStyle w:val="TextBody"/>
        <w:bidi w:val="0"/>
        <w:spacing w:before="6" w:after="283"/>
        <w:jc w:val="left"/>
        <w:rPr/>
      </w:pPr>
      <w:r>
        <w:rPr/>
      </w:r>
    </w:p>
    <w:p>
      <w:pPr>
        <w:pStyle w:val="TextBody"/>
        <w:bidi w:val="0"/>
        <w:spacing w:lineRule="auto" w:line="273" w:before="0" w:after="0"/>
        <w:ind w:left="0" w:right="0" w:hanging="809"/>
        <w:jc w:val="both"/>
        <w:rPr/>
      </w:pPr>
      <w:r>
        <w:rPr>
          <w:rFonts w:ascii="Times New Roman;sans-serif" w:hAnsi="Times New Roman;sans-serif"/>
          <w:b w:val="false"/>
          <w:color w:val="000000"/>
          <w:sz w:val="24"/>
        </w:rPr>
        <w:t>(ii)    </w:t>
      </w:r>
      <w:r>
        <w:rPr>
          <w:rFonts w:ascii="Times New Roman;sans-serif" w:hAnsi="Times New Roman;sans-serif"/>
          <w:b w:val="false"/>
          <w:color w:val="000000"/>
          <w:sz w:val="22"/>
          <w:u w:val="single"/>
        </w:rPr>
        <w:t>Timing</w:t>
      </w:r>
      <w:r>
        <w:rPr>
          <w:rFonts w:ascii="Times New Roman;sans-serif" w:hAnsi="Times New Roman;sans-serif"/>
          <w:b w:val="false"/>
          <w:color w:val="000000"/>
          <w:sz w:val="22"/>
        </w:rPr>
        <w:t>: Whenever a payment under this Agreement specifies a payment period with a reference to a number of days (e.g., “payment shall be made within thirty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 days following the termination date”), the actual date of payment within the specified period shall be within the sole discretion of the Company, and if such payment spans two taxable years, then payment will be made in the second taxable year.</w:t>
      </w:r>
    </w:p>
    <w:p>
      <w:pPr>
        <w:pStyle w:val="TextBody"/>
        <w:bidi w:val="0"/>
        <w:spacing w:before="1" w:after="283"/>
        <w:jc w:val="left"/>
        <w:rPr/>
      </w:pPr>
      <w:r>
        <w:rPr/>
      </w:r>
    </w:p>
    <w:p>
      <w:pPr>
        <w:pStyle w:val="TextBody"/>
        <w:bidi w:val="0"/>
        <w:spacing w:lineRule="auto" w:line="276" w:before="0" w:after="0"/>
        <w:ind w:left="0" w:right="0" w:hanging="812"/>
        <w:jc w:val="both"/>
        <w:rPr/>
      </w:pPr>
      <w:r>
        <w:rPr>
          <w:rFonts w:ascii="Times New Roman;sans-serif" w:hAnsi="Times New Roman;sans-serif"/>
          <w:b w:val="false"/>
          <w:color w:val="000000"/>
          <w:sz w:val="24"/>
        </w:rPr>
        <w:t>(iii)    </w:t>
      </w:r>
      <w:r>
        <w:rPr>
          <w:rFonts w:ascii="Times New Roman;sans-serif" w:hAnsi="Times New Roman;sans-serif"/>
          <w:b w:val="false"/>
          <w:color w:val="000000"/>
          <w:sz w:val="22"/>
          <w:u w:val="single"/>
        </w:rPr>
        <w:t>Offset or Reduction</w:t>
      </w:r>
      <w:r>
        <w:rPr>
          <w:rFonts w:ascii="Times New Roman;sans-serif" w:hAnsi="Times New Roman;sans-serif"/>
          <w:b w:val="false"/>
          <w:color w:val="000000"/>
          <w:sz w:val="22"/>
        </w:rPr>
        <w:t>: There shall be no offset or reduction against any payments, compensation or benefits under this Agreement if such offset or reduction would result in the imposition of additional taxes, interest or penalties under Section 409A on any payment, benefit or entitlement payable to Employee.</w:t>
      </w:r>
    </w:p>
    <w:p>
      <w:pPr>
        <w:pStyle w:val="TextBody"/>
        <w:bidi w:val="0"/>
        <w:spacing w:before="4"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9.    </w:t>
      </w:r>
      <w:r>
        <w:rPr>
          <w:rFonts w:ascii="Times New Roman;sans-serif" w:hAnsi="Times New Roman;sans-serif"/>
          <w:b/>
          <w:color w:val="000000"/>
          <w:sz w:val="22"/>
        </w:rPr>
        <w:t>OWNERSHIP OF MATERIALS</w:t>
      </w:r>
    </w:p>
    <w:p>
      <w:pPr>
        <w:pStyle w:val="TextBody"/>
        <w:bidi w:val="0"/>
        <w:spacing w:before="6"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Employee agrees that all inventions, improvements, discoveries, designs, technology, and works of authorship (including but not limited to computer software) made, created, conceived, or reduced to practice by Employee, whether alone or in cooperation with others, during employment, that, in any way, relate to Company’s business or use Company Confidential Information, together with all patent, trademark, copyright, trade secret, and other intellectual property rights related to any of the foregoing throughout the world, are among other things works made for hire and belong exclusively to the Company, and Employee hereby assigns all such rights to the Company. Employee agrees to execute any documents, testify in any legal proceedings, and do all things necessary or desirable to secure Company’s rights to the foregoing, including without limitation executing inventors’ declarations and assignment forms. If there is a separate signed agreement between Employee and the Company including terms directly related to intellectual property rights, then the intellectual property terms of that agreement shall control.</w:t>
      </w:r>
    </w:p>
    <w:p>
      <w:pPr>
        <w:pStyle w:val="TextBody"/>
        <w:bidi w:val="0"/>
        <w:spacing w:before="12"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4"/>
        </w:rPr>
        <w:t>10.    </w:t>
      </w:r>
      <w:r>
        <w:rPr>
          <w:rFonts w:ascii="Times New Roman;sans-serif" w:hAnsi="Times New Roman;sans-serif"/>
          <w:b/>
          <w:color w:val="000000"/>
          <w:sz w:val="22"/>
        </w:rPr>
        <w:t>PARTIES BENEFITED; ASSIGNMENTS</w:t>
      </w:r>
    </w:p>
    <w:p>
      <w:pPr>
        <w:pStyle w:val="TextBody"/>
        <w:bidi w:val="0"/>
        <w:spacing w:before="5"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be binding upon Employee, Employee’s heirs and Employee’s personal representative or representatives, and upon Company and its respective successors and assigns. Neither this Agreement nor any rights or obligations hereunder may be assigned by Employee, other than by will or by the laws of descent and distribution. The Company may assign its rights and obligation under this Agreement to any entity, including any successor to all or substantially all the assets of the Company, by merger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52" w:after="283"/>
        <w:ind w:left="0" w:right="0" w:hanging="719"/>
        <w:jc w:val="left"/>
        <w:rPr/>
      </w:pPr>
      <w:r>
        <w:rPr>
          <w:rFonts w:ascii="Times New Roman;sans-serif" w:hAnsi="Times New Roman;sans-serif"/>
          <w:b/>
          <w:color w:val="000000"/>
          <w:sz w:val="24"/>
        </w:rPr>
        <w:t>11.    </w:t>
      </w:r>
      <w:r>
        <w:rPr>
          <w:rFonts w:ascii="Times New Roman;sans-serif" w:hAnsi="Times New Roman;sans-serif"/>
          <w:b/>
          <w:color w:val="000000"/>
          <w:sz w:val="22"/>
        </w:rPr>
        <w:t>GOVERNING LAW</w:t>
      </w:r>
    </w:p>
    <w:p>
      <w:pPr>
        <w:pStyle w:val="TextBody"/>
        <w:bidi w:val="0"/>
        <w:spacing w:before="5" w:after="283"/>
        <w:jc w:val="left"/>
        <w:rPr/>
      </w:pPr>
      <w:r>
        <w:rPr/>
      </w:r>
    </w:p>
    <w:p>
      <w:pPr>
        <w:pStyle w:val="TextBody"/>
        <w:bidi w:val="0"/>
        <w:spacing w:lineRule="auto" w:line="288" w:before="0" w:after="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be governed, construed, interpreted, and enforced in accordance with the substantive laws of the State of California, without reference to the principles of conflicts of law of California or any other jurisdiction, and where applicable, the laws of the United States. Each of the Company and Employee (on behalf of itself and its affiliates) expressly consents to the personal jurisdiction of the California state and federal courts for any lawsuit relating to this Agreement, waives any other requirement (whether imposed by statute, rule of court, or otherwise) with respect to such personal jurisdiction or service of process, and waives any objection to jurisdiction based on improper venue or improper jurisdiction.</w:t>
      </w:r>
    </w:p>
    <w:p>
      <w:pPr>
        <w:pStyle w:val="TextBody"/>
        <w:bidi w:val="0"/>
        <w:spacing w:before="1" w:after="283"/>
        <w:jc w:val="left"/>
        <w:rPr/>
      </w:pPr>
      <w:r>
        <w:rPr/>
      </w:r>
    </w:p>
    <w:p>
      <w:pPr>
        <w:pStyle w:val="TextBody"/>
        <w:bidi w:val="0"/>
        <w:spacing w:lineRule="auto" w:line="288" w:before="0" w:after="0"/>
        <w:ind w:left="0" w:right="0" w:firstLine="722"/>
        <w:jc w:val="both"/>
        <w:rPr>
          <w:rFonts w:ascii="Times New Roman;sans-serif" w:hAnsi="Times New Roman;sans-serif"/>
          <w:b w:val="false"/>
          <w:color w:val="000000"/>
          <w:sz w:val="22"/>
        </w:rPr>
      </w:pPr>
      <w:r>
        <w:rPr>
          <w:rFonts w:ascii="Times New Roman;sans-serif" w:hAnsi="Times New Roman;sans-serif"/>
          <w:b w:val="false"/>
          <w:color w:val="000000"/>
          <w:sz w:val="22"/>
        </w:rPr>
        <w:t>Each party hereto hereby waives, to the fullest extent permitted by applicable law, any right it may have to a trial by jury 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 (ii) acknowledges that it and the other party hereto have been induced to enter into this Agreement by, among other things, the mutual waiver and certifications in this Section.</w:t>
      </w:r>
    </w:p>
    <w:p>
      <w:pPr>
        <w:pStyle w:val="TextBody"/>
        <w:bidi w:val="0"/>
        <w:spacing w:lineRule="auto" w:line="288" w:before="25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Employee acknowledges that it is advisable to be represented by counsel in connection with Employee’s review and agreement to all terms and conditions of this Agreement.</w:t>
      </w:r>
    </w:p>
    <w:p>
      <w:pPr>
        <w:pStyle w:val="TextBody"/>
        <w:bidi w:val="0"/>
        <w:spacing w:before="8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Employee acknowledges and agrees that entering into this Agreement is not a condition of Employee’s employment with the Company or its affiliates.</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12.    </w:t>
      </w:r>
      <w:r>
        <w:rPr>
          <w:rFonts w:ascii="Times New Roman;sans-serif" w:hAnsi="Times New Roman;sans-serif"/>
          <w:b/>
          <w:color w:val="000000"/>
          <w:sz w:val="22"/>
        </w:rPr>
        <w:t>DEFINITION OF COMPANY</w:t>
      </w:r>
    </w:p>
    <w:p>
      <w:pPr>
        <w:pStyle w:val="TextBody"/>
        <w:bidi w:val="0"/>
        <w:spacing w:before="6" w:after="283"/>
        <w:jc w:val="left"/>
        <w:rPr/>
      </w:pPr>
      <w:r>
        <w:rPr/>
      </w:r>
    </w:p>
    <w:p>
      <w:pPr>
        <w:pStyle w:val="TextBody"/>
        <w:bidi w:val="0"/>
        <w:spacing w:lineRule="auto" w:line="288" w:before="0" w:after="0"/>
        <w:ind w:left="0" w:right="0" w:firstLine="719"/>
        <w:jc w:val="both"/>
        <w:rPr>
          <w:color w:val="000000"/>
        </w:rPr>
      </w:pPr>
      <w:r>
        <w:rPr>
          <w:color w:val="000000"/>
        </w:rPr>
        <w:t>“</w:t>
      </w:r>
      <w:r>
        <w:rPr>
          <w:rFonts w:ascii="Times New Roman;sans-serif" w:hAnsi="Times New Roman;sans-serif"/>
          <w:b w:val="false"/>
          <w:color w:val="000000"/>
          <w:sz w:val="22"/>
        </w:rPr>
        <w:t>Company” shall include Rackspace US, Inc., and its past, present and future divisions, operating companies, subsidiaries, affiliates and successors.</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13.    </w:t>
      </w:r>
      <w:r>
        <w:rPr>
          <w:rFonts w:ascii="Times New Roman;sans-serif" w:hAnsi="Times New Roman;sans-serif"/>
          <w:b/>
          <w:color w:val="000000"/>
          <w:sz w:val="22"/>
        </w:rPr>
        <w:t>LITIGATION AND REGULATORY COOPERATION</w:t>
      </w:r>
    </w:p>
    <w:p>
      <w:pPr>
        <w:pStyle w:val="TextBody"/>
        <w:bidi w:val="0"/>
        <w:spacing w:before="5"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and after employment, Employee shall reasonably cooperate in the defense or prosecution of claims, investigations, or other actions which relate to events or occurrences during employment. Employee agrees, unless precluded by law, to promptly inform the Company if Employee is asked to participate (or otherwise become involved) in any such claim, investigation or action. Employee’s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pStyle w:val="TextBody"/>
        <w:bidi w:val="0"/>
        <w:spacing w:before="1"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14.    </w:t>
      </w:r>
      <w:r>
        <w:rPr>
          <w:rFonts w:ascii="Times New Roman;sans-serif" w:hAnsi="Times New Roman;sans-serif"/>
          <w:b/>
          <w:color w:val="000000"/>
          <w:sz w:val="22"/>
        </w:rPr>
        <w:t>DISPUTE RESOLUTION</w:t>
      </w:r>
    </w:p>
    <w:p>
      <w:pPr>
        <w:pStyle w:val="TextBody"/>
        <w:bidi w:val="0"/>
        <w:spacing w:before="6" w:after="283"/>
        <w:jc w:val="left"/>
        <w:rPr/>
      </w:pPr>
      <w:r>
        <w:rPr/>
      </w:r>
    </w:p>
    <w:p>
      <w:pPr>
        <w:pStyle w:val="TextBody"/>
        <w:bidi w:val="0"/>
        <w:spacing w:lineRule="auto" w:line="288"/>
        <w:ind w:left="0" w:right="0" w:hanging="719"/>
        <w:jc w:val="both"/>
        <w:rPr/>
      </w:pPr>
      <w:r>
        <w:rPr>
          <w:rFonts w:ascii="Times New Roman;sans-serif" w:hAnsi="Times New Roman;sans-serif"/>
          <w:b/>
          <w:color w:val="000000"/>
          <w:sz w:val="22"/>
        </w:rPr>
        <w:t xml:space="preserve">(a)    Injunctive Relief: </w:t>
      </w:r>
      <w:r>
        <w:rPr>
          <w:rFonts w:ascii="Times New Roman;sans-serif" w:hAnsi="Times New Roman;sans-serif"/>
          <w:b w:val="false"/>
          <w:color w:val="000000"/>
          <w:sz w:val="22"/>
        </w:rPr>
        <w:t xml:space="preserve">Employee agrees that irreparable damages to Company will result from Employee's breach of this Agreement, including loss of revenue, loss of goodwill associated with Employee as a result of employment, and/or loss of the benefit to Company of any training, confidential, and/or trade secret information provided to Employee, and any other tangible and intangible investments made to and on behalf of Employee. A breach or threat of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breach of this Agreement shall give the non-breaching party the right to seek a temporary restraining order and a preliminary or permanent injunction enjoining the breaching party from violating this Agreement in order to prevent immediate and irreparable harm. The breaching party shall pay to the non-breaching party reasonable attorneys’ fees and costs associated with enforcement of this Agreement, including any appeals. Pursuit of equitable relief under this Agreement shall have no effect regarding the continued enforceability of the Arbitration Section below. Remedies for breach under this Section are cumulative and not exclusive; the parties may elect to pursue any remedies available under this Agreement.</w:t>
      </w:r>
    </w:p>
    <w:p>
      <w:pPr>
        <w:pStyle w:val="TextBody"/>
        <w:bidi w:val="0"/>
        <w:spacing w:lineRule="auto" w:line="288" w:before="248" w:after="283"/>
        <w:ind w:left="0" w:right="0" w:hanging="720"/>
        <w:jc w:val="both"/>
        <w:rPr/>
      </w:pPr>
      <w:r>
        <w:rPr>
          <w:rFonts w:ascii="Times New Roman;sans-serif" w:hAnsi="Times New Roman;sans-serif"/>
          <w:b/>
          <w:color w:val="000000"/>
          <w:sz w:val="22"/>
        </w:rPr>
        <w:t xml:space="preserve">(b)    Arbitration: </w:t>
      </w:r>
      <w:r>
        <w:rPr>
          <w:rFonts w:ascii="Times New Roman;sans-serif" w:hAnsi="Times New Roman;sans-serif"/>
          <w:b w:val="false"/>
          <w:color w:val="000000"/>
          <w:sz w:val="22"/>
        </w:rPr>
        <w:t xml:space="preserve">The parties agree that any dispute or claim, that could be brought in court including discrimination or retaliation claims, relating to this Agreement or arising out of Employee's employment or termination of employment, shall, upon timely written request of either party, be submitted to binding arbitration, except claims regarding: (i) workers’ compensation benefits; (ii) unemployment benefits; (iii) Company’s employee welfare benefit plans, if the plan contains a final and binding appeal procedure for the resolution of disputes under the plan; (iv) wage and hour disputes within the jurisdiction of any state Labor Commissioner; and (v) issues that could be brought before the National Labor Relations Board or covered by the National Labor Relations Act. The arbitration shall be conducted in California. The arbitration shall proceed in accordance with the </w:t>
      </w:r>
      <w:r>
        <w:rPr>
          <w:rFonts w:ascii="Times New Roman;sans-serif" w:hAnsi="Times New Roman;sans-serif"/>
          <w:b w:val="false"/>
          <w:i/>
          <w:color w:val="000000"/>
          <w:sz w:val="22"/>
        </w:rPr>
        <w:t xml:space="preserve">National Rules for Resolution of Employment Disputes of the American Arbitration Association </w:t>
      </w:r>
      <w:r>
        <w:rPr>
          <w:rFonts w:ascii="Times New Roman;sans-serif" w:hAnsi="Times New Roman;sans-serif"/>
          <w:b w:val="false"/>
          <w:color w:val="000000"/>
          <w:sz w:val="22"/>
        </w:rPr>
        <w:t>(“AAA”) in effect at the time the claim or dispute arose, unless other rules are agreed upon by the parties. Unless agreed to in writing, the arbitration shall be conducted by one arbitrator from AAA or a comparable arbitration service, and who is selected pursuant to the National Rules for Resolution of Employment Disputes of the AAA, or other rules as the parties may agree to in writing. Any claims received after the applicable statute of limitations period shall be deemed null and void. The parties further agree that by entering into this Agreement, the right to participate in a class or collective action is waived. CLAIMS MAY BE ASSERTED AGAINST THE OTHER PARTY ONLY IN AN INDIVIDUAL CAPACITY AND NOT AS A PLAINTIFF OR CLASS MEMBER IN ANY PURPORTED CLASS OR REPRESENTATIVE PROCEEDING. Further,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unless the parties agree otherwise, the arbitrator may not consolidate more than one person's claims, and may not otherwise preside over any form of a representative, collective or class proceeding. If this specific provision is found to be unenforceable, then the entirety of this arbitration provision shall be null and void. The arbitrator shall issue a reasoned award with findings of fact and conclusions of law. Either party may bring an action in any court of competent jurisdiction to compel arbitration under this Agreement, or to enforce or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unless state law requires otherwise. Company will pay the actual fee for the arbitrator and the claimant’s filing fee; unless otherwise provided by law and awarded by the arbitrator, each party will pay their own attorneys’ fees and other expenses.</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15.    </w:t>
      </w:r>
      <w:r>
        <w:rPr>
          <w:rFonts w:ascii="Times New Roman;sans-serif" w:hAnsi="Times New Roman;sans-serif"/>
          <w:b/>
          <w:color w:val="000000"/>
          <w:sz w:val="22"/>
        </w:rPr>
        <w:t>REPRESENTATIONS AND WARRANTIES OF EMPLOYEE</w:t>
      </w:r>
    </w:p>
    <w:p>
      <w:pPr>
        <w:pStyle w:val="TextBody"/>
        <w:bidi w:val="0"/>
        <w:spacing w:before="75" w:after="283"/>
        <w:jc w:val="left"/>
        <w:rPr/>
      </w:pPr>
      <w:r>
        <w:rPr/>
      </w:r>
    </w:p>
    <w:p>
      <w:pPr>
        <w:pStyle w:val="TextBody"/>
        <w:bidi w:val="0"/>
        <w:spacing w:lineRule="auto" w:line="288"/>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Employee shall keep all terms of this Agreement confidential, except as may be disclosed to Employee’s spouse, accountants or attorneys, each of whom shall agree to keep all terms of this Agreement confidential. Employee represents that Employee is under no contractual or other restriction inconsistent with the execution of this Agreement, the performance of Employee’s duties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hereunder, or the rights of Company. Employee authorizes the Company to inform any prospective employer of the existence and terms of this Agreement without liability for interference with Employee’s prospective employment. Employee represents that Employee is under no disability that prevents Employee from performing the essential functions of Employee’s position, with or without reasonable accommodation.</w:t>
      </w:r>
    </w:p>
    <w:p>
      <w:pPr>
        <w:pStyle w:val="TextBody"/>
        <w:bidi w:val="0"/>
        <w:spacing w:before="80"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4"/>
        </w:rPr>
        <w:t>16.    </w:t>
      </w:r>
      <w:r>
        <w:rPr>
          <w:rFonts w:ascii="Times New Roman;sans-serif" w:hAnsi="Times New Roman;sans-serif"/>
          <w:b/>
          <w:color w:val="000000"/>
          <w:sz w:val="22"/>
        </w:rPr>
        <w:t>SECTION 409A COMPLIANCE</w:t>
      </w:r>
    </w:p>
    <w:p>
      <w:pPr>
        <w:pStyle w:val="TextBody"/>
        <w:bidi w:val="0"/>
        <w:spacing w:lineRule="auto" w:line="288" w:before="247" w:after="283"/>
        <w:ind w:left="0" w:right="0" w:hanging="719"/>
        <w:jc w:val="both"/>
        <w:rPr/>
      </w:pPr>
      <w:r>
        <w:rPr>
          <w:rFonts w:ascii="Times New Roman;sans-serif" w:hAnsi="Times New Roman;sans-serif"/>
          <w:b/>
          <w:color w:val="000000"/>
          <w:sz w:val="22"/>
        </w:rPr>
        <w:t>(a)    General</w:t>
      </w:r>
      <w:r>
        <w:rPr>
          <w:rFonts w:ascii="Times New Roman;sans-serif" w:hAnsi="Times New Roman;sans-serif"/>
          <w:b w:val="false"/>
          <w:color w:val="000000"/>
          <w:sz w:val="22"/>
        </w:rPr>
        <w:t>. The parties hereto acknowledge and agree that, to the extent applicable, this Agreement shall be interpreted in accordance with, and incorporate the terms and conditions required by, Section 409A of the Internal Revenue Code of 1986, as amended (the “Code”)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the Company determines that any amounts payable hereunder will be taxable currently to the Employee under Section 409A(a)(1)(A) of the Code and related Department of Treasury guidance, the Company and the Employee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provided, however, that this Section does not create an obligation on the part of the Company to modify this Agreement or any other agreement, arrangement or plan and does not guarantee that the amounts payable hereunder will not be subject to interest or penalties under Section 409A, and in no event whatsoever shall the Company or any of its affiliates be liable for any additional tax, interest, or penalties that may be imposed on Employee as a result of Section 409A of the Code or any damages for failing to comply with Section 409A of the Code.</w:t>
      </w:r>
    </w:p>
    <w:p>
      <w:pPr>
        <w:pStyle w:val="TextBody"/>
        <w:bidi w:val="0"/>
        <w:spacing w:before="0" w:after="0"/>
        <w:jc w:val="left"/>
        <w:rPr/>
      </w:pPr>
      <w:r>
        <w:rPr/>
      </w:r>
    </w:p>
    <w:p>
      <w:pPr>
        <w:pStyle w:val="TextBody"/>
        <w:bidi w:val="0"/>
        <w:spacing w:lineRule="auto" w:line="288" w:before="1" w:after="283"/>
        <w:ind w:left="0" w:right="0" w:hanging="718"/>
        <w:jc w:val="both"/>
        <w:rPr/>
      </w:pPr>
      <w:r>
        <w:rPr>
          <w:rFonts w:ascii="Times New Roman;sans-serif" w:hAnsi="Times New Roman;sans-serif"/>
          <w:b/>
          <w:color w:val="000000"/>
          <w:sz w:val="22"/>
        </w:rPr>
        <w:t>(b)    Separation from Service under Section 409A</w:t>
      </w:r>
      <w:r>
        <w:rPr>
          <w:rFonts w:ascii="Times New Roman;sans-serif" w:hAnsi="Times New Roman;sans-serif"/>
          <w:b w:val="false"/>
          <w:color w:val="000000"/>
          <w:sz w:val="22"/>
        </w:rPr>
        <w:t xml:space="preserve">. Notwithstanding any provision to the contrary in this Agreement: (i) no Severance Payments shall be payable unless the termination of the Employee’s employment constitutes a “separation from service” within the meaning of Section 1.409A-1(h) of the Department of Treasury Regulations; (ii) if the Employee is deemed at the time of Employee’s separation from service to be a “specified employee” for purposes of Section 409A(a)(2)(B)(i) of the Code, to the extent that delayed commencement of any portion of the Severance Payments (after taking into account all exclusions applicable to such Severance Payment under Section 409A) is required in order to avoid a prohibited distribution under Section 409A(a)(2)(B)(i) of the Code, such portion of the Severance Payments shall not be provided to the Employee prior to the earlier of (A) the expiration of the six-month period measured from the date of the Employee’s “separation from service” with the Company (as such term is defined in the Department of Treasury Regulations issued under Section 409A) and (B) the date of the Employee’s death; provided, that upon the earlier of such dates, all payments deferred pursuant to this Section 18(b) shall be paid to the Employee in a lump sum, and any remaining Severance Payments shall be paid as otherwise provided herein; (iii) the determination of whether the Employee is a “specified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employee” for purposes of Section 409A(a)(2)(B)(i) of the Code as of the time of Employee’s separation from service shall be made by the Company in accordance with the terms of Section 409A of the Code and applicable guidance thereunder (including, without limitation, Section 1.409A-1(i) of the Department of Treasury Regulations and any successor provision thereto); (iv) for purposes of Section 409A of the Code, the Employee’s right to receive installment payments of the Severance Payments shall be treated as a right to receive a series of separate and distinct payments; and (v)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Reimbursements and in-kind benefits are not subject to liquidation or exchange for another benefit.</w:t>
      </w:r>
    </w:p>
    <w:p>
      <w:pPr>
        <w:pStyle w:val="TextBody"/>
        <w:bidi w:val="0"/>
        <w:spacing w:lineRule="auto" w:line="288" w:before="247" w:after="283"/>
        <w:ind w:left="0" w:right="0" w:hanging="719"/>
        <w:jc w:val="left"/>
        <w:rPr/>
      </w:pPr>
      <w:r>
        <w:rPr>
          <w:rFonts w:ascii="Times New Roman;sans-serif" w:hAnsi="Times New Roman;sans-serif"/>
          <w:b/>
          <w:color w:val="000000"/>
          <w:sz w:val="24"/>
        </w:rPr>
        <w:t>17.    </w:t>
      </w:r>
      <w:r>
        <w:rPr>
          <w:rFonts w:ascii="Times New Roman;sans-serif" w:hAnsi="Times New Roman;sans-serif"/>
          <w:b/>
          <w:color w:val="000000"/>
          <w:sz w:val="22"/>
        </w:rPr>
        <w:t>WITHHOLDING</w:t>
      </w:r>
    </w:p>
    <w:p>
      <w:pPr>
        <w:pStyle w:val="TextBody"/>
        <w:bidi w:val="0"/>
        <w:spacing w:before="5" w:after="283"/>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pStyle w:val="TextBody"/>
        <w:bidi w:val="0"/>
        <w:spacing w:before="3"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18.    </w:t>
      </w:r>
      <w:r>
        <w:rPr>
          <w:rFonts w:ascii="Times New Roman;sans-serif" w:hAnsi="Times New Roman;sans-serif"/>
          <w:b/>
          <w:color w:val="000000"/>
          <w:sz w:val="22"/>
        </w:rPr>
        <w:t>EXCESS PARACHUTE PAYMENTS</w:t>
      </w:r>
    </w:p>
    <w:p>
      <w:pPr>
        <w:pStyle w:val="TextBody"/>
        <w:bidi w:val="0"/>
        <w:spacing w:before="6" w:after="283"/>
        <w:jc w:val="left"/>
        <w:rPr/>
      </w:pPr>
      <w:r>
        <w:rPr/>
      </w:r>
    </w:p>
    <w:p>
      <w:pPr>
        <w:pStyle w:val="TextBody"/>
        <w:bidi w:val="0"/>
        <w:spacing w:lineRule="auto" w:line="288"/>
        <w:ind w:left="0" w:right="0" w:firstLine="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it is determined (as hereafter provided) that any payment or distribution by the Company to or for the benefit of Employee,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any successor provision thereto) by reason of being contingent on a change in ownership or effective control of the Company or of a substantial portion of the assets of the Company, within the meaning of Section 280G of the Code (or any successor provision thereto), or to any similar tax imposed by state or local law, or any interest or penalties with respect to such excise tax (such tax or taxes, together with any such interest or penalties, are hereafter collectively referred to as the “Excise Tax”), then, in the event that the after-tax value of all Payments to Employee (such after-tax value to reflect the reduction for the Excise Tax and all federal, state, and local income, employment, and other taxes on such Payments) would, in the aggregate, be less than the after-tax value to Employee (reflecting a reduction for all such taxes in a like manner) of the amount that is 2.99 times Employee’s “base amount” within the meaning of Section 280G(b)(3) of the Code (the “Safe Harbor Amount”), (a) the cash portions of the Payments payable to Employee under this Agreement shall be reduced, in the reverse order in which they are due to be paid commencing with the latest such payment, until the Parachute Value (as defined below) of all Payments paid to Employee, in the aggregate, equals the Safe Harbor Amount, and (b) if the reduction of the cash portions of the Payments, payable under this Agreement, to zero would not be sufficient to reduce the Parachute Value of all Payments to the Safe Harbor Amount, then any cash portions of the Payments payable to Employee under any other agreements, policies, plans, programs, or arrangements shall be reduced, in the reverse order in which they are due to be paid commencing with the latest such payment, until the Parachute Value of all Payments paid to Employee, in the aggregate, equals the Safe Harbor Amount,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(c) if the reduction of all cash portions of the Payments, payable pursuant to this Agreement or otherwise, to zero would not be sufficient to reduce the Parachute Value of all Payments to the Safe Harbor Amount, then non- cash portions of the Payments shall be reduced, in the reverse order in which they are due to be paid commencing with the latest such payment, until the Parachute Value of all Payments paid to Employee, in the aggregate, equals the Safe Harbor Amount. All calculations under this Section shall be determined by a national accounting firm selected by the Company (which may include the Company’s outside auditors). The Company shall pay all costs to obtain and provide such calculations to Employee and the Company. For purposes of this Agreement, the “Parachute Value” of a Payment shall mean the present value as of the date of the change in ownership or effective control, within the meaning of Section 280G of the Code, of the portion of such Payment that constitutes a “parachute payment” under Section 280G(b)(2) of the Code, as determined for purposes of determining whether and to what extent the Excise Tax will apply to such Payment.</w:t>
      </w:r>
    </w:p>
    <w:p>
      <w:pPr>
        <w:pStyle w:val="TextBody"/>
        <w:bidi w:val="0"/>
        <w:spacing w:lineRule="auto" w:line="288" w:before="252" w:after="283"/>
        <w:ind w:left="0" w:right="0" w:hanging="719"/>
        <w:jc w:val="left"/>
        <w:rPr/>
      </w:pPr>
      <w:r>
        <w:rPr>
          <w:rFonts w:ascii="Times New Roman;sans-serif" w:hAnsi="Times New Roman;sans-serif"/>
          <w:b/>
          <w:color w:val="000000"/>
          <w:sz w:val="24"/>
        </w:rPr>
        <w:t>19.    </w:t>
      </w:r>
      <w:r>
        <w:rPr>
          <w:rFonts w:ascii="Times New Roman;sans-serif" w:hAnsi="Times New Roman;sans-serif"/>
          <w:b/>
          <w:color w:val="000000"/>
          <w:sz w:val="22"/>
        </w:rPr>
        <w:t>MISCELLANEOUS</w:t>
      </w:r>
    </w:p>
    <w:p>
      <w:pPr>
        <w:pStyle w:val="TextBody"/>
        <w:bidi w:val="0"/>
        <w:spacing w:before="5"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is not effective unless fully executed by all parties, including the CEO or authorized officer of the Company, and approved by the Executive Committee as required by Company or its affiliates. This Agreement may not be modified, amended, or terminated except by an instrument in writing signed by Employee and the CEO or authorized officer of the Company that expressly identifies the amended provision of this Agreement. This Agreement contains the entire agreement of the parties on the subject matters in this agreement and supersedes any prior written or oral agreements or understandings between the parties except as noted in Section 10 above. No modification shall be valid unless in writing and signed by the parties. This Agreement may be executed in counterparts, a counterpart transmitted via electronic means, and all executed counterparts, when taken together, shall constitute sufficient proof of the parties’ entry into this Agreement. The parties agree to execute any further or future documents which may be necessary to allow the full performance of this Agreement. The failure of a party to require performance of any provision of this Agreement shall not affect the right of such party to later enforce any provision. A waiver of the breach of any term or condition of this Agreement shall not be deemed a waiver of any subsequent breach of the same or any other term or condition. The headings in this Agreement are inserted for convenience of reference only and shall not control the meaning of any provision hereof.</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for ay provision of this Agreement shall, for any reason, be held unenforceable, such unenforceability shall not affect the remaining provisions hereof, except as specifically noted in this Agreement, or the application of such provisions to other persons or circumstances, all of which shall be enforced to the greatest extent permitted by law. Company and Employee agree that the restrictions contained in Section 4, 5, and 6, are reasonable in scope and duration and are necessary to protect Confidential Information. If any restrictive covenant is held to be unenforceable because of the scope, duration or geographic area of such restrictive covenant, the parties agree that a court or arbitrator may reduce the scope, duration, or geographic area, and in its reduced form, such provision shall be enforceable. Should Employee violate the provisions of Sections 5 or 6, then in addition to all other remedies available to Company, the duration of these covenants shall be extended for the period of time when Employee began such violation until Employee permanently ceases such violation.</w:t>
      </w:r>
    </w:p>
    <w:p>
      <w:pPr>
        <w:pStyle w:val="TextBody"/>
        <w:bidi w:val="0"/>
        <w:spacing w:lineRule="auto" w:line="288" w:before="25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51"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Rackspace will pay Employee $10,000.00, less applicable withholdings and other ordinary payroll deductions, for attorneys’ fees incurred in connection with this Agreement (the “Attorneys’ Fees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Upon full execution by all parties, this Agreement shall be effective on the later date of the two signature dates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EMPLOYEE:</w:t>
      </w:r>
    </w:p>
    <w:p>
      <w:pPr>
        <w:pStyle w:val="TextBody"/>
        <w:bidi w:val="0"/>
        <w:spacing w:before="0" w:after="0"/>
        <w:jc w:val="left"/>
        <w:rPr/>
      </w:pPr>
      <w:r>
        <w:rPr/>
      </w:r>
    </w:p>
    <w:p>
      <w:pPr>
        <w:pStyle w:val="TextBody"/>
        <w:bidi w:val="0"/>
        <w:spacing w:before="0" w:after="0"/>
        <w:jc w:val="left"/>
        <w:rPr/>
      </w:pPr>
      <w:r>
        <w:rPr/>
      </w:r>
    </w:p>
    <w:tbl>
      <w:tblPr>
        <w:tblW w:w="4888" w:type="dxa"/>
        <w:jc w:val="left"/>
        <w:tblInd w:w="0" w:type="dxa"/>
        <w:tblLayout w:type="fixed"/>
        <w:tblCellMar>
          <w:top w:w="28" w:type="dxa"/>
          <w:left w:w="28" w:type="dxa"/>
          <w:bottom w:w="28" w:type="dxa"/>
          <w:right w:w="28" w:type="dxa"/>
        </w:tblCellMar>
      </w:tblPr>
      <w:tblGrid>
        <w:gridCol w:w="1049"/>
        <w:gridCol w:w="919"/>
        <w:gridCol w:w="927"/>
        <w:gridCol w:w="204"/>
        <w:gridCol w:w="204"/>
        <w:gridCol w:w="206"/>
        <w:gridCol w:w="402"/>
        <w:gridCol w:w="402"/>
        <w:gridCol w:w="575"/>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Dharmendra Kumar Sinha</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 July 2022</w:t>
            </w:r>
          </w:p>
        </w:tc>
      </w:tr>
      <w:tr>
        <w:trPr/>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bidi w:val="0"/>
        <w:spacing w:before="0" w:after="0"/>
        <w:jc w:val="left"/>
        <w:rPr/>
      </w:pPr>
      <w:r>
        <w:rPr/>
      </w:r>
    </w:p>
    <w:p>
      <w:pPr>
        <w:pStyle w:val="TextBody"/>
        <w:bidi w:val="0"/>
        <w:spacing w:before="0" w:after="0"/>
        <w:jc w:val="left"/>
        <w:rPr/>
      </w:pPr>
      <w:r>
        <w:rPr/>
      </w:r>
    </w:p>
    <w:tbl>
      <w:tblPr>
        <w:tblW w:w="6012" w:type="dxa"/>
        <w:jc w:val="left"/>
        <w:tblInd w:w="0" w:type="dxa"/>
        <w:tblLayout w:type="fixed"/>
        <w:tblCellMar>
          <w:top w:w="28" w:type="dxa"/>
          <w:left w:w="28" w:type="dxa"/>
          <w:bottom w:w="28" w:type="dxa"/>
          <w:right w:w="28" w:type="dxa"/>
        </w:tblCellMar>
      </w:tblPr>
      <w:tblGrid>
        <w:gridCol w:w="1457"/>
        <w:gridCol w:w="1277"/>
        <w:gridCol w:w="1285"/>
        <w:gridCol w:w="204"/>
        <w:gridCol w:w="204"/>
        <w:gridCol w:w="206"/>
        <w:gridCol w:w="402"/>
        <w:gridCol w:w="402"/>
        <w:gridCol w:w="575"/>
      </w:tblGrid>
      <w:tr>
        <w:trPr/>
        <w:tc>
          <w:tcPr>
            <w:tcW w:w="145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Holly Windham</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 July 2022</w:t>
            </w:r>
          </w:p>
        </w:tc>
      </w:tr>
      <w:tr>
        <w:trPr/>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Holly Windham</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Rackspace US, Inc.</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Its: EVP, Chief Legal and People Officer</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Amar Maletira,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ans-serif" w:hAnsi="Times New Roman;sans-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36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Marino,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ans-serif" w:hAnsi="Times New Roman;sans-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454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Amar Maletira, Chief Executive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March 31, 2024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36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Marino, Chief Financial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March 31, 2024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454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0019/000181001924000029/rxt41_indenture.htm" TargetMode="External"/><Relationship Id="rId4" Type="http://schemas.openxmlformats.org/officeDocument/2006/relationships/hyperlink" Target="https://www.sec.gov/Archives/edgar/data/1810019/000181001924000029/rxt101_flca.htm" TargetMode="External"/><Relationship Id="rId5" Type="http://schemas.openxmlformats.org/officeDocument/2006/relationships/hyperlink" Target="https://www.sec.gov/Archives/edgar/data/1810019/000181001924000029/rxt102_incassumption.htm" TargetMode="External"/><Relationship Id="rId6" Type="http://schemas.openxmlformats.org/officeDocument/2006/relationships/hyperlink" Target="https://www.sec.gov/Archives/edgar/data/1810019/000181001924000042/rxt1017receivablespurchase.htm" TargetMode="External"/><Relationship Id="rId7" Type="http://schemas.openxmlformats.org/officeDocument/2006/relationships/hyperlink" Target="https://www.sec.gov/Archives/edgar/data/1810019/000181001924000042/rxt1028moluseparationagree.htm" TargetMode="External"/><Relationship Id="rId8" Type="http://schemas.openxmlformats.org/officeDocument/2006/relationships/hyperlink" Target="https://www.sec.gov/Archives/edgar/data/1810019/000181001924000042/rxt1028moluseparationagree.htm" TargetMode="External"/><Relationship Id="rId9" Type="http://schemas.openxmlformats.org/officeDocument/2006/relationships/hyperlink" Target="https://www.sec.gov/Archives/edgar/data/1810019/000181001924000042/rxt1028moluseparationagree.htm" TargetMode="External"/><Relationship Id="rId10" Type="http://schemas.openxmlformats.org/officeDocument/2006/relationships/hyperlink" Target="https://www.sec.gov/Archives/edgar/data/1810019/000181001924000042/rxt1028moluseparationagree.htm" TargetMode="External"/><Relationship Id="rId11" Type="http://schemas.openxmlformats.org/officeDocument/2006/relationships/hyperlink" Target="https://www.sec.gov/Archives/edgar/data/1810019/000181001924000042/rxt1028moluseparationagree.htm" TargetMode="External"/><Relationship Id="rId12" Type="http://schemas.openxmlformats.org/officeDocument/2006/relationships/hyperlink" Target="https://www.sec.gov/Archives/edgar/data/1810019/000181001924000005/marinomark-cfoagreement010.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44468</Words>
  <Characters>244319</Characters>
  <CharactersWithSpaces>287313</CharactersWithSpaces>
  <Paragraphs>2806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