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0990.xml.htm"/>
      <w:bookmarkStart w:id="1" w:name="kswkform4_17896809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Sobel Aaron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40,545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40,545</w:t>
            </w:r>
            <w:r>
              <w:rPr>
                <w:rFonts w:ascii="Times;serif" w:hAnsi="Times;serif"/>
                <w:color w:val="008000"/>
                <w:position w:val="7"/>
                <w:sz w:val="16"/>
                <w:sz w:val="20"/>
                <w:shd w:fill="FFFFFF" w:val="clear"/>
              </w:rPr>
              <w:t>(1)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pro-rated grant of restricted stock units ("RSUs") under the Non-Employee Director Compensation Policy of the Issuer in a transaction exempt under Section 16b-3. Each RSU represents the right to receive one share of common stock of Rackspace Technology, Inc. upon vesting. The shares underlying the RSUs will vest on the earlier of (a) the next subsequent annual meeting of stockholders following the grant date or (b) the one year anniversary of the grant date, subject to the reporting person remaining a member of the Issuer's board of directors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for Aaron Sobel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5202"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3577</Characters>
  <CharactersWithSpaces>4174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