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TEAL-GUESS KELLIE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RACKSPACE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19122 US HWY 281 N, SUITE 127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Rackspace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RXT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20" w:type="dxa"/>
            <w:vAlign w:val="bottom"/>
          </w:tcPr>
          <w:p>
            <w:pPr>
              <w:spacing w:after="0"/>
              <w:rPr>
                <w:sz w:val="9"/>
                <w:szCs w:val="9"/>
                <w:color w:val="auto"/>
              </w:rPr>
            </w:pPr>
          </w:p>
        </w:tc>
        <w:tc>
          <w:tcPr>
            <w:tcW w:w="35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78258-7667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ANTONIO</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04/03/2026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7"/>
                <w:szCs w:val="17"/>
                <w:color w:val="0000FF"/>
              </w:rPr>
              <w:t>443,548</w:t>
            </w:r>
          </w:p>
        </w:tc>
        <w:tc>
          <w:tcPr>
            <w:tcW w:w="3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1,352,700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33,966</w:t>
            </w:r>
            <w:r>
              <w:rPr>
                <w:rFonts w:ascii="Times New Roman" w:cs="Times New Roman" w:eastAsia="Times New Roman" w:hAnsi="Times New Roman"/>
                <w:sz w:val="22"/>
                <w:szCs w:val="22"/>
                <w:color w:val="008000"/>
                <w:w w:val="98"/>
                <w:vertAlign w:val="superscript"/>
              </w:rPr>
              <w:t>(2)(3)</w:t>
            </w:r>
          </w:p>
        </w:tc>
        <w:tc>
          <w:tcPr>
            <w:tcW w:w="3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5.56</w:t>
            </w:r>
            <w:r>
              <w:rPr>
                <w:rFonts w:ascii="Times New Roman" w:cs="Times New Roman" w:eastAsia="Times New Roman" w:hAnsi="Times New Roman"/>
                <w:sz w:val="22"/>
                <w:szCs w:val="22"/>
                <w:color w:val="008000"/>
                <w:w w:val="92"/>
                <w:vertAlign w:val="superscript"/>
              </w:rPr>
              <w:t>(4)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1,318,734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("RSUs") in a transaction exempt under Section 16b-3. RSUs vest in quarterly installments over three years. Each RSU represents the right to receive, at settlement, one share of common stock.</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number of shares of common stock that were sold in a "sell to cover" transaction for the sole purpose of satisfying tax withholding obligations in connection with the vesting of restricted stock units previously granted to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in the form of a durable sell-to-cover instruction adopted by the reporting person on September 12, 2023. The trading plan provides for the automatic sale of shares of common stock necessary to satisfy the reporting person's tax withholding obligations incurred in connection with the vesting or settlement of restricted stock units.</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The price reported above reflects the weighted average sale price. The reporting person hereby undertakes to provide full information regarding the number of shares and prices at which the transactions were effected upon request to the SEC, the Issuer or a security holder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Sarah Alexander,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attorney from Kellie Teal-</w:t>
        <w:tab/>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Guess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7413" TargetMode="External"/><Relationship Id="rId14" Type="http://schemas.openxmlformats.org/officeDocument/2006/relationships/hyperlink" Target="http://www.sec.gov/cgi-bin/browse-edgar?action=getcompany&amp;CIK=0001810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2026-06-04T20:38:43Z</dcterms:created>
  <dcterms:modified xsi:type="dcterms:W3CDTF">2026-06-04T20:38:43Z</dcterms:modified>
</cp:coreProperties>
</file>