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6"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1"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8"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5"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001-39420</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RACKSPACE TECHNOLOGY,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81-3369925</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101" w:lineRule="exact"/>
        <w:rPr>
          <w:sz w:val="24"/>
          <w:szCs w:val="24"/>
          <w:color w:val="auto"/>
        </w:rPr>
      </w:pPr>
    </w:p>
    <w:p>
      <w:pPr>
        <w:sectPr>
          <w:pgSz w:w="11900" w:h="16838" w:orient="portrait"/>
          <w:cols w:equalWidth="0" w:num="2">
            <w:col w:w="6680" w:space="720"/>
            <w:col w:w="3840"/>
          </w:cols>
          <w:pgMar w:left="320" w:top="126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19122 US Highway 281N, Suite 128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Antonio, Texas 78258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1-800-961-4454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4"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type w:val="continuous"/>
        </w:sectPr>
      </w:pPr>
    </w:p>
    <w:bookmarkStart w:id="1" w:name="page2"/>
    <w:bookmarkEnd w:id="1"/>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0"/>
          <w:szCs w:val="20"/>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November 5, 2024, 227,568,885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38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Unaudited Condensed Consolidated Balance Sheets as of December 31, 2023 and September 30, 2024</w:t>
            </w:r>
          </w:p>
        </w:tc>
        <w:tc>
          <w:tcPr>
            <w:tcW w:w="400" w:type="dxa"/>
            <w:vAlign w:val="bottom"/>
            <w:gridSpan w:val="2"/>
          </w:tcPr>
          <w:p>
            <w:pPr>
              <w:jc w:val="center"/>
              <w:ind w:left="210"/>
              <w:spacing w:after="0" w:line="194" w:lineRule="exact"/>
              <w:rPr>
                <w:sz w:val="20"/>
                <w:szCs w:val="20"/>
                <w:color w:val="auto"/>
              </w:rPr>
            </w:pPr>
            <w:r>
              <w:rPr>
                <w:rFonts w:ascii="Times New Roman" w:cs="Times New Roman" w:eastAsia="Times New Roman" w:hAnsi="Times New Roman"/>
                <w:sz w:val="18"/>
                <w:szCs w:val="18"/>
                <w:color w:val="0000FF"/>
              </w:rPr>
              <w:t>3</w:t>
            </w:r>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and Nine Months Ended September 30,</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4</w:t>
            </w:r>
          </w:p>
        </w:tc>
        <w:tc>
          <w:tcPr>
            <w:tcW w:w="3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4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2023 and September 30, 2024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September 30, 2023 and September</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5"/>
              </w:rPr>
              <w:t>30, 2024</w:t>
            </w:r>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(Deficit) for the Three and Nine Months Ended</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7</w:t>
            </w:r>
          </w:p>
        </w:tc>
        <w:tc>
          <w:tcPr>
            <w:tcW w:w="32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September 30, 2023 and September 30, 2024</w:t>
            </w:r>
          </w:p>
        </w:tc>
        <w:tc>
          <w:tcPr>
            <w:tcW w:w="5360" w:type="dxa"/>
            <w:vAlign w:val="bottom"/>
            <w:tcBorders>
              <w:top w:val="single" w:sz="8" w:color="0000FF"/>
            </w:tcBorders>
            <w:gridSpan w:val="5"/>
          </w:tcPr>
          <w:p>
            <w:pPr>
              <w:spacing w:after="0"/>
              <w:rPr>
                <w:sz w:val="13"/>
                <w:szCs w:val="13"/>
                <w:color w:val="auto"/>
              </w:rPr>
            </w:pPr>
          </w:p>
        </w:tc>
        <w:tc>
          <w:tcPr>
            <w:tcW w:w="780" w:type="dxa"/>
            <w:vAlign w:val="bottom"/>
            <w:gridSpan w:val="3"/>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the Unaudited Condensed Consolidated Financial Statements</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9</w:t>
            </w:r>
          </w:p>
        </w:tc>
        <w:tc>
          <w:tcPr>
            <w:tcW w:w="3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40" w:type="dxa"/>
            <w:vAlign w:val="bottom"/>
            <w:gridSpan w:val="5"/>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18"/>
                <w:szCs w:val="18"/>
                <w:color w:val="auto"/>
              </w:rPr>
            </w:pPr>
          </w:p>
        </w:tc>
        <w:tc>
          <w:tcPr>
            <w:tcW w:w="2940" w:type="dxa"/>
            <w:vAlign w:val="bottom"/>
            <w:gridSpan w:val="5"/>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69</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40" w:type="dxa"/>
            <w:vAlign w:val="bottom"/>
            <w:gridSpan w:val="7"/>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70</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5"/>
        </w:trPr>
        <w:tc>
          <w:tcPr>
            <w:tcW w:w="20" w:type="dxa"/>
            <w:vAlign w:val="bottom"/>
          </w:tcPr>
          <w:p>
            <w:pPr>
              <w:spacing w:after="0"/>
              <w:rPr>
                <w:sz w:val="24"/>
                <w:szCs w:val="24"/>
                <w:color w:val="auto"/>
              </w:rPr>
            </w:pPr>
          </w:p>
        </w:tc>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400" w:type="dxa"/>
            <w:vAlign w:val="bottom"/>
            <w:gridSpan w:val="2"/>
          </w:tcPr>
          <w:p>
            <w:pPr>
              <w:jc w:val="center"/>
              <w:ind w:left="130"/>
              <w:spacing w:after="0" w:line="194" w:lineRule="exact"/>
              <w:rPr>
                <w:sz w:val="20"/>
                <w:szCs w:val="20"/>
                <w:color w:val="auto"/>
              </w:rPr>
            </w:pPr>
            <w:r>
              <w:rPr>
                <w:rFonts w:ascii="Times New Roman" w:cs="Times New Roman" w:eastAsia="Times New Roman" w:hAnsi="Times New Roman"/>
                <w:sz w:val="18"/>
                <w:szCs w:val="18"/>
                <w:color w:val="0000FF"/>
                <w:w w:val="99"/>
              </w:rPr>
              <w:t>71</w:t>
            </w:r>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18"/>
                <w:szCs w:val="18"/>
                <w:color w:val="auto"/>
              </w:rPr>
            </w:pPr>
          </w:p>
        </w:tc>
        <w:tc>
          <w:tcPr>
            <w:tcW w:w="8080" w:type="dxa"/>
            <w:vAlign w:val="bottom"/>
            <w:gridSpan w:val="12"/>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71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040" w:type="dxa"/>
            <w:vAlign w:val="bottom"/>
            <w:gridSpan w:val="7"/>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71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2"/>
          </w:tcPr>
          <w:p>
            <w:pPr>
              <w:spacing w:after="0"/>
              <w:rPr>
                <w:sz w:val="18"/>
                <w:szCs w:val="18"/>
                <w:color w:val="auto"/>
              </w:rPr>
            </w:pPr>
          </w:p>
        </w:tc>
        <w:tc>
          <w:tcPr>
            <w:tcW w:w="5040" w:type="dxa"/>
            <w:vAlign w:val="bottom"/>
            <w:gridSpan w:val="7"/>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71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60" w:type="dxa"/>
            <w:vAlign w:val="bottom"/>
            <w:gridSpan w:val="9"/>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71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20" w:type="dxa"/>
            <w:vAlign w:val="bottom"/>
            <w:gridSpan w:val="11"/>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71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3"/>
          </w:tcPr>
          <w:p>
            <w:pPr>
              <w:spacing w:after="0"/>
              <w:rPr>
                <w:sz w:val="18"/>
                <w:szCs w:val="18"/>
                <w:color w:val="auto"/>
              </w:rPr>
            </w:pPr>
          </w:p>
        </w:tc>
        <w:tc>
          <w:tcPr>
            <w:tcW w:w="8080" w:type="dxa"/>
            <w:vAlign w:val="bottom"/>
            <w:gridSpan w:val="12"/>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72</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73</w:t>
            </w:r>
          </w:p>
        </w:tc>
        <w:tc>
          <w:tcPr>
            <w:tcW w:w="320" w:type="dxa"/>
            <w:vAlign w:val="bottom"/>
          </w:tcPr>
          <w:p>
            <w:pPr>
              <w:spacing w:after="0"/>
              <w:rPr>
                <w:sz w:val="24"/>
                <w:szCs w:val="24"/>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for the quarterly period ended September 30, 2024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right="20" w:firstLine="486"/>
        <w:spacing w:after="0" w:line="244" w:lineRule="auto"/>
        <w:rPr>
          <w:sz w:val="20"/>
          <w:szCs w:val="20"/>
          <w:color w:val="auto"/>
        </w:rPr>
      </w:pPr>
      <w:r>
        <w:rPr>
          <w:rFonts w:ascii="Times New Roman" w:cs="Times New Roman" w:eastAsia="Times New Roman" w:hAnsi="Times New Roman"/>
          <w:sz w:val="18"/>
          <w:szCs w:val="18"/>
          <w:i w:val="1"/>
          <w:iCs w:val="1"/>
          <w:color w:val="auto"/>
        </w:rPr>
        <w:t>Forward-looking information involves risks, uncertainties, and other factors that could cause actual results to differ materially from those expressed or implied in, or reasonably inferred from, such statements, and the risks and uncertainties disclosed or referenced under the heading "Risk Factors" in our Annual Report on Form 10-K for the year ended December 31, 2023.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54" w:lineRule="exact"/>
        <w:rPr>
          <w:sz w:val="20"/>
          <w:szCs w:val="20"/>
          <w:color w:val="auto"/>
        </w:rPr>
      </w:pPr>
    </w:p>
    <w:p>
      <w:pPr>
        <w:ind w:right="40" w:firstLine="486"/>
        <w:spacing w:after="0" w:line="227" w:lineRule="auto"/>
        <w:rPr>
          <w:sz w:val="20"/>
          <w:szCs w:val="20"/>
          <w:color w:val="auto"/>
        </w:rPr>
      </w:pPr>
      <w:r>
        <w:rPr>
          <w:rFonts w:ascii="Times New Roman" w:cs="Times New Roman" w:eastAsia="Times New Roman" w:hAnsi="Times New Roman"/>
          <w:sz w:val="18"/>
          <w:szCs w:val="18"/>
          <w:i w:val="1"/>
          <w:iCs w:val="1"/>
          <w:color w:val="auto"/>
        </w:rPr>
        <w:t>"Rackspace," "Rackspace Technology," "Fanatical," "Fanatical Experience," "Rackspace Fabric," "Rackspace Data Freedom," "Rackspace Services for VMware Cloud</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and "My Rackspace" are registered or unregistered trademarks of Rackspace US, Inc. in the United States and/or other countries. OpenStack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and accrued customer credits of $20.1 and $23.3,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768.9</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4,095.5</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$0.01 par value per share: 1,495.0 shares authorized; 220.5 and 230.7 shares issued; 217.4 and 227.6</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3.1 shares held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(949.7)</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2,051.5</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(1,649.8)</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0" w:type="dxa"/>
            <w:vAlign w:val="bottom"/>
          </w:tcPr>
          <w:p>
            <w:pPr>
              <w:spacing w:after="0"/>
              <w:rPr>
                <w:sz w:val="1"/>
                <w:szCs w:val="1"/>
                <w:color w:val="auto"/>
              </w:rPr>
            </w:pPr>
          </w:p>
        </w:tc>
      </w:tr>
      <w:tr>
        <w:trPr>
          <w:trHeight w:val="213"/>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modification costs and gain on debt extinguishment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07"/>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2"/>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(802.2)</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(loss) on derivative contracts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 reclassified from accumulated other comprehensive</w:t>
            </w:r>
          </w:p>
        </w:tc>
        <w:tc>
          <w:tcPr>
            <w:tcW w:w="2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to earnings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per share: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 and diluted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number of shares outstanding:</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 and diluted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(802.2)</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operating right-of-use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modification costs and gain on debt extinguishment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loss on derivative contracts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investments,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bad debts and accrued customer credits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 and debt discount and premium</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Third party fees paid in connection with the Refinancing Transactions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fair value adjustments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2"/>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equipment and software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headquarters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7"/>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of common stock withheld for employee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borrowings under long-term debt arrangements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extinguishment costs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financing component of interest rate swap</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finance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financing obligations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7"/>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9"/>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7"/>
        </w:trPr>
        <w:tc>
          <w:tcPr>
            <w:tcW w:w="7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6"/>
        </w:trPr>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r>
      <w:tr>
        <w:trPr>
          <w:trHeight w:val="212"/>
        </w:trPr>
        <w:tc>
          <w:tcPr>
            <w:tcW w:w="7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 net of amount capitalized</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 for income taxes, net of refunds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54"/>
        </w:trPr>
        <w:tc>
          <w:tcPr>
            <w:tcW w:w="7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finance leases</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financing obligations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property, equipment and software accrued in liabilities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activity</w:t>
            </w:r>
          </w:p>
        </w:tc>
        <w:tc>
          <w:tcPr>
            <w:tcW w:w="6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4"/>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purchases of property, equipment and software</w:t>
            </w: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r>
    </w:tbl>
    <w:p>
      <w:pPr>
        <w:spacing w:after="0" w:line="32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the total of such amounts shown on the Condensed Consolidated Statements of Cash Flows.</w:t>
      </w:r>
    </w:p>
    <w:p>
      <w:pPr>
        <w:spacing w:after="0" w:line="23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non-current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37"/>
        </w:trPr>
        <w:tc>
          <w:tcPr>
            <w:tcW w:w="7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(2,625.6)</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(2,852.2)</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(1,986.4)</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0"/>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(3,626.4)</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3"/>
        </w:trPr>
        <w:tc>
          <w:tcPr>
            <w:tcW w:w="2240" w:type="dxa"/>
            <w:vAlign w:val="bottom"/>
            <w:vMerge w:val="continue"/>
          </w:tcPr>
          <w:p>
            <w:pPr>
              <w:spacing w:after="0"/>
              <w:rPr>
                <w:sz w:val="10"/>
                <w:szCs w:val="10"/>
                <w:color w:val="auto"/>
              </w:rPr>
            </w:pPr>
          </w:p>
        </w:tc>
        <w:tc>
          <w:tcPr>
            <w:tcW w:w="16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0"/>
                <w:szCs w:val="10"/>
                <w:color w:val="auto"/>
              </w:rPr>
            </w:pPr>
          </w:p>
        </w:tc>
        <w:tc>
          <w:tcPr>
            <w:tcW w:w="122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(802.2)</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(802.2)</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Overview, Basis of Presentation,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 and Basis of Presentation</w:t>
      </w:r>
    </w:p>
    <w:p>
      <w:pPr>
        <w:spacing w:after="0" w:line="256" w:lineRule="exact"/>
        <w:rPr>
          <w:sz w:val="20"/>
          <w:szCs w:val="20"/>
          <w:color w:val="auto"/>
        </w:rPr>
      </w:pPr>
    </w:p>
    <w:p>
      <w:pPr>
        <w:jc w:val="both"/>
        <w:ind w:right="300"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1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07"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For ease of reference, the terms "we," "our company," "the company," "us," or "our" as used in this report refer to Rackspace Technology and its consolidated subsidiaries.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Rackspace Technology, Inc. and our wholly-owned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 in consolidation.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5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September 30, 2024, and for the three and nine months ended September 30, 2023 and 2024,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Securities and Exchange Commission ("SEC") disclosure rules and regulations that permit reduced disclosure for interim</w:t>
      </w:r>
    </w:p>
    <w:p>
      <w:pPr>
        <w:spacing w:after="0" w:line="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periods. These unaudited interim condensed consolidated financial statements should be read in conjunction with the audited consolidated financial statements and the related notes thereto included in our Annual Report on Form 10-K for the year ended December 31, 2023 as filed with the SEC on March 15, 2024 ("Annual Report"). The unaudited interim condensed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September 30, 2024, our results of operations and stockholders' equity (deficit) for the three and nine months ended September 30, 2023 and 2024, and our cash flows for the nine months ended September 30, 2023 and 2024.</w:t>
      </w:r>
    </w:p>
    <w:p>
      <w:pPr>
        <w:spacing w:after="0" w:line="20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2024 are not necessarily indicative of the results of operations to be expected for the year ending December 31, 2024, or for any other interim period, or for any other future year.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revenue and expenses, and related disclosures of contingent assets and liabilities in the condensed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Overview</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are a highly leveraged company. As of September 30, 2024, we had $2,454.5 million aggregate principal amount outstanding under our debt instruments, which are comprised of the first lien first out senior secured term loan facility (the “FLFO Term Loan Facility”), the first lien second out senior secured term loan facility (the “FLSO Term Loan Facility”), the first lien term loan facility (the "Term Loan Facility"), 3.50% FLSO Senior Secured Notes due 2028 (the “3.50% FLSO Senior Secured Notes”), 5.375% Senior Notes due 2028 (the "5.375% Senior Notes"), and 3.50% Senior Secured Notes due 2028 (the "3.50% Senior Secured Notes"). We primarily finance our operations and capital expenditures with internally-generated cash from operations and hardware leases, and if necessary, borrowings under the senior secured first lien first out revolving credit facility (the " New Revolving Credit Facility"). As of September 30, 2024, the New Revolving Credit Facility provided for up to $375.0 million of borrowings, none of which was drawn and outstanding as of September 30, 2024. Our primary uses of cash are working capital requirements, debt service requirements and capital expenditures. Based on our current level of operations and available cash and cash equivalents of $157.1 million as of September 30, 2024,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our ability to deliver on our strategic objectives and prevailing economic conditions and other factors, many of which are beyond our control.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and Estimates</w:t>
      </w:r>
    </w:p>
    <w:p>
      <w:pPr>
        <w:spacing w:after="0" w:line="25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Annual Report includes an additional discussion of the significant accounting policies and estimates used in the preparation of our consolidated financial statements. There were no material changes to our significant accounting policies and estimates during the nine months ended September 30, 2024, except as described below.</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Change in Accounting Estimate</w:t>
      </w:r>
    </w:p>
    <w:p>
      <w:pPr>
        <w:spacing w:after="0" w:line="2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the first quarter of 2024, we completed an assessment of the useful lives of certain assets within the “Computers and equipment” asset class. The timing of this review was based on a combination of factors accumulating over time that provided the company with updated information to make a better estimate on the economic lives of certain property and equipment. These factors included changes in our business model and recent technological advances that have increased efficiencies in how we operate and manage customer gear. The assessment resulted in an increase in the estimated useful life range of the “Computers and equipment” asset class from three-to-five years to five-to-seven years. This change in accounting estimate took effect at the start of the first quarter of 2024. The impact of this change was a reduction in depreciation expense of $11.5 million and $36.3 million and an increase of $0.05 and $0.15 net basic loss per share compared to previous estimates for the three and nine months ended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Indefinite-Lived Intangible Assets and Long-Lived Assets</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21" w:lineRule="exact"/>
        <w:rPr>
          <w:sz w:val="20"/>
          <w:szCs w:val="20"/>
          <w:color w:val="auto"/>
        </w:rPr>
      </w:pPr>
    </w:p>
    <w:p>
      <w:pPr>
        <w:ind w:right="260" w:firstLine="486"/>
        <w:spacing w:after="0" w:line="277" w:lineRule="auto"/>
        <w:rPr>
          <w:sz w:val="20"/>
          <w:szCs w:val="20"/>
          <w:color w:val="auto"/>
        </w:rPr>
      </w:pPr>
      <w:r>
        <w:rPr>
          <w:rFonts w:ascii="Times New Roman" w:cs="Times New Roman" w:eastAsia="Times New Roman" w:hAnsi="Times New Roman"/>
          <w:sz w:val="17"/>
          <w:szCs w:val="17"/>
          <w:color w:val="auto"/>
        </w:rPr>
        <w:t>In connection with the debt refinancing transactions that were completed in March and April 2024, as further described in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macroeconomic factors, to achieving our forecasts. Our Board of Directors reviewed and approved our internal budget for fiscal year 2024 on February 28, 2024.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w:t>
      </w:r>
    </w:p>
    <w:p>
      <w:pPr>
        <w:spacing w:after="0" w:line="216" w:lineRule="exact"/>
        <w:rPr>
          <w:sz w:val="20"/>
          <w:szCs w:val="20"/>
          <w:color w:val="auto"/>
        </w:rPr>
      </w:pPr>
    </w:p>
    <w:p>
      <w:pPr>
        <w:ind w:right="60" w:firstLine="486"/>
        <w:spacing w:after="0" w:line="290" w:lineRule="auto"/>
        <w:rPr>
          <w:sz w:val="20"/>
          <w:szCs w:val="20"/>
          <w:color w:val="auto"/>
        </w:rPr>
      </w:pPr>
      <w:r>
        <w:rPr>
          <w:rFonts w:ascii="Times New Roman" w:cs="Times New Roman" w:eastAsia="Times New Roman" w:hAnsi="Times New Roman"/>
          <w:sz w:val="17"/>
          <w:szCs w:val="17"/>
          <w:color w:val="auto"/>
        </w:rPr>
        <w:t>During the third quarter of 2024, as part our assessment of our annual plan, we updated our internal forecasts to consider our year-to-date operating performance, current customer bookings and revised expectations based on actuals, current customer retention rates, revisions to the timing of the expected</w:t>
      </w:r>
    </w:p>
    <w:p>
      <w:pPr>
        <w:ind w:right="240"/>
        <w:spacing w:after="0" w:line="255" w:lineRule="auto"/>
        <w:rPr>
          <w:sz w:val="20"/>
          <w:szCs w:val="20"/>
          <w:color w:val="auto"/>
        </w:rPr>
      </w:pPr>
      <w:r>
        <w:rPr>
          <w:rFonts w:ascii="Times New Roman" w:cs="Times New Roman" w:eastAsia="Times New Roman" w:hAnsi="Times New Roman"/>
          <w:sz w:val="18"/>
          <w:szCs w:val="18"/>
          <w:color w:val="auto"/>
        </w:rPr>
        <w:t>effects of our strategic initiatives and overall related risks, including macroeconomic factors, to achieving our forecasts. As of September 30, 2024, we assessed our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September 30, 2024.</w:t>
      </w:r>
    </w:p>
    <w:p>
      <w:pPr>
        <w:spacing w:after="0" w:line="21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On January 1, 2023, as a result of the reorganization of our business around a two-business unit operating model, we changed our reportable segments to Private Cloud and Public Cloud. Due to the change in our segment reporting and the allocation of goodwill from our former reporting units to the Public Cloud and Private Cloud reporting units, we completed a quantitative goodwill impairment analysis both prior and subsequent to the aforementioned change. We reassigned goodwill to the updated reporting units using a relative fair value approach. The results of the quantitative goodwill impairment analysis performed as of January 1, 2023 subsequent to the reorganization, indicated an impairment within our Private Cloud reporting unit, and we recorded a non-cash impairment charge of $270.8 million in the first quarter of 2023.</w:t>
      </w:r>
    </w:p>
    <w:p>
      <w:pPr>
        <w:spacing w:after="0" w:line="214"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we experienced a sustained decline in our stock price resulting in our market capitalization being less than the carrying value of our combined reporting units. As of September 30,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nine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September 30, 2023.</w:t>
      </w:r>
    </w:p>
    <w:p>
      <w:pPr>
        <w:spacing w:after="0" w:line="21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Prior to October 1, 2023, we had two reporting units with goodwill: Public Cloud and Private Cloud. Goodwill allocated to our third reporting unit, OpenStack Public Cloud, was fully impaired during the fourth quarter of 2021. As of October 1, 2023, we reassessed our reporting unit structure and aggregated the OpenStack Public Cloud reporting unit into our Private Cloud reporting unit. We currently have two reporting units: Public Cloud and Private Cloud.</w:t>
      </w:r>
    </w:p>
    <w:p>
      <w:pPr>
        <w:spacing w:after="0" w:line="21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For the interim quantitative goodwill impairment analyses performed,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and considerations regarding revenue growth rates, projected gross profit margins, projected operating costs, projected capital expenditures, risk-adjusted discount rates, terminal period growth rates, and economic market trends. As part of the goodwill impairment test, we also consider our market capitalization in assessing the reasonableness of the combined fair values estimated for our reporting units. Goodwill impairment is measured as the excess of a reporting unit's carrying amount over its fair value, not to exceed the carrying amount of goodwill for that reporting unit.</w:t>
      </w:r>
    </w:p>
    <w:p>
      <w:pPr>
        <w:spacing w:after="0" w:line="216"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analysis as of February 29, 2024 indicated an impairment of goodwill within our Public Cloud and Private Cloud reporting units of $385.4 million and $187.8 million, respectively. We recorded these non-cash impairment charges within "Impairment of goodwill" in our Condensed Consolidated Statements of Comprehensive Loss in the first quarter of 2024.</w:t>
      </w:r>
    </w:p>
    <w:p>
      <w:pPr>
        <w:spacing w:after="0" w:line="203"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analysis as of September 30, 2024 indicated an impairment of goodwill within our Public Cloud and Private Cloud reporting units of $69.2 million and $72.5 million, respectively. We recorded these non-cash impairment charges within "Impairment of goodwill" in our Condensed Consolidated Statements of Comprehensive Loss in the third quarter of 2024.</w:t>
      </w:r>
    </w:p>
    <w:p>
      <w:pPr>
        <w:spacing w:after="0" w:line="203"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analyses as of January 1, 2023 and March 31, 2023 indicated an impairment of goodwill within our Private Cloud reporting unit, and we recorded non-cash impairment charges of $270.8 million and $272.3 million, respectively, within "Impairment of goodwill" in our Condensed Consolidated Statements of Comprehensive Loss in the first quarter of 2023.</w:t>
      </w:r>
    </w:p>
    <w:p>
      <w:pPr>
        <w:spacing w:after="0" w:line="20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analysis as of September 30, 2023 indicated an impairment of goodwill within our Private Cloud reporting unit, and we recorded non-cash impairment charges of $165.7 million, within "Impairment of goodwill" in our Condensed Consolidated Statements of Comprehensive Loss in the third quarter of 2023.</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 "Goodwill and Intangible Assets" for more information.</w:t>
      </w:r>
    </w:p>
    <w:p>
      <w:pPr>
        <w:spacing w:after="0" w:line="252"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Due to the factors discussed in the goodwill analysis above and prior to testing our goodwill for impairment, we performed a quantitative assessment of our indefinite-lived intangible asset as of September 30, 2023 and February 29, 2024. The quantitative assessment performed as of those dates indicated the estimated fair value of the Rackspace trade name was less than its carrying value. As a result, we recorded a $57.0 million and $20.0 million non-cash impairment charge as of September 30, 2023 and February 29, 2024, respectively, which is included in "Impairment of assets, net" in our Condensed Consolidated Statements of Comprehensive Loss in the third quarter of 2023 and first quarter of 2024, respectively.</w:t>
      </w:r>
    </w:p>
    <w:p>
      <w:pPr>
        <w:spacing w:after="0" w:line="210"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We performed a quantitative assessment of our indefinite-lived intangible asset prior to testing our goodwill for impairment as of January 1, 2023, March 31, 2023, and September 30, 2024, which did not indicate any impairment of the Rackspace trade name.</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fair value determination of our reporting units and our indefinite-lived intangible asset is judgmental in nature and requires the use of significant estimates and assumptions that are sensitive to changes. Assumptions include estimation of the royalty rate for the trade name, estimation of future revenue growth rates, projected gross profit margins, projected operating costs,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decreases in future cash flows due to lower than expected sales or greater than expected customer churn, or (iv) fluctuations in foreign currency exchange rates that may negatively impact our reported results of operations. Accordingly, if our current cash flow assumptions are not realized, we experience sustained declines in our stock price or market capitalization, or increases in costs of capital, it is possible that an additional impairment charge may be recorded in the future, which could be material.</w:t>
      </w:r>
    </w:p>
    <w:p>
      <w:pPr>
        <w:spacing w:after="0" w:line="2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Long-lived assets, including operating and finance lease assets,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0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goodwill impairment analyses as of January 1, 2023, March 31, 2023, September 30, 2023, February 29, 2024 and September 30, 2024, we performed recoverability tests of our long-lived assets, including finite-lived intangible assets, by comparing the net book value of our long-lived assets or asset groups, to the future undiscounted net cash flows attributable to such assets, which did not result in any impairment charges.</w:t>
      </w:r>
    </w:p>
    <w:p>
      <w:pPr>
        <w:spacing w:after="0" w:line="203"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our non-financial assets and liabilities, which include goodwill, intangible assets and property, plant and equipment, are measured on a non-recurring basis. The fair value of our reporting units, indefinite-lived intangible assets and long-lived assets are classified as Level 3 within the fair value hierarchy due to the significant unobservable inputs developed using company-specific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Disaggregation of Income Statement Expenses</w:t>
      </w:r>
    </w:p>
    <w:p>
      <w:pPr>
        <w:spacing w:after="0" w:line="23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 Disaggregation of Income Statement Expenses</w:t>
      </w:r>
      <w:r>
        <w:rPr>
          <w:rFonts w:ascii="Times New Roman" w:cs="Times New Roman" w:eastAsia="Times New Roman" w:hAnsi="Times New Roman"/>
          <w:sz w:val="18"/>
          <w:szCs w:val="18"/>
          <w:color w:val="auto"/>
        </w:rPr>
        <w:t>. ASU 2024-03 requires disclosure, on an annual and interim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included in commonly presented income statement expense captions. Specifically, the guidance requires disclosure of the amounts of (a) purchases of inventory; (b) employee compensation; (c) depreciation; (d) intangible asset amortization; and (e) depreciation, depletion, and amortization recognized as part of oil- and gas-producing activities included within each expense caption presented on the face of the income statement within continuing operations. Certain amounts that are already required to be disclosed under current GAAP must be included in the same disclosure as the other disaggregation requirements. The guidance also requires a qualitative description of remaining amounts in relevant expense captions that are not separately disaggregated quantitatively, the total amount of selling expenses, and, in annual reporting periods, an entity’s definition of selling expenses. This guidance is effective for Rackspace beginning with our 2027 Form 10-K for annual disclosures and the Q1 2028 Form 10-Q for interim disclosures, with early adoption permitted. The guidance should be applied either prospectively to financial statements issued for reporting periods after the effective date or retrospectively to any or all prior periods presented in the financial statements. The guidance, once adopted, will result in additional disclosures about certain expenses in the notes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balances related to customer contracts: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Account</w:t>
            </w: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620" w:type="dxa"/>
            <w:vAlign w:val="bottom"/>
            <w:tcBorders>
              <w:top w:val="single" w:sz="8" w:color="auto"/>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Accounts receivable, net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contract assets</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contract assets</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deferred revenue</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bl>
    <w:p>
      <w:pPr>
        <w:spacing w:after="0" w:line="6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Allowance for credit losses and accrued customer credits was $20.1 million and $23.3 million as of December 31, 2023 and September 30, 2024, respectively.</w:t>
      </w:r>
    </w:p>
    <w:p>
      <w:pPr>
        <w:spacing w:after="0" w:line="257"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Amounts recognized in revenue for the three months ended September 30, 2023, and 2024, which were included in deferred revenue as of the beginning of each period totaled $30.0 million and $39.7 million, respectively. Amounts recognized in revenue for the nine months ended September 30, 2023 and 2024, which were included in deferred revenue as of the beginning of each period totaled $68.0 million and $73.0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Incurred to Obtain and Fulfill a Contract</w:t>
      </w:r>
    </w:p>
    <w:p>
      <w:pPr>
        <w:spacing w:after="0" w:line="243"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2023 and September 30, 2024, the balances of capitalized costs to obtain a contract were $42.0 million and $34.1 million, respectively, and the balances of capitalized costs to fulfill a contract were $13.4 million and $13.2 million, respectively. These capitalized costs are included in "Other non-current assets" on the Condensed Consolidated Balance Sheets.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capitalized sales commissions and implementation costs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capitalized sales commissions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capitalized implementation costs</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2024, the aggregate amount of transaction price allocated to remaining performance obligations was $434.3 million, of which approximately 22% is expected to be recognized as revenue during the remainder of 2024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256" w:lineRule="exact"/>
        <w:rPr>
          <w:sz w:val="20"/>
          <w:szCs w:val="20"/>
          <w:color w:val="auto"/>
        </w:rPr>
      </w:pPr>
    </w:p>
    <w:p>
      <w:pPr>
        <w:ind w:right="640" w:firstLine="486"/>
        <w:spacing w:after="0" w:line="276" w:lineRule="auto"/>
        <w:rPr>
          <w:sz w:val="20"/>
          <w:szCs w:val="20"/>
          <w:color w:val="auto"/>
        </w:rPr>
      </w:pPr>
      <w:r>
        <w:rPr>
          <w:rFonts w:ascii="Times New Roman" w:cs="Times New Roman" w:eastAsia="Times New Roman" w:hAnsi="Times New Roman"/>
          <w:sz w:val="17"/>
          <w:szCs w:val="17"/>
          <w:color w:val="auto"/>
        </w:rPr>
        <w:t>On September 27, 2022, we entered into a convertible note purchase agreement with a private company that is also a customer and a vendor. Pursuant to the purchase agreement, we purchased an unsecured convertible promissory note (the "Note") in an aggregate principal amount of</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$15.0 million. The Note accrues simple interest at a rate of 6% per annum and matures on September 27, 2027, unless earlier converted per the terms of the agreement. Principal and accrued interest are due and payable on the maturity date. We have elected to apply the fair value option under Accounting Standards Update ("ASU") No.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to account for the Note. As of December 31, 2023 and September 30, 2024, the fair value of the Note was $12.8 million and $15.0 million, respectively, and is included in "Other non-current assets" on our Condensed Consolidated Balance Sheets. The increase in the fair value of the Note is included in “Other expense, net” in the Condensed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Receivables</w:t>
      </w:r>
    </w:p>
    <w:p>
      <w:pPr>
        <w:spacing w:after="0" w:line="256"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On September 29, 2023, Rackspace US, Inc. and Rackspace Receivables II, LLC, a bankruptcy-remote special purpose vehicle (“SPV”), each an indirect subsidiary of the company, entered into an accounts receivable purchase agreement with PNC Bank, National Association (“PNC”) and other parties thereto. On February 12, 2024, the accounts receivable purchase agreement was amended to include certain international subsidiaries of the company as parties to the agreement and Rackspace Receivables Canada Limited, a Canadian indirect subsidiary of the company, was established as a SPV.</w:t>
      </w:r>
    </w:p>
    <w:p>
      <w:pPr>
        <w:spacing w:after="0" w:line="191" w:lineRule="exact"/>
        <w:rPr>
          <w:sz w:val="20"/>
          <w:szCs w:val="20"/>
          <w:color w:val="auto"/>
        </w:rPr>
      </w:pPr>
    </w:p>
    <w:p>
      <w:pPr>
        <w:ind w:right="340" w:firstLine="486"/>
        <w:spacing w:after="0" w:line="289" w:lineRule="auto"/>
        <w:rPr>
          <w:sz w:val="20"/>
          <w:szCs w:val="20"/>
          <w:color w:val="auto"/>
        </w:rPr>
      </w:pPr>
      <w:r>
        <w:rPr>
          <w:rFonts w:ascii="Times New Roman" w:cs="Times New Roman" w:eastAsia="Times New Roman" w:hAnsi="Times New Roman"/>
          <w:sz w:val="17"/>
          <w:szCs w:val="17"/>
          <w:color w:val="auto"/>
        </w:rPr>
        <w:t>In connection with accounts receivable sold during the three and nine months ended September 30, 2023, we recorded $4.9 million of expense, consisting of $1.6 million of yield charges and fees and $3.3 million of upfront transaction costs associated with the execution of the agreement, within “Other expense, net” in the Condensed Consolidated Statements of Comprehensive Loss for the three and nine months ended September 30, 2023.</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accounts receivable sold during the three and nine months ended September 30, 2024, we recorded $5.5 million and</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$16.4 million of expense, respectively, in “Other expense, net” in the Condensed Consolidated Statements of Comprehensive Loss. This expense consisted of $5.3 million and $15.6 million of yield charges and fees for the three and nine months ended September 30, 2024, respectively, and $0.2 million and $0.8 million of upfront transaction costs associated with the execution of the agreement for the three and nine months ended September 30, 2024, respectively.</w:t>
      </w:r>
    </w:p>
    <w:p>
      <w:pPr>
        <w:spacing w:after="0" w:line="21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outstanding portfolio of sold accounts receivable derecognized from our Condensed Consolidated Balance Sheet as of December 31, 2023 and September 30, 2024 was $223.8 million and $218.8 million, respectively. The SPVs hold unsold accounts receivable of $142.0 million as of September 30, 2024 that are pledged as collateral to PNC.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25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stockholders by the weighted average number of shares of common stock outstanding during the period. Diluted net loss per share is calculated based on the weighted average number of shares of common stock plus the dilutive effect of potential common share equivalents outstanding during the period as determined under the treasury stock method.</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(802.2)</w:t>
            </w: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w:t>
            </w:r>
          </w:p>
        </w:tc>
      </w:tr>
      <w:tr>
        <w:trPr>
          <w:trHeight w:val="209"/>
        </w:trPr>
        <w:tc>
          <w:tcPr>
            <w:tcW w:w="4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Number of shares used in per share computations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r>
      <w:tr>
        <w:trPr>
          <w:trHeight w:val="212"/>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loss per share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all periods presented, basic net loss per share is the same as diluted net loss per share for all periods as the inclusion of all potential common shares outstanding would have been anti-dilutive. We excluded 41.1 million and 30.3 million potential common shares from the computation of dilutive loss per share for the three months ended September 30, 2023 and 2024, respectively, and 41.1 million and 30.3 million for the nine months ended September 30, 2023 and 2024, respectively,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Equipment and Software,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1,170.8</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418.5</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equipment and software, at cost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2,047.8</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(1,441.5)</w:t>
            </w: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616.3</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In October 2022, we announced our intention to sell our current corporate headquarters facility located in Windcrest, Texas and relocate our corporate headquarters to leased office space in San Antonio, Texas. As such, as of December 31, 2022, this property met the criteria to be classified as held for sale under GAAP and the carrying amount of the property was remeasured each reporting period for changes in the estimated fair value, less cost to sell. In July 2023, we entered into a purchase and sale agreement with a potential buyer of the property. As such, we increased the property’s estimated fair value, less estimated cost to sell, resulting in an $8.6 million gain, which is included in "Impairment of assets, net" in our Condensed Consolidated Statements of Comprehensive Loss for the three and nine months ended September 30, 2023.</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March 2024, we completed the sale of the property. The property’s estimated fair value, less estimated cost to sell prior to the sale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 million and we received cash proceeds of $17.5 million, less brokerage and professional fees of $0.6 million, resulting in net cash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 million. In connection with the completion of the sale, we paid a $9.0 million early termination fee to certain local governments related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the Master Economic Incentives Agreement (the “MEIA”) associated with the property. This amount is included in “Selling,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in our Condensed Consolidated Statements of Comprehensive Loss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changes in the carrying amounts of goodwill by reportable segment.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Public Cloud</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Private Cloud</w:t>
            </w:r>
          </w:p>
        </w:tc>
        <w:tc>
          <w:tcPr>
            <w:tcW w:w="36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goodwill as of December 31, 2023</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impairment charges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r>
      <w:tr>
        <w:trPr>
          <w:trHeight w:val="212"/>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2023</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r>
      <w:tr>
        <w:trPr>
          <w:trHeight w:val="213"/>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goodwill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r>
      <w:tr>
        <w:trPr>
          <w:trHeight w:val="21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net as of September 30, 2024</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 as of September 30, 2024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2,163.4</w:t>
            </w:r>
          </w:p>
        </w:tc>
      </w:tr>
      <w:tr>
        <w:trPr>
          <w:trHeight w:val="219"/>
        </w:trPr>
        <w:tc>
          <w:tcPr>
            <w:tcW w:w="6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Less: accumulated impairment charges </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net as of September 30, 2024</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739.7</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500" w:right="60" w:hanging="492"/>
        <w:spacing w:after="0" w:line="280" w:lineRule="auto"/>
        <w:tabs>
          <w:tab w:leader="none" w:pos="40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consolidated basis, gross and net goodwill as of September 30, 2024 was $3,045.3 million and $739.7 million, respectively. Accumulated impairment charges on a consolidated basis was $2,305.6 million as of September 30, 2024.</w:t>
      </w:r>
    </w:p>
    <w:p>
      <w:pPr>
        <w:spacing w:after="0" w:line="187"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See Note 1, "Company Overview, Basis of Presentation, and Summary of Significant Accounting Policies," for discussion of the goodwill impairment charges recorded during the nine months ended September 30, 2023 and 2024.</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intangible assets other than goodwill: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6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1"/>
        </w:trPr>
        <w:tc>
          <w:tcPr>
            <w:tcW w:w="2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Trade name (indefinite-lived)</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145"/>
        </w:trPr>
        <w:tc>
          <w:tcPr>
            <w:tcW w:w="2740" w:type="dxa"/>
            <w:vAlign w:val="bottom"/>
            <w:shd w:val="clear" w:color="auto" w:fill="CCEEFF"/>
          </w:tcPr>
          <w:p>
            <w:pPr>
              <w:ind w:left="340"/>
              <w:spacing w:after="0" w:line="145" w:lineRule="exact"/>
              <w:rPr>
                <w:sz w:val="20"/>
                <w:szCs w:val="20"/>
                <w:color w:val="auto"/>
              </w:rPr>
            </w:pPr>
            <w:r>
              <w:rPr>
                <w:rFonts w:ascii="Times New Roman" w:cs="Times New Roman" w:eastAsia="Times New Roman" w:hAnsi="Times New Roman"/>
                <w:sz w:val="16"/>
                <w:szCs w:val="16"/>
                <w:color w:val="auto"/>
              </w:rPr>
              <w:t>Total intangible assets other than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recognized impairment charges of $20.0 million related to our trade name indefinite-lived intangible asset.</w:t>
      </w:r>
    </w:p>
    <w:p>
      <w:pPr>
        <w:spacing w:after="0" w:line="18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Additionally, during the three and nine months ended September 30, 2023 we recognized impairment charges of $57.0 million related to our trade name indefinite-lived intangible asset.</w:t>
      </w:r>
    </w:p>
    <w:p>
      <w:pPr>
        <w:spacing w:after="0" w:line="189"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For more information, see the discussion of our impairment charges in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15"/>
        </w:trPr>
        <w:tc>
          <w:tcPr>
            <w:tcW w:w="348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Debt Instrument</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54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6"/>
                <w:szCs w:val="16"/>
                <w:b w:val="1"/>
                <w:bCs w:val="1"/>
                <w:color w:val="auto"/>
              </w:rPr>
              <w:t>Interest Rate</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5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Interest Rate</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18"/>
                <w:szCs w:val="18"/>
                <w:color w:val="auto"/>
              </w:rPr>
            </w:pPr>
          </w:p>
        </w:tc>
        <w:tc>
          <w:tcPr>
            <w:tcW w:w="11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FLSO Term Loan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15, 2028</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1,631.1</w:t>
            </w:r>
          </w:p>
        </w:tc>
        <w:tc>
          <w:tcPr>
            <w:tcW w:w="0" w:type="dxa"/>
            <w:vAlign w:val="bottom"/>
          </w:tcPr>
          <w:p>
            <w:pPr>
              <w:spacing w:after="0"/>
              <w:rPr>
                <w:sz w:val="1"/>
                <w:szCs w:val="1"/>
                <w:color w:val="auto"/>
              </w:rPr>
            </w:pPr>
          </w:p>
        </w:tc>
      </w:tr>
      <w:tr>
        <w:trPr>
          <w:trHeight w:val="22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FLFO Term Loan Facility</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Facility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15, 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w:t>
            </w:r>
          </w:p>
        </w:tc>
        <w:tc>
          <w:tcPr>
            <w:tcW w:w="15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Revolving Credit Facility</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August 7, 2025</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3.50% FLSO Senior Secured Notes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3.50% Senior Secured Notes</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15, 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w:t>
            </w:r>
          </w:p>
        </w:tc>
        <w:tc>
          <w:tcPr>
            <w:tcW w:w="15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5.375% Senior Notes</w:t>
            </w:r>
          </w:p>
        </w:tc>
        <w:tc>
          <w:tcPr>
            <w:tcW w:w="17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1, 2028</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5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5.375%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principal amount outstanding</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2,454.5</w:t>
            </w:r>
          </w:p>
        </w:tc>
        <w:tc>
          <w:tcPr>
            <w:tcW w:w="0" w:type="dxa"/>
            <w:vAlign w:val="bottom"/>
          </w:tcPr>
          <w:p>
            <w:pPr>
              <w:spacing w:after="0"/>
              <w:rPr>
                <w:sz w:val="1"/>
                <w:szCs w:val="1"/>
                <w:color w:val="auto"/>
              </w:rPr>
            </w:pPr>
          </w:p>
        </w:tc>
      </w:tr>
      <w:tr>
        <w:trPr>
          <w:trHeight w:val="162"/>
        </w:trPr>
        <w:tc>
          <w:tcPr>
            <w:tcW w:w="34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Unamortized debt issuance costs, debt premium,</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and debt discount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debt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2,809.5</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Debt, excluding current portion</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Contractual interest rate as of each respective balance sheet date.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2024 Refinancing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Exchange</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12, 2024, we (together with certain of our subsidiaries) closed a private debt exchange (the “Private Exchange”) with (i) holders of the 3.50% Senior Secured Notes (the “Existing Secured Notes”) issued by Rackspace Technology Global (the “Existing Borrower”) representing more than 64% of the aggregate principal amount outstanding of the Existing Secured Notes as of December 31, 2023, and (ii) lenders representing more than 72% of the aggregate principal amount of the outstanding term loan facility under the First Lien Credit Agreement (the “Existing Term Loans”) as of December 31, 2023.</w:t>
      </w:r>
    </w:p>
    <w:p>
      <w:pPr>
        <w:spacing w:after="0" w:line="210"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Pursuant to the Private Exchange, (i) $331.4 million aggregate principal amount of Existing Secured Notes and $1,588.8 million aggregate principal amount of the Existing Term Loans were exchanged or purchased for cancellation and (ii) $267.3 million aggregate principal amount of new first lien second out senior secured notes (the “3.50% FLSO Senior Secured Notes”) and $1,312.0 million aggregate principal amount of new first lien second out senior secured term loans (the “FLSO Term Loan Facility” and the loans thereunder, the “FLSO Term Loans”) were issued by Rackspace Finance, LLC, a new subsidiary of the company (the “New Borrower”).</w:t>
      </w:r>
    </w:p>
    <w:p>
      <w:pPr>
        <w:spacing w:after="0" w:line="21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addition, the New Borrower issued $275.0 million aggregate principal amount of new first lien first out senior secured term loans (the “FLFO Term Loan Facility” and the loans thereunder, the “FLFO Term Loans”) and we repurchased and cancelled $69.3 million aggregate principal amount of the 5.375% Senior Notes.</w:t>
      </w:r>
    </w:p>
    <w:p>
      <w:pPr>
        <w:spacing w:after="0" w:line="201" w:lineRule="exact"/>
        <w:rPr>
          <w:sz w:val="20"/>
          <w:szCs w:val="20"/>
          <w:color w:val="auto"/>
        </w:rPr>
      </w:pPr>
    </w:p>
    <w:p>
      <w:pPr>
        <w:ind w:right="180" w:firstLine="486"/>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New Debt Instruments</w:t>
      </w:r>
      <w:r>
        <w:rPr>
          <w:rFonts w:ascii="Times New Roman" w:cs="Times New Roman" w:eastAsia="Times New Roman" w:hAnsi="Times New Roman"/>
          <w:sz w:val="18"/>
          <w:szCs w:val="18"/>
          <w:color w:val="auto"/>
        </w:rPr>
        <w:t>” below for additional discussion of the new 3.50% FLSO Senior Secured Notes, FLSO Term Loan Facility, and FLFO Term Loan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Exchanges</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March 13, 2024, we launched an offer to all of the holders of the Existing Borrower’s remaining Existing Term Loans (the “Public Term Loan Exchange”). On March 26, 2024, we closed the Public Term Loan Exchange, pursuant to which (i) $529.9 million aggregate principal amount of the Existing Term Loans were exchanged or purchased for cancellation and (ii) $375.1 million aggregate principal amount of FLSO Term Loans was issued by the New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14, 2024, we launched an offer to all of the holders of the Existing Borrower’s remaining Existing Secured Notes (the “Public Note Exchange”). On April 16, 2024, we completed the Public Note Exchange, pursuant to which (i) $138.4 million aggregate principal amount of Existing Secured Notes were exchanged or purchased for cancellation and (ii) $96.9 million aggregate principal amount of 3.50% FLSO Senior Secured Notes were issued by the New Borrower.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Revolving Credit Facility</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12, 2024, the New Borrower also established the new first lien first out revolving credit commitments in an aggregate principal amount of $375.0 million (the “New Revolving Credit Facility”).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New Debt Instruments</w:t>
      </w:r>
      <w:r>
        <w:rPr>
          <w:rFonts w:ascii="Times New Roman" w:cs="Times New Roman" w:eastAsia="Times New Roman" w:hAnsi="Times New Roman"/>
          <w:sz w:val="18"/>
          <w:szCs w:val="18"/>
          <w:color w:val="auto"/>
        </w:rPr>
        <w:t>” below for additional discussion of the New Revolving Credit Facility.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Impacts</w:t>
      </w:r>
    </w:p>
    <w:p>
      <w:pPr>
        <w:spacing w:after="0" w:line="254"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performed an assessment of the March 2024 Refinancing Transactions and determined it met the criteria to be accounted for as a troubled debt restructuring under Accounting Standards Codification No. 470-60, </w:t>
      </w:r>
      <w:r>
        <w:rPr>
          <w:rFonts w:ascii="Times New Roman" w:cs="Times New Roman" w:eastAsia="Times New Roman" w:hAnsi="Times New Roman"/>
          <w:sz w:val="18"/>
          <w:szCs w:val="18"/>
          <w:i w:val="1"/>
          <w:iCs w:val="1"/>
          <w:color w:val="auto"/>
        </w:rPr>
        <w:t>Troubled Debt Restructurings by Debtors</w:t>
      </w:r>
      <w:r>
        <w:rPr>
          <w:rFonts w:ascii="Times New Roman" w:cs="Times New Roman" w:eastAsia="Times New Roman" w:hAnsi="Times New Roman"/>
          <w:sz w:val="18"/>
          <w:szCs w:val="18"/>
          <w:color w:val="auto"/>
        </w:rPr>
        <w:t>. For each series of the Existing Debt Instruments exchanged, the undiscounted cash flows associated with the New Debt Instruments issued were compared to the carrying value of the Existing Debt Instruments exchanged for such New Debt Instruments and the applicable exchange was accounted for as follows: (i) to the extent the undiscounted cash flows of the New Debt Instruments in question were lower than the carrying value of the applicable Existing Debt Instruments exchanged, the carrying value of the applicable New Debt Instruments was established at the total of these undiscounted cash flows, with a gain recorded for the remaining difference between this value and the carrying value of the applicable Existing Debt Instruments (as such, no interest expense will be recorded for the applicable 3.50% FLSO Senior Secured Notes prospectively) and (ii) to the extent the undiscounted cash flows of the New Debt Instruments in question exceeded the carrying value of the applicable Existing Debt Instruments exchanged, the carrying value of the applicable New Debt Instruments was established at the carrying value of the applicable Existing Debt Instruments and the company established new effective interest rates based on the carrying value of the applicable Existing Term Loans prior to the March 2024 Refinancing Transactions.</w:t>
      </w:r>
    </w:p>
    <w:p>
      <w:pPr>
        <w:spacing w:after="0" w:line="21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difference between the principal amount of the 3.50% FLSO Senior Secured Notes and the carrying value was recorded as a premium and is included in long-term debt on the company’s Condensed Consolidated Balance Sheets.</w:t>
      </w:r>
    </w:p>
    <w:p>
      <w:pPr>
        <w:spacing w:after="0" w:line="18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premium recorded on the 3.50% FLSO Senior Secured Notes was $39.1 million, which will be reduced as contractual interest payments are made on the 3.50% FLSO Senior Secured Notes.</w:t>
      </w:r>
    </w:p>
    <w:p>
      <w:pPr>
        <w:spacing w:after="0" w:line="18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March 2024 Refinancing Transactions, the company recorded a gain in the first quarter of 2024 of $56.7 million after deducting third-party costs and lender fees incurred. The gain is included in "Debt modification costs and gain on debt extinguishment" in our Condensed Consolidated Statements of Comprehensive Loss. The company incurred third party fees of $28.4 million.</w:t>
      </w:r>
    </w:p>
    <w:p>
      <w:pPr>
        <w:spacing w:after="0" w:line="203"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The March 2024 Refinancing Transactions were completed in April 2024 with the closing of the Public Note Exchange. In connection with the Public Note Exchange, we recorded a $23.3 million gain, after deducting $3.3 million of third-party fees, in the second quarter of 2024. The gain is included in "Debt modification costs and gain on debt extinguishment" in our Condensed Consolidated Statements of Comprehensive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Senior Facilities</w:t>
      </w:r>
    </w:p>
    <w:p>
      <w:pPr>
        <w:spacing w:after="0" w:line="254" w:lineRule="exact"/>
        <w:rPr>
          <w:sz w:val="20"/>
          <w:szCs w:val="20"/>
          <w:color w:val="auto"/>
        </w:rPr>
      </w:pPr>
    </w:p>
    <w:p>
      <w:pPr>
        <w:ind w:right="280" w:firstLine="486"/>
        <w:spacing w:after="0" w:line="289" w:lineRule="auto"/>
        <w:rPr>
          <w:sz w:val="20"/>
          <w:szCs w:val="20"/>
          <w:color w:val="auto"/>
        </w:rPr>
      </w:pPr>
      <w:r>
        <w:rPr>
          <w:rFonts w:ascii="Times New Roman" w:cs="Times New Roman" w:eastAsia="Times New Roman" w:hAnsi="Times New Roman"/>
          <w:sz w:val="17"/>
          <w:szCs w:val="17"/>
          <w:color w:val="auto"/>
        </w:rPr>
        <w:t>On March 12, 2024, Rackspace Finance Holdings, LLC (“Rackspace Finance Holdings”), the New Borrower,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FLSO Term Loan Facility</w:t>
      </w:r>
    </w:p>
    <w:p>
      <w:pPr>
        <w:spacing w:after="0" w:line="25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New Borrower issued the FLSO Term Loan Facility in an aggregate principal amount of $1,687.2 million. The FLSO Term Loan Facility matures on May 15, 2028. Borrowings under the FLSO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2.75%.</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the contractual interest rate on the FLSO Term Loan Facility was 7.98%. We are required to make quarterly principal payments of $4.2 million, which began on March 31, 2024. See Note 11, “Derivatives,” for information on interest rate swap agreements we utilize to manage the interest rate risk on the FLSO Term Loan Facility.</w:t>
      </w:r>
    </w:p>
    <w:p>
      <w:pPr>
        <w:spacing w:after="0" w:line="203"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Affiliates of ABRY Partners, LLC and ABRY Partners II, LLC (collectively, “ABRY”) are FLSO Term Loan Facility lenders under the New First Lien Credit Agreement. As of September 30, 2024, the outstanding principal amount of the FLSO Term Loan Facility was $1,631.1 million, of which $49.7 million, or 3.0%, is due to ABRY affiliates. Investment funds affiliated with ABRY are also co-investors in Rackspace Technology.</w:t>
      </w:r>
    </w:p>
    <w:p>
      <w:pPr>
        <w:spacing w:after="0" w:line="20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Apollo Global Management, Inc. also held $80.7 million, or 4.9%, of the outstanding principal amount of the FLSO Term Loan Facility.</w:t>
      </w:r>
    </w:p>
    <w:p>
      <w:pPr>
        <w:spacing w:after="0" w:line="18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Prior to September 12, 2025, the New Borrower may prepay some or all of the FLSO Term Loan Facility, together with accrued and unpaid interest, subject to the applicable “make-whole” premium. On or after September 12, 2025, the New Borrower may prepay some or all of the FLSO Term Loan Facility, together with accrued and unpaid interest, without prepayment premium or penalty.</w:t>
      </w:r>
    </w:p>
    <w:p>
      <w:pPr>
        <w:spacing w:after="0" w:line="203" w:lineRule="exact"/>
        <w:rPr>
          <w:sz w:val="20"/>
          <w:szCs w:val="20"/>
          <w:color w:val="auto"/>
        </w:rPr>
      </w:pPr>
    </w:p>
    <w:p>
      <w:pPr>
        <w:jc w:val="both"/>
        <w:ind w:right="160" w:firstLine="486"/>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New Borrower repurchased and surrendered for cancellation $24.1 million and $43.4 million principal amount of the FLSO Term Loan Facility, respectively, for $11.2 million and $20.6 million, respectively. In connection with these repurchases, we recorded a gain, included in "Debt modification costs and gain on debt extinguishment", of $18.0 million and $32.1 million, respectively, in our Condensed Consolidated Statements of Comprehensive Loss for the three and nine months ended September 30, 2024, which includes $4.9 million and $9.0 million of unamortized debt issuance costs and debt premium write-offs, respectively.</w:t>
      </w:r>
    </w:p>
    <w:p>
      <w:pPr>
        <w:spacing w:after="0" w:line="210"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FLSO Term Loan Facility as of September 30, 2024 was $880.8 million, based on quoted market prices for identical assets that are traded in over-the-counter secondary markets that are not considered active. The fair value of the FLSO Term Loan Facility is classified as Level 2 within the fair value hierarchy.</w:t>
      </w:r>
    </w:p>
    <w:p>
      <w:pPr>
        <w:spacing w:after="0" w:line="203"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FLSO Term Loan Facility are guaranteed on a senior secured basis, jointly and severally, by Rackspace Finance Holdings on a limited-recourse basis and by certain of the New Borrower’s subsidiaries (the “Subsidiary Guarantors”). The obligations under the FLSO Term Loan Facility are secured by a pledge of the New Borrower’s capital stock directly held by Rackspace Finance Holdings and substantially all of the New Borrower’s and the Subsidiary Guarantors’ assets, subject to exceptions.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FLSO Term Loan Facility contains certain customary affirmative covenants, negative covenants, and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FLFO Term Loan Facility</w:t>
      </w:r>
    </w:p>
    <w:p>
      <w:pPr>
        <w:spacing w:after="0" w:line="2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New Borrower issued the FLFO Term Loan Facility in an initial aggregate principal amount of $275.0 million. The FLFO Term Loan Facility matures on May 15, 2028. Borrowings under the FLFO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6.25% and were issued with 1.00% of original issue discount.</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the contractual interest rate on the FLFO Term Loan Facility was 11.48%. We are required to make quarterly principal payments of $0.7 million, which began on June 30, 2024. See Note 11, “Derivatives,” for information on interest rate swap agreements we utilize to manage the interest rate risk on the FLFO Term Loan Facility.</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Prior to September 12, 2025, the New Borrower may prepay some or all of the FLFO Term Loan Facility, together with accrued and unpaid interest, subject to the applicable “make-whole” premium. On or after September 12, 2025 but prior to September 12, 2027, the New Borrower may prepay some or all of the FLFO Term Loan Facility, together with accrued and unpaid interest, subject to a prepayment fee equal to (x) 3.00% of the principal amount of the FLFO Term Loan Facility so prepaid prior to September 12, 2026 and (y) 1.00% of the principal amount of the FLFO Term Loan Facility so prepaid on or after September 12, 2026 but prior to September 12, 2027. On or after September 12, 2027, the New Borrower may prepay some or all of the FLFO Term Loan Facility, together with accrued and unpaid interest, without prepayment premium or penalty.</w:t>
      </w:r>
    </w:p>
    <w:p>
      <w:pPr>
        <w:spacing w:after="0" w:line="21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FLFO Term Loan Facility as of September 30, 2024 was $276.4 million, based on quoted market prices for identical assets that are traded in over-the-counter secondary markets that are not considered active. The fair value of the FLFO Term Loan Facility is classified as Level 2 within the fair value hierarchy.</w:t>
      </w:r>
    </w:p>
    <w:p>
      <w:pPr>
        <w:spacing w:after="0" w:line="203"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FLFO Term Loan Facility contains certain customary affirmative covenants, negative covenants, and events of default.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Revolving Credit Facility</w:t>
      </w:r>
    </w:p>
    <w:p>
      <w:pPr>
        <w:spacing w:after="0" w:line="25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New Borrower established the New Revolving Credit Facility in an aggregate principal amount of $375.0 million of commitments. The New Revolving Credit Facility matures on May 15, 2028 and bears interest at an annual rate equal to Term SOFR equal to the forward-looking term rate, based on the secured overnight financing rate as administered by the Federal Reserve Bank of New York, for the interest period relevant to such borrowing, subject to a 1.00% floor, plus an applicable margin of initially 3.00%. After June 30, 2024, the applicable margin became subject to a net first lien leverage-based pricing grid as set forth in the New First Lien Credit Agreement. In addition to paying interest on the outstanding principal under the New Revolving Credit Facility, the New Borrower is required to pay a commitment fee equal to initially 0.50% per annum to the lenders under the New Revolving Credit Facility in respect of the unutilized commitments thereunder. After June 30, 2024, the commitment fee became subject to a net first lien leverage-based pricing grid as set forth in the New First Lien Credit Agreement. The New Borrower may prepay loans incurred under the New Revolving Credit Facility, together with accrued and unpaid interest, without prepayment premium or penalty.</w:t>
      </w:r>
    </w:p>
    <w:p>
      <w:pPr>
        <w:spacing w:after="0" w:line="21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New Revolving Credit Facility are guaranteed on a senior secured basis, jointly and severally, by Rackspace Finance Holdings on a limited-recourse basis and by the Subsidiary Guarantors. The obligations under the New Revolving Credit Facility are secured by the same collateral that secures the FLSO Term Loan Facility, the FLFO Term Loan Facility and the 3.50% FLSO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New Revolving Credit Facility contains certain customary affirmative covenants, negative covenants, and events of default. In addition, the New Revolving Credit Facility contains a financial covenant which limits the super-priority net senior secured leverage ratio to a maximum of 5.00 to 1.00; however, this covenant is only applicable and tested if the aggregate amount of outstanding borrowings under the New Revolving Credit Facility and letters of credit issued thereunder (excluding $25.0 million of undrawn letters of credit and cash collateralized letters of credit) as of the last day of a fiscal quarter is greater than 35% of the New Revolving Credit Facility commitments as of the last day of such fiscal quarter.</w:t>
      </w:r>
    </w:p>
    <w:p>
      <w:pPr>
        <w:spacing w:after="0" w:line="210"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we had total commitments of $375.0 million, no outstanding borrowings under the New Revolving Credit Facility, and $23.5 million of letters of credit issued thereunder. As such, as of September 30, 2024, we had $375.0 million of available commitments remaining.</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we were in compliance with all covenants under the New Senior Facilities.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FLSO Senior Secured Notes due 2028</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12, 2024, the New Borrower issued $267.3 million initial aggregate principal amount of the 3.50% FLSO Senior Secured Notes. On April 2, 2024 and April 16, 2024, the New Borrower issued additional 3.50% FLSO Senior Secured Notes in an aggregate principal amount of $93.3 million and $3.6 million, respectively. The 3.50% FLSO Senior Secured Notes will mature on May 15, 2028 and bear interest at an annual fixed rate of 3.50%. Interest is payable semiannually on each February 15 and August 15, commencing on August 15, 2024. The 3.50% FLSO Senior Secured Notes are not subject to registration rights.</w:t>
      </w:r>
    </w:p>
    <w:p>
      <w:pPr>
        <w:spacing w:after="0" w:line="21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New Borrower may redeem some or all of the 3.50% FLSO Senior Secured Notes at its option prior to September 12, 2025 at a redemption price equal to 100% of the principal amount of the 3.50% FLSO Senior Secured Notes redeemed, plus a “make-whole” premium described in the indenture governing the 3.50% FLSO Senior Secured Notes (the “3.50% FLSO Senior Secured Notes Indenture”), plus accrued and unpaid interest, if any, to, but excluding, the redemption date. Commencing September 12, 2025, the New Borrower may redeem the 3.50% FLSO Senior Secured Notes at its option, in whole at any time or in part from time to time, at a redemption price equal to 100% of the principal amount of the 3.50% FLSO Senior Secured Notes redeemed, plus accrued and unpaid interest, if any, to but excluding the redemption date.</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New Borrower repurchased and surrendered for cancellation $45.7 million principal amount of the 3.50% FLSO Senior Secured Notes for $19.3 million, including accrued interest of $0.4 million. In connection with these repurchases, we recorded a gain, included in "Debt modification costs and gain on debt extinguishment", of $33.0 million, in our Condensed Consolidated Statements of Comprehensive Loss for the nine months ended September 30, 2024, which includes $6.3 million of unamortized debt issuance costs and debt premium write-offs.</w:t>
      </w:r>
    </w:p>
    <w:p>
      <w:pPr>
        <w:spacing w:after="0" w:line="21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3.50% FLSO Senior Secured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FLSO Senior Secured Notes Indenture. Additionally, upon the occurrence of a change of control (as defined in the 3.50%FLSO Senior Secured Notes Indenture), we will be required to make an offer to repurchase all of the outstanding 3.50% FLSO Senior Secured Notes at a price in cash equal to 101.000% of the aggregate principal amount, plus accrued and unpaid interest, if any, to, but not including the purchase date. The 3.50% FLSO Senior Secured Notes Indenture also contains customary events of default.</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we were in compliance with all covenants under the 3.50% FLSO Senior Secured Notes Indenture.</w:t>
      </w:r>
    </w:p>
    <w:p>
      <w:pPr>
        <w:spacing w:after="0" w:line="252"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3.50% FLSO Senior Secured Notes as of September 30, 2024 was $86.4 million based on quoted market prices for identical assets that are traded in over-the-counter secondary markets that are not considered active. The fair value of the 3.50% FLSO Senior Secured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Facilities</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senior secured credit facilities include the Term Loan Facility and the prior Revolving Credit Facility (together, the "Senior Facilities").</w:t>
      </w:r>
    </w:p>
    <w:p>
      <w:pPr>
        <w:spacing w:after="0" w:line="252"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On February 9, 2021, we amended and restated the credit agreement governing our Senior Facilities (the "First Lien Credit Agreement"), which included a seven-year $2,300.0 million senior secured first lien term loan facility due on February 15, 2028 and our existing $375.0 million Revolving Credit Facility.</w:t>
      </w:r>
    </w:p>
    <w:p>
      <w:pPr>
        <w:spacing w:after="0" w:line="20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On April 26, 2023, we executed an amendment to our First Lien Credit Agreement to establish Term SOFR as the benchmark rate for determining the applicable interest rate, replacing LIBOR.</w:t>
      </w:r>
    </w:p>
    <w:p>
      <w:pPr>
        <w:spacing w:after="0" w:line="189" w:lineRule="exact"/>
        <w:rPr>
          <w:sz w:val="20"/>
          <w:szCs w:val="20"/>
          <w:color w:val="auto"/>
        </w:rPr>
      </w:pPr>
    </w:p>
    <w:p>
      <w:pPr>
        <w:jc w:val="both"/>
        <w:ind w:right="20" w:firstLine="486"/>
        <w:spacing w:after="0" w:line="257" w:lineRule="auto"/>
        <w:rPr>
          <w:sz w:val="20"/>
          <w:szCs w:val="20"/>
          <w:color w:val="auto"/>
        </w:rPr>
      </w:pPr>
      <w:r>
        <w:rPr>
          <w:rFonts w:ascii="Times New Roman" w:cs="Times New Roman" w:eastAsia="Times New Roman" w:hAnsi="Times New Roman"/>
          <w:sz w:val="18"/>
          <w:szCs w:val="18"/>
          <w:color w:val="auto"/>
        </w:rPr>
        <w:t>As a result of the amendment, 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0.26% for an interest period of three-months' duration, and 0.43% for an interest period of six-months' duration, subject to a 0.75% floor, in the case of the Term Loan Facility, and a 1.00% floor, in the case of the Revolving Credit Facility, or (b) a base rate determined by reference to the highest of (i) the federal funds rate plus 0.50%, (ii) the prime rate of Citibank, N.A. and (iii) adjusted Term SOFR for a one-month tenor plus 1.00%.</w:t>
      </w:r>
    </w:p>
    <w:p>
      <w:pPr>
        <w:spacing w:after="0" w:line="21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applicable margin for the Term Loan Facility is 2.75% for SOFR loans and 1.75% for base rate loans and the applicable margin for the Revolving Credit Facility is 3.00% for SOFR loans and 2.00% for base rate loans. Interest is due at the end of each interest period elected, not exceeding 90 days, for SOFR loans and at the end of every calendar quarter for base rate loans.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other material terms and conditions of the First Lien Credit Agreement were unchanged.</w:t>
      </w:r>
    </w:p>
    <w:p>
      <w:pPr>
        <w:spacing w:after="0" w:line="237"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color w:val="auto"/>
        </w:rPr>
        <w:t>As a result of the Private Exchange and the Public Term Loan Exchange, discussed within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over 97% of the $2,181.2 million aggregate principal amount of the Term Loan Facility outstanding as of December 31, 2023 was exchanged or purchased for cancellation.</w:t>
      </w:r>
    </w:p>
    <w:p>
      <w:pPr>
        <w:spacing w:after="0" w:line="20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203"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the contractual interest rate on the Term Loan Facility was 7.98%. We are required to make quarterly principal payments of $0.2 million. See Note 11, “Derivatives,” for information on interest rate swap agreements we utilize to manage the interest rate risk on the Term Loan Facility.</w:t>
      </w:r>
    </w:p>
    <w:p>
      <w:pPr>
        <w:spacing w:after="0" w:line="203"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w:t>
      </w:r>
    </w:p>
    <w:p>
      <w:pPr>
        <w:spacing w:after="0" w:line="210"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Term Loan Facility as of September 30, 2024 was $29.1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0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only financial covenant was with respect to the prior Revolving Credit Facility. As discussed 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on March 12, 2024, all revolving lenders under the prior Revolving Credit Facility exchanged their revolving loan commitments for commitments in respect of the New Revolving Credit Facility, which replaces in full the prior Revolving Credit Facility. See “</w:t>
      </w:r>
      <w:r>
        <w:rPr>
          <w:rFonts w:ascii="Times New Roman" w:cs="Times New Roman" w:eastAsia="Times New Roman" w:hAnsi="Times New Roman"/>
          <w:sz w:val="18"/>
          <w:szCs w:val="18"/>
          <w:i w:val="1"/>
          <w:iCs w:val="1"/>
          <w:color w:val="auto"/>
        </w:rPr>
        <w:t>New Revolving Credit Facility</w:t>
      </w:r>
      <w:r>
        <w:rPr>
          <w:rFonts w:ascii="Times New Roman" w:cs="Times New Roman" w:eastAsia="Times New Roman" w:hAnsi="Times New Roman"/>
          <w:sz w:val="18"/>
          <w:szCs w:val="18"/>
          <w:color w:val="auto"/>
        </w:rPr>
        <w:t>” above for information regarding this new debt instrument.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we were in compliance with all covenants under the Senior Facilities.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Senior Secured Notes due 2028</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9, 2021, Rackspace Technology Global issued $550.0 million aggregate principal amount of the 3.50% Senior Secured Notes.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Senior Secured Notes will mature on February 15, 2028 and bear interest at an annual fixed rate of 3.50%. Interest is payable semiannually 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and August 15, commencing on August 15, 2021. The 3.50% Senior Secured Notes are not subject to registration rights.</w:t>
      </w:r>
    </w:p>
    <w:p>
      <w:pPr>
        <w:spacing w:after="0" w:line="23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Rackspace Technology Global may redeem the 3.50% Senior Secured Notes at its option, in whole at any time or in part from time to time, at the following redemption prices: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2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indenture governing the 3.50% Senior Secured Notes (the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Rackspace Technology Global was in compliance with all covenants under the 3.50% Notes Indenture.</w:t>
      </w:r>
    </w:p>
    <w:p>
      <w:pPr>
        <w:spacing w:after="0" w:line="25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Private Exchange and the Public Note Exchange, discussed above, over 91% of the $513.7 million aggregate principal amount of the 3.50% Senior Secured Notes outstanding as of December 31, 2023 was exchanged or purchased for cancellation.</w:t>
      </w:r>
    </w:p>
    <w:p>
      <w:pPr>
        <w:spacing w:after="0" w:line="18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3.50% Senior Secured Notes as of September 30, 2024 was $12.1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5.375% Senior Notes due 2028</w:t>
      </w:r>
    </w:p>
    <w:p>
      <w:pPr>
        <w:spacing w:after="0" w:line="254"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On December 1, 2020, Rackspace Technology Global issued $550.0 million aggregate principal amount of the 5.375% Senior Notes.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20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Global may redeem the 5.375% Senior Notes at its option, in whole at any time or in part from time to time, at the following redemption prices: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2023, Rackspace Technology Global repurchased and surrendered for cancellation</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$85.2 million and $250.0 million principal amount of 5.375% Senior Notes for $29.8 million and $86.6 million, including accrued interest of $0.8 million and $2.1 million, respectively. In connection with these repurchases, we recorded a gain, included in "Debt modification costs and gain on debt extinguishment", of $55.4 million and $163.1 million, respectively, in our Condensed Consolidated Statements of Comprehensive Loss for the three and nine months ended September 30, 2023, which includes $0.8 million and $2.4 million of unamortized debt issuance costs write-offs, respectively.</w:t>
      </w:r>
    </w:p>
    <w:p>
      <w:pPr>
        <w:spacing w:after="0" w:line="214" w:lineRule="exact"/>
        <w:rPr>
          <w:sz w:val="20"/>
          <w:szCs w:val="20"/>
          <w:color w:val="auto"/>
        </w:rPr>
      </w:pPr>
    </w:p>
    <w:p>
      <w:pPr>
        <w:ind w:right="800" w:firstLine="486"/>
        <w:spacing w:after="0" w:line="284" w:lineRule="auto"/>
        <w:rPr>
          <w:sz w:val="20"/>
          <w:szCs w:val="20"/>
          <w:color w:val="auto"/>
        </w:rPr>
      </w:pPr>
      <w:r>
        <w:rPr>
          <w:rFonts w:ascii="Times New Roman" w:cs="Times New Roman" w:eastAsia="Times New Roman" w:hAnsi="Times New Roman"/>
          <w:sz w:val="18"/>
          <w:szCs w:val="18"/>
          <w:color w:val="auto"/>
        </w:rPr>
        <w:t>As previously described 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as part of the Private Exchange, we repurchased and cancelled $69.3 million aggregate principal amount of the 5.375% Senior Notes during the nine months ended September 30, 2024.</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during the nine months ended September 30, 2024, Rackspace Technology Global repurchased and surrendered for cancellation $2.9 million principal amount of 5.375% Senior Notes for $0.8 million. In connection with these repurchases, we recorded a gain, included in "Debt modification costs and gain on debt extinguishment", of $2.1 million, in our Condensed Consolidated Statements of Comprehensive Loss for the nine months ended September 30, 2024.</w:t>
      </w:r>
    </w:p>
    <w:p>
      <w:pPr>
        <w:spacing w:after="0" w:line="20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indenture governing the 5.375% Senior Notes (the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Rackspace Technology Global was in compliance with all covenants under the 5.375% Notes Indenture.</w:t>
      </w:r>
    </w:p>
    <w:p>
      <w:pPr>
        <w:spacing w:after="0" w:line="25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5.375% Senior Notes as of September 30, 2024 was $34.5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207"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20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Headquarters Lease</w:t>
      </w:r>
    </w:p>
    <w:p>
      <w:pPr>
        <w:spacing w:after="0" w:line="25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February 2023, we signed an agreement to lease approximately 93,000 square feet of office space in San Antonio, Texas, which will serve as our new corporate headquarters. The initial lease term is 11 years, with three 5-year renewal options. In addition to monthly base rent, we will also pay a share of common area maintenance and operating expenses. The lease commenced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25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On April 22, 2024, the Board of Directors approved an amendment to the Rackspace Technology, Inc. 2020 Equity Incentive Plan (the "2020 Incentive Plan") to increase the maximum number of shares of our common stock available for issuance under the 2020 Incentive Plan from 57.9 million shares to 87.9 million shares, subject to stockholder approval. The amendment was subsequently approved by our stockholders as part of the 2024 Annual Meeting of Stockholders held on June 14, 2024.</w:t>
      </w:r>
    </w:p>
    <w:p>
      <w:pPr>
        <w:spacing w:after="0" w:line="207"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granted 9.6 million restricted stock units ("RSUs") under the 2020 Incentive Plan with a weighted-average grant date fair value of $1.85. The majority of the RSUs were granted as part of our annual compensation award process and vest ratably over a three-year period, subject to continued service.</w:t>
      </w:r>
    </w:p>
    <w:p>
      <w:pPr>
        <w:spacing w:after="0" w:line="20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during the nine months ended September 30, 2024, 0.6 million performance stock units ("PSUs") were granted under the 2020 Incentive Plan with a weighted-average grant date fair value of $2.78. The PSUs represent the target amount of grants, and the actual number of shares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w:t>
      </w:r>
    </w:p>
    <w:p>
      <w:pPr>
        <w:spacing w:after="0" w:line="21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Lastly, during the nine months ended September 30, 2024, we granted 31.8 million long-term incentive cash units (“LTIC units”) under the 2020 Incentive Plan. The awards were valued using a Monte Carlo simulation and as of September 30, 2024 the LTIC units had a weighted average fair value of $0.99. The LTIC units represent the target amount of grants, and the actual number of units awarded upon vesting may vary depending upon the achievement of the relevant market condition which is based on the performance of our common stock. The awards are eligible to vest in equal installments over three years based on the attainment of the market condition and the employee’s continued service through the vesting date. As the company intends to settle the LTIC units in cash, they were classified as liabilities within “Other current liabilities” and “Other non-current liabilities” in the Condensed Consolidated Balance Sheets.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is comprised of the following equity and liability classified award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80" w:type="dxa"/>
            <w:vAlign w:val="bottom"/>
            <w:tcBorders>
              <w:bottom w:val="single" w:sz="8" w:color="auto"/>
            </w:tcBorders>
          </w:tcPr>
          <w:p>
            <w:pPr>
              <w:spacing w:after="0"/>
              <w:rPr>
                <w:sz w:val="18"/>
                <w:szCs w:val="18"/>
                <w:color w:val="auto"/>
              </w:rPr>
            </w:pPr>
          </w:p>
        </w:tc>
      </w:tr>
      <w:tr>
        <w:trPr>
          <w:trHeight w:val="211"/>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classified awards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Liability classified awards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recognized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12"/>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Pre-tax share-based compensation expense</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13"/>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Income tax benefit</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share-based compensation expense, net of tax</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$47.2 million of total unrecognized compensation cost related to stock options, RSUs, PSUs, and the ESPP, which will be recognized using the service period or over our best estimate of the period over which the performance condition will be met, as applicable.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Taxes</w:t>
      </w:r>
    </w:p>
    <w:p>
      <w:pPr>
        <w:spacing w:after="0" w:line="25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September 30, 2024, our effective tax rate is lower than the U.S. federal statutory rate of 21% primarily due to the tax impact associated with changes in the valuation allowance related to disallowed interest, the tax impact associated with the goodwill impairment recorded in the third quarter of 2024, and the additional third quarter tax impact of the March 2024 Refinancing Transactions which were completed in April 2024. For the nine months ended September 30, 2024, our effective tax rate is lower than the U.S. federal statutory rate of 21% primarily due to the tax impact associated with changes in the valuation allowance related to disallowed interest, the tax impact associated with the goodwill impairment recorded in both the first and third quarters of 2024, the majority of which was nondeductible for income tax purposes, and the tax impact of the March 2024 Refinancing Transactions discussed below. The tax impact of the March 2024 Refinancing Transactions include excluded cancellation of indebtedness income (“CODI”), federal and state attribution reduction and changes in valuation allowance. In December 2021, the Organisation for Economic Co-operation and Development (the “OECD”) issued model rules for a new global minimum tax framework (Pillar Two). Governments in many of the countries where we operate have issued, or are in the process of issuing, legislation on this rule. We are currently evaluating, but do not expect this rule to have a material impact on our consolidated financial statements.</w:t>
      </w:r>
    </w:p>
    <w:p>
      <w:pPr>
        <w:spacing w:after="0" w:line="22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a result of the March 2024 Refinancing Transactions, discussed in Note 7, “Debt”, specifically upon the completion of the Private Exchange and Public Term Loan Exchange in March 2024, and the completion of the Public Note Exchange in April 2024, the company realized CODI for US tax purposes of $531.5 million and $80.5 million, respectively. We realized an additional $13.0 million CODI for US tax purposes from third quarter 2024 debt repurchase activity, for a total $625.0 million for the nine months ended September 30, 2024. Pursuant to Internal Revenue Code (“IRC”) Section 108, an insolvent debtor may exclude CODI from taxable income to the extent of the debtor’s insolvency (liabilities greater than the fair value of its assets) but must reduce its tax attributes, subject to certain limitations and according to prescribed ordering rules, based on the amount of CODI excluded from taxable income. The company currently estimates that the level of its insolvency (as defined for US Tax purposes) exceeds the amount of CODI resulting from the March 2024 Refinancing Transactions, such that all resulting CODI will be excluded from the company’s taxable income.</w:t>
      </w:r>
    </w:p>
    <w:p>
      <w:pPr>
        <w:spacing w:after="0" w:line="21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process for determining the amount of tax attribute reduction is complex and the actual reduction to attributes does not occur until the first day of the company’s tax year subsequent to the date of the discharge event, or January 1, 2025. Therefore, the estimated impact of the tax attribute reduction from the March 2024 Refinancing Transactions is subject to change until the finalization of the company’s tax returns for the year ending December 31, 2024.</w:t>
      </w:r>
    </w:p>
    <w:p>
      <w:pPr>
        <w:spacing w:after="0" w:line="20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For purposes of determining the interim tax provision for the nine months ended September 30, 2024, the company estimates that all its federal (and certain of its state) net operating loss and tax credit carryovers will be eliminated resulting from the tax attribute reduction for excluded CODI. For the nine months ended September 30, 2024, the company recorded an income tax benefit of $79.5 million related to the total effects of the March 2024 Refinancing Transactions, including excluded CODI, federal and state tax attribute reduction, and resulting changes in valuation allowance. The total income tax benefit recorded in the nine months ended September 30, 2024 was a tax benefit of $22.6 million which includes the $79.5 million tax benefit from the March 2024 Refinancing Transactions.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Derivatives</w:t>
      </w:r>
    </w:p>
    <w:p>
      <w:pPr>
        <w:spacing w:after="0" w:line="256"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5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the floating-rate Term Loan Facility, FLSO Term Loan Facility, and FLFO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210"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Condensed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for income taxes" under the portfolio approach.</w:t>
      </w:r>
    </w:p>
    <w:p>
      <w:pPr>
        <w:spacing w:after="0" w:line="21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w:t>
      </w:r>
    </w:p>
    <w:p>
      <w:pPr>
        <w:spacing w:after="0" w:line="214"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amount remaining in "Accumulated other comprehensive income" for the de-designated December 2016 and December 2018 swaps at the de-designation date was approximately $51.6 million, and is amortized as an increase to "Interest expense" over the effective period of the original swap agreements.</w:t>
      </w:r>
    </w:p>
    <w:p>
      <w:pPr>
        <w:spacing w:after="0" w:line="20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new receive-fixed interest rate swap qualifies as a hybrid instrument in accordance with ASC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Condensed Consolidated Statements of Cash Flows.</w:t>
      </w:r>
    </w:p>
    <w:p>
      <w:pPr>
        <w:spacing w:after="0" w:line="20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new pay-fixed interest rate swap also qualifies as a hybrid instrument in accordance with ASC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Condensed Consolidated Statements of Cash Flows while the portion treated as an at-market derivative will be classified as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As discussed in Note 7, "Debt", on April 26, 2023 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2.3820% to 2.34150% as a result of the swap agreement amendment.</w:t>
      </w:r>
    </w:p>
    <w:p>
      <w:pPr>
        <w:spacing w:after="0" w:line="21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On a monthly basis, we net settle with the counterparty for the difference between the fixed rate of 2.34150% and the variable rate based upon the one-month Term SOFR (subject to a floor of 0.75%) as applied to the notional amount of the swap.</w:t>
      </w:r>
    </w:p>
    <w:p>
      <w:pPr>
        <w:spacing w:after="0" w:line="189"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In conjunction with the March 2024 Refinancing Transactions, as discussed in Note 7, “Debt”, we issued additional borrowings and used the proceeds to repay previously hedged borrowings under the Term Loan Facility. Given that the specific intent of the new borrowings was a replacement of the previously hedged borrowings and the economic characteristics were the same, we continue to apply hedge accounting on the replacement borrowings.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and September 30, 2024, the cash flow hedge was highly effective.</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terms of interest rate swaps are presented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28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20" w:type="dxa"/>
            <w:vAlign w:val="bottom"/>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100" w:type="dxa"/>
            <w:vAlign w:val="bottom"/>
            <w:vMerge w:val="restart"/>
          </w:tcPr>
          <w:p>
            <w:pPr>
              <w:spacing w:after="0"/>
              <w:rPr>
                <w:sz w:val="14"/>
                <w:szCs w:val="14"/>
                <w:color w:val="auto"/>
              </w:rPr>
            </w:pPr>
          </w:p>
        </w:tc>
        <w:tc>
          <w:tcPr>
            <w:tcW w:w="130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Fixed Rate Paid</w:t>
            </w:r>
          </w:p>
        </w:tc>
        <w:tc>
          <w:tcPr>
            <w:tcW w:w="168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118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00" w:type="dxa"/>
            <w:vAlign w:val="bottom"/>
            <w:vMerge w:val="restart"/>
          </w:tcPr>
          <w:p>
            <w:pPr>
              <w:spacing w:after="0"/>
              <w:rPr>
                <w:sz w:val="14"/>
                <w:szCs w:val="14"/>
                <w:color w:val="auto"/>
              </w:rPr>
            </w:pPr>
          </w:p>
        </w:tc>
        <w:tc>
          <w:tcPr>
            <w:tcW w:w="170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11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20" w:type="dxa"/>
            <w:vAlign w:val="bottom"/>
            <w:vMerge w:val="restart"/>
          </w:tcPr>
          <w:p>
            <w:pPr>
              <w:spacing w:after="0"/>
              <w:rPr>
                <w:sz w:val="14"/>
                <w:szCs w:val="14"/>
                <w:color w:val="auto"/>
              </w:rPr>
            </w:pPr>
          </w:p>
        </w:tc>
        <w:tc>
          <w:tcPr>
            <w:tcW w:w="178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(Received)</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00" w:type="dxa"/>
            <w:vAlign w:val="bottom"/>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2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Entered into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February 3, 2019</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2.7490%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3, 2020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2.7350%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3, 2021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2.7360%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3, 2022</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2.7800%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4"/>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Entered into February 2021:</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5"/>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9, 2021</w:t>
            </w:r>
          </w:p>
        </w:tc>
        <w:tc>
          <w:tcPr>
            <w:tcW w:w="12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w w:val="95"/>
              </w:rPr>
              <w:t xml:space="preserve">2.34150% </w:t>
            </w:r>
            <w:r>
              <w:rPr>
                <w:rFonts w:ascii="Times New Roman" w:cs="Times New Roman" w:eastAsia="Times New Roman" w:hAnsi="Times New Roman"/>
                <w:sz w:val="21"/>
                <w:szCs w:val="21"/>
                <w:color w:val="auto"/>
                <w:w w:val="95"/>
                <w:vertAlign w:val="superscript"/>
              </w:rPr>
              <w:t>(1)</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r>
      <w:tr>
        <w:trPr>
          <w:trHeight w:val="210"/>
        </w:trPr>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r>
      <w:tr>
        <w:trPr>
          <w:trHeight w:val="20"/>
        </w:trPr>
        <w:tc>
          <w:tcPr>
            <w:tcW w:w="2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rate paid prior to the May 9, 2023 amendment was 2.3820%.</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40" w:type="dxa"/>
            <w:vAlign w:val="bottom"/>
            <w:gridSpan w:val="2"/>
          </w:tcPr>
          <w:p>
            <w:pPr>
              <w:jc w:val="center"/>
              <w:ind w:right="919"/>
              <w:spacing w:after="0"/>
              <w:rPr>
                <w:sz w:val="20"/>
                <w:szCs w:val="20"/>
                <w:color w:val="auto"/>
              </w:rPr>
            </w:pPr>
            <w:r>
              <w:rPr>
                <w:rFonts w:ascii="Times New Roman" w:cs="Times New Roman" w:eastAsia="Times New Roman" w:hAnsi="Times New Roman"/>
                <w:sz w:val="16"/>
                <w:szCs w:val="16"/>
                <w:color w:val="auto"/>
                <w:w w:val="99"/>
              </w:rPr>
              <w:t>Matured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Matured</w:t>
            </w:r>
          </w:p>
        </w:tc>
        <w:tc>
          <w:tcPr>
            <w:tcW w:w="15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November 3, 2023</w:t>
            </w:r>
          </w:p>
        </w:tc>
      </w:tr>
      <w:tr>
        <w:trPr>
          <w:trHeight w:val="216"/>
        </w:trPr>
        <w:tc>
          <w:tcPr>
            <w:tcW w:w="1540" w:type="dxa"/>
            <w:vAlign w:val="bottom"/>
            <w:gridSpan w:val="2"/>
          </w:tcPr>
          <w:p>
            <w:pPr>
              <w:jc w:val="center"/>
              <w:ind w:right="919"/>
              <w:spacing w:after="0"/>
              <w:rPr>
                <w:sz w:val="20"/>
                <w:szCs w:val="20"/>
                <w:color w:val="auto"/>
              </w:rPr>
            </w:pPr>
            <w:r>
              <w:rPr>
                <w:rFonts w:ascii="Times New Roman" w:cs="Times New Roman" w:eastAsia="Times New Roman" w:hAnsi="Times New Roman"/>
                <w:sz w:val="16"/>
                <w:szCs w:val="16"/>
                <w:color w:val="auto"/>
                <w:w w:val="99"/>
              </w:rPr>
              <w:t>Matured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Matured</w:t>
            </w:r>
          </w:p>
        </w:tc>
        <w:tc>
          <w:tcPr>
            <w:tcW w:w="15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November 3, 2023</w:t>
            </w:r>
          </w:p>
        </w:tc>
      </w:tr>
      <w:tr>
        <w:trPr>
          <w:trHeight w:val="216"/>
        </w:trPr>
        <w:tc>
          <w:tcPr>
            <w:tcW w:w="1540" w:type="dxa"/>
            <w:vAlign w:val="bottom"/>
            <w:gridSpan w:val="2"/>
          </w:tcPr>
          <w:p>
            <w:pPr>
              <w:jc w:val="center"/>
              <w:ind w:right="919"/>
              <w:spacing w:after="0"/>
              <w:rPr>
                <w:sz w:val="20"/>
                <w:szCs w:val="20"/>
                <w:color w:val="auto"/>
              </w:rPr>
            </w:pPr>
            <w:r>
              <w:rPr>
                <w:rFonts w:ascii="Times New Roman" w:cs="Times New Roman" w:eastAsia="Times New Roman" w:hAnsi="Times New Roman"/>
                <w:sz w:val="16"/>
                <w:szCs w:val="16"/>
                <w:color w:val="auto"/>
                <w:w w:val="99"/>
              </w:rPr>
              <w:t>Matured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Matured</w:t>
            </w:r>
          </w:p>
        </w:tc>
        <w:tc>
          <w:tcPr>
            <w:tcW w:w="15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November 3, 2023</w:t>
            </w:r>
          </w:p>
        </w:tc>
      </w:tr>
      <w:tr>
        <w:trPr>
          <w:trHeight w:val="216"/>
        </w:trPr>
        <w:tc>
          <w:tcPr>
            <w:tcW w:w="1540" w:type="dxa"/>
            <w:vAlign w:val="bottom"/>
            <w:gridSpan w:val="2"/>
          </w:tcPr>
          <w:p>
            <w:pPr>
              <w:jc w:val="center"/>
              <w:ind w:right="919"/>
              <w:spacing w:after="0"/>
              <w:rPr>
                <w:sz w:val="20"/>
                <w:szCs w:val="20"/>
                <w:color w:val="auto"/>
              </w:rPr>
            </w:pPr>
            <w:r>
              <w:rPr>
                <w:rFonts w:ascii="Times New Roman" w:cs="Times New Roman" w:eastAsia="Times New Roman" w:hAnsi="Times New Roman"/>
                <w:sz w:val="16"/>
                <w:szCs w:val="16"/>
                <w:color w:val="auto"/>
                <w:w w:val="99"/>
              </w:rPr>
              <w:t>Matured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Matured</w:t>
            </w:r>
          </w:p>
        </w:tc>
        <w:tc>
          <w:tcPr>
            <w:tcW w:w="15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November 3, 2023</w:t>
            </w:r>
          </w:p>
        </w:tc>
      </w:tr>
      <w:tr>
        <w:trPr>
          <w:trHeight w:val="597"/>
        </w:trPr>
        <w:tc>
          <w:tcPr>
            <w:tcW w:w="1540" w:type="dxa"/>
            <w:vAlign w:val="bottom"/>
            <w:gridSpan w:val="2"/>
          </w:tcPr>
          <w:p>
            <w:pPr>
              <w:jc w:val="center"/>
              <w:ind w:right="919"/>
              <w:spacing w:after="0"/>
              <w:rPr>
                <w:sz w:val="20"/>
                <w:szCs w:val="20"/>
                <w:color w:val="auto"/>
              </w:rPr>
            </w:pPr>
            <w:r>
              <w:rPr>
                <w:rFonts w:ascii="Times New Roman" w:cs="Times New Roman" w:eastAsia="Times New Roman" w:hAnsi="Times New Roman"/>
                <w:sz w:val="16"/>
                <w:szCs w:val="16"/>
                <w:color w:val="auto"/>
                <w:w w:val="98"/>
              </w:rPr>
              <w:t>Active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Active</w:t>
            </w:r>
          </w:p>
        </w:tc>
        <w:tc>
          <w:tcPr>
            <w:tcW w:w="15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February 9, 2026</w:t>
            </w:r>
          </w:p>
        </w:tc>
      </w:tr>
      <w:tr>
        <w:trPr>
          <w:trHeight w:val="210"/>
        </w:trPr>
        <w:tc>
          <w:tcPr>
            <w:tcW w:w="9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3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
        </w:trPr>
        <w:tc>
          <w:tcPr>
            <w:tcW w:w="9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-967740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-694055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-179705</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64" w:lineRule="exact"/>
        <w:rPr>
          <w:sz w:val="20"/>
          <w:szCs w:val="20"/>
          <w:color w:val="auto"/>
        </w:rPr>
      </w:pPr>
    </w:p>
    <w:p>
      <w:pPr>
        <w:sectPr>
          <w:pgSz w:w="11900" w:h="16838" w:orient="portrait"/>
          <w:cols w:equalWidth="0" w:num="2">
            <w:col w:w="5100" w:space="420"/>
            <w:col w:w="5720"/>
          </w:cols>
          <w:pgMar w:left="320" w:top="121" w:right="339" w:bottom="1440" w:gutter="0" w:footer="0" w:header="0"/>
          <w:type w:val="continuous"/>
        </w:sectPr>
      </w:pPr>
    </w:p>
    <w:p>
      <w:pPr>
        <w:spacing w:after="0" w:line="4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interest rate swap agreements, excluding the portion treated as debt, are recognized at fair value in the Condensed Consolidated Balance Sheets and are valued using pricing models that rely on market observable inputs such as yield curve data, which are classified as Level 2 inputs within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Derivatives on the Condensed Consolidated Balance Sheets</w:t>
      </w:r>
    </w:p>
    <w:p>
      <w:pPr>
        <w:spacing w:after="0" w:line="256"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fair values of our derivatives and their location on the Condensed Consolidated Balance Sheets as of December 31, 2023 and September 30, 2024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46"/>
        </w:trPr>
        <w:tc>
          <w:tcPr>
            <w:tcW w:w="248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26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6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 xml:space="preserve">Other current liabilities </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Other non-current liabilities </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entire balance is comprised of the financing component of the pay-fixed interest rate swap.</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1"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Effects of</w:t>
            </w: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Effects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Counterparty</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Net Amounts</w:t>
            </w: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180" w:type="dxa"/>
            <w:vAlign w:val="bottom"/>
            <w:gridSpan w:val="3"/>
            <w:vMerge w:val="continue"/>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Derivatives on the Condensed Consolidated Statements of Comprehensive Loss</w:t>
      </w:r>
    </w:p>
    <w:p>
      <w:pPr>
        <w:spacing w:after="0" w:line="256"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effect of our derivatives and their location on the Condensed Consolidated Statements of Comprehensive Loss for the three and nine months ended September 30, 2023 and 2024 was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78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46"/>
        </w:trPr>
        <w:tc>
          <w:tcPr>
            <w:tcW w:w="28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Derivatives not designated as hedging</w:t>
            </w:r>
          </w:p>
        </w:tc>
        <w:tc>
          <w:tcPr>
            <w:tcW w:w="23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23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Interest expense was $56.5 million and $18.0 million for the three months ended September 30, 2023 and 2024, respectively, and $170.7 million and $80.1 million for the nine months ended September 30, 2023 and 2024, respectively. As of September 30, 2024, the amount of cash flow hedge gain included within "Accumulated other comprehensive income" that is expected to be reclassified as a reduction to "Interest expense" over the next 12 months is approximately $37.8 million. See Note 12, "Accumulated Other Comprehensive Income (Loss)," for information regarding changes in fair value of our derivatives designated as hedging instruments.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Credit-risk-related Contingent Features</w:t>
      </w:r>
    </w:p>
    <w:p>
      <w:pPr>
        <w:spacing w:after="0" w:line="256"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We have agreements with interest rate swap counterparties that contain a provision whereby if we default on any of our material indebtedness, then we could also be declared in default of our interest rate swap agreements. As of September 30, 2024, our outstanding interest rate swap agreement was in a net asset position.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 (loss)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benefit of $0.7</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$3.1</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$2.6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500" w:right="400" w:hanging="492"/>
        <w:spacing w:after="0" w:line="280" w:lineRule="auto"/>
        <w:tabs>
          <w:tab w:leader="none" w:pos="40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reduction to interest expense recognized of $14.8 million related to the cash flow hedge gain for the three months ended September 30, 2023, partially offset by an increase to interest expense for the amortization of off-market swap value and accumulated loss at hedge de-designation of $4.7 million.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$0.2</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$7.8</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$6.8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right="20" w:hanging="492"/>
        <w:spacing w:after="0" w:line="307" w:lineRule="auto"/>
        <w:tabs>
          <w:tab w:leader="none" w:pos="4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a reduction to interest expense recognized of $40.5 million related to the cash flow hedge gain for the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6"/>
          <w:szCs w:val="16"/>
          <w:color w:val="auto"/>
        </w:rPr>
        <w:t xml:space="preserve"> months ended September 30, 2023, partially offset by an increase to interest expense for the amortization of off-market swap value and accumulated loss at hedge de-designation of $13.8 million.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$1.1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loss on derivative contracts, net of tax benefit of $3.9</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$3.8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reduction to interest expense recognized of $14.9 million related to the cash flow hedge gain for the three months ended September 30, 2024.</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1"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$1.0</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$2.2</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$11.4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 xml:space="preserve">Includes a reduction to interest expense recognized of $44.7 million related to the cash flow hedge gain for the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6"/>
          <w:szCs w:val="16"/>
          <w:color w:val="auto"/>
        </w:rPr>
        <w:t xml:space="preserve"> months ended September 30, 2024.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5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organized our operations into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Amazon Web Services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p>
    <w:p>
      <w:pPr>
        <w:spacing w:after="0" w:line="21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operating profit.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w:t>
      </w:r>
    </w:p>
    <w:p>
      <w:pPr>
        <w:spacing w:after="0" w:line="21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we identified that an immaterial amount of revenue for a certain Private Cloud product offering was incorrectly reported in the Public Cloud segment in historical periods. Revenue by segment has been corrected in the table below by reducing Public Cloud revenue by $1.3 million and increasing Private Cloud revenue by $1.3 million for the three months ended September 30, 2023 and reducing Public Cloud revenue by $3.6 million and increasing Private Cloud revenue by $3.6 million for the nine months ended September 30,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revenue by reportable segment to consolidated revenue and a reconciliation of consolidated segment operating profit to consolidated loss before income taxes for the three and nine months ended September 30, 2023 and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 by segment:</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w:t>
            </w:r>
          </w:p>
        </w:tc>
        <w:tc>
          <w:tcPr>
            <w:tcW w:w="0" w:type="dxa"/>
            <w:vAlign w:val="bottom"/>
          </w:tcPr>
          <w:p>
            <w:pPr>
              <w:spacing w:after="0"/>
              <w:rPr>
                <w:sz w:val="1"/>
                <w:szCs w:val="1"/>
                <w:color w:val="auto"/>
              </w:rPr>
            </w:pPr>
          </w:p>
        </w:tc>
      </w:tr>
      <w:tr>
        <w:trPr>
          <w:trHeight w:val="212"/>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consolidated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2,051.5</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Segment operating profit: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segment operating profit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functions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162"/>
        </w:trPr>
        <w:tc>
          <w:tcPr>
            <w:tcW w:w="4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2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2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goodwill</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(5)</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modification costs and gain on debt extinguishment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2"/>
        </w:trPr>
        <w:tc>
          <w:tcPr>
            <w:tcW w:w="4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consolidated loss before income taxes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right="80" w:hanging="344"/>
        <w:spacing w:after="0" w:line="263" w:lineRule="auto"/>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2" w:lineRule="exact"/>
        <w:rPr>
          <w:rFonts w:ascii="Times New Roman" w:cs="Times New Roman" w:eastAsia="Times New Roman" w:hAnsi="Times New Roman"/>
          <w:sz w:val="16"/>
          <w:szCs w:val="16"/>
          <w:color w:val="auto"/>
        </w:rPr>
      </w:pPr>
    </w:p>
    <w:p>
      <w:pPr>
        <w:ind w:left="480" w:right="100" w:hanging="344"/>
        <w:spacing w:after="0" w:line="263" w:lineRule="auto"/>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 w:lineRule="exact"/>
        <w:rPr>
          <w:rFonts w:ascii="Times New Roman" w:cs="Times New Roman" w:eastAsia="Times New Roman" w:hAnsi="Times New Roman"/>
          <w:sz w:val="16"/>
          <w:szCs w:val="16"/>
          <w:color w:val="auto"/>
        </w:rPr>
      </w:pPr>
    </w:p>
    <w:p>
      <w:pPr>
        <w:ind w:left="480" w:right="380" w:hanging="344"/>
        <w:spacing w:after="0" w:line="263" w:lineRule="auto"/>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The nine months ended September 30, 2024 also includes a $9.0 million MEIA early termination fee associated with the sale of our corporate headquarters in March 2024.</w:t>
      </w:r>
    </w:p>
    <w:p>
      <w:pPr>
        <w:spacing w:after="0" w:line="2"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depreciation expense included in segment operating profit above for the three and nine months ended September 30, 2023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functions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2"/>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w:t>
            </w:r>
          </w:p>
        </w:tc>
      </w:tr>
      <w:tr>
        <w:trPr>
          <w:trHeight w:val="21"/>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Management does not use total assets by segment to evaluate segment performance or allocate resources. As such, total assets by segment are not disclosed.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32"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intended to help readers understand our results of operations, financial condition and cash flows and should be read in conjunction with the condensed consolidated financial statements and the related notes included elsewhere in this Quarterly Report on Form 10-Q (this "Quarterly Report") and with the audited consolidated financial statements and the related notes included in our Annual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Rackspace Technology,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Rackspace Technology, Inc. and its consolidated subsidiaries.</w:t>
      </w:r>
    </w:p>
    <w:p>
      <w:pPr>
        <w:spacing w:after="0" w:line="210"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contains forward-looking statements that are subject to risks and uncertainties. Actual results may differ materially from those contained in any forward-looking statements.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contained elsewhere in this Quarterly Report.</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are a leading end-to-end, hybrid, multicloud,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0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operate our business and report our results through two reportable segments: Public Cloud and Private Cloud. Our Public Cloud segment is a services-centric, capital-light model providing value-added cloud solutions through managed services, Elastic Engineering and professional services offerings for customer environments hosted on the AWS, Microsoft Azure and Google Cloud public cloud platforms. Our Private Cloud segment is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See Item 1 of Part I, Financial Statements - Note 13, "Segment Reporting," for additional information about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Differentiating Our Service Offerings in a Competitive Market Environment</w:t>
      </w:r>
    </w:p>
    <w:p>
      <w:pPr>
        <w:spacing w:after="0" w:line="256"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continue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Relationships and Retention</w:t>
      </w:r>
    </w:p>
    <w:p>
      <w:pPr>
        <w:spacing w:after="0" w:line="2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Mix Shift</w:t>
      </w:r>
    </w:p>
    <w:p>
      <w:pPr>
        <w:spacing w:after="0" w:line="2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we will continue to take a workload-centric approach and both Public and Private Cloud will be the net recipients of the workloads. The focus in Private Cloud will be to defend and expand our revenue with new solutions. The focus in Public Cloud is on expanding segment operating margins by driving cost efficiencies and growing higher-margin services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Components of Statement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25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0"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discuss our historical results of operations, and the key components of those results, below. Past financial results are not necessarily indicative of future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2023 Compared to Three Months Ended September 30, 2024</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28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2"/>
        </w:trPr>
        <w:tc>
          <w:tcPr>
            <w:tcW w:w="3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200" w:type="dxa"/>
            <w:vAlign w:val="bottom"/>
          </w:tcPr>
          <w:p>
            <w:pPr>
              <w:spacing w:after="0"/>
              <w:rPr>
                <w:sz w:val="18"/>
                <w:szCs w:val="18"/>
                <w:color w:val="auto"/>
              </w:rPr>
            </w:pPr>
          </w:p>
        </w:tc>
        <w:tc>
          <w:tcPr>
            <w:tcW w:w="128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Debt modification costs and gain on debt</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extinguishment</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1"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Revenue decreased $57 million, or 7.7%, to $676 million in the three months ended September 30, 2024 from $732 million in the three months ended September 30, 2023. Revenue declined due to decreases in both Private Cloud and Public Cloud revenue, as discussed below.</w:t>
      </w:r>
    </w:p>
    <w:p>
      <w:pPr>
        <w:spacing w:after="0" w:line="203"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After removing the impact of foreign currency fluctuations, on a constant currency basis, revenue decreased 7.9% year-over-year. The following table presents revenue growth by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20" w:type="dxa"/>
            <w:vAlign w:val="bottom"/>
          </w:tcPr>
          <w:p>
            <w:pPr>
              <w:spacing w:after="0"/>
              <w:rPr>
                <w:sz w:val="18"/>
                <w:szCs w:val="18"/>
                <w:color w:val="auto"/>
              </w:rPr>
            </w:pPr>
          </w:p>
        </w:tc>
        <w:tc>
          <w:tcPr>
            <w:tcW w:w="13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700" w:type="dxa"/>
            <w:vAlign w:val="bottom"/>
          </w:tcPr>
          <w:p>
            <w:pPr>
              <w:jc w:val="right"/>
              <w:ind w:right="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Constant Currency </w:t>
            </w:r>
            <w:r>
              <w:rPr>
                <w:rFonts w:ascii="Times New Roman" w:cs="Times New Roman" w:eastAsia="Times New Roman" w:hAnsi="Times New Roman"/>
                <w:sz w:val="21"/>
                <w:szCs w:val="21"/>
                <w:b w:val="1"/>
                <w:bCs w:val="1"/>
                <w:color w:val="auto"/>
                <w:vertAlign w:val="superscript"/>
              </w:rPr>
              <w:t>(a)</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37"/>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in this section for further explanation and reconciliation.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3"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Public Cloud revenue in the three months ended September 30, 2024 decreased 3.1% on an actual and constant currency basis, from the three months ended September 30, 2023. The decline was due to continued cyclical headwinds in IT services.</w:t>
      </w:r>
    </w:p>
    <w:p>
      <w:pPr>
        <w:spacing w:after="0" w:line="18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Private Cloud revenue in the three months ended September 30, 2024 decreased 14.4% on an actual basis and 14.7% on a constant currency basis, from the three months ended September 30, 2023, due to customers rolling off old generation private cloud offerings and decline in legacy OpenStack offerings.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Cost of revenue decreased $42 million, or 7%, to $538 million in the three months ended September 30, 2024 from $580 million in the three months ended September 30, 2023. The decrease in cost of revenue was primarily due to an increase in the useful life of certain customer gear assets, as discussed in Item 1 of Part I, Financial Statements - Note 1, "Company Overview, Basis of Presentation, and Summary of Significant Accounting Policies", which resulted in a decline in depreciation expense between periods. In addition, we experienced a reduction in usage charges for third-party infrastructure; consistent with the decrease in revenue, and a reduction in license expense due to decreased usage between periods. A decline in personnel costs, driven by a decrease in headcount between periods, and lower severance expense further contributed to the overall reduction in cost of revenue.</w:t>
      </w:r>
    </w:p>
    <w:p>
      <w:pPr>
        <w:spacing w:after="0" w:line="214"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revenue, cost of revenue increased 40 basis points in the three months ended September 30, 2024 to 79.6% from 79.2% in the three months ended September 30, 2023 as the decline in revenue growth outpaced the decrease in cost of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1"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gross profit was $138 million in the three months ended September 30, 2024, a decrease of $15 million from $152 million in the three months ended September 30, 2023. Our gross margin was 20.4% in the three months ended September 30, 2024, a decrease of 40 basis points from 20.8% in the three months ended September 30,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$8 million, or 4%, to $170 million in the three months ended September 30, 2024 from $177 million in the three months ended September 30, 2023. The decrease was partially driven by additional insurance recovery proceeds related to the Hosted Exchange incident received in the current period. Other cost fluctuations between periods included a reduction in depreciation and amortization expense and personnel costs.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percentage of revenue, selling, general and administrative expenses increased 90 basis points, to 25.1% in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from 24.2% in the three months ended September 30, 2023 as the decline in revenue growth outpaced the decrease in selling,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administrative expenses.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 Segment Operating Profit, and Non-GAAP Operating Profit</w:t>
      </w:r>
    </w:p>
    <w:p>
      <w:pPr>
        <w:spacing w:after="0" w:line="2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loss from operations was $174 million in the three months ended September 30, 2024 compared to $239 million in the three months ended September 30, 2023. Our Non-GAAP Operating Profit was $34 million in the three months ended September 30, 2024, a decrease of $11 million from $46 million in the three months ended September 30, 2023. Non-GAAP Operating Profit is a non-GAAP financial measure. See "Non-GAAP Financial Measures" below for more information.</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reconciliation of loss from operations to Non-GAAP Operating Profit.</w:t>
      </w:r>
    </w:p>
    <w:p>
      <w:pPr>
        <w:spacing w:after="0" w:line="390"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 our insurance coverage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09"/>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Operating Profit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right="80" w:hanging="339"/>
        <w:spacing w:after="0" w:line="254" w:lineRule="auto"/>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23" w:lineRule="exact"/>
        <w:rPr>
          <w:rFonts w:ascii="Times New Roman" w:cs="Times New Roman" w:eastAsia="Times New Roman" w:hAnsi="Times New Roman"/>
          <w:sz w:val="16"/>
          <w:szCs w:val="16"/>
          <w:color w:val="auto"/>
        </w:rPr>
      </w:pPr>
    </w:p>
    <w:p>
      <w:pPr>
        <w:ind w:left="480" w:right="100" w:hanging="344"/>
        <w:spacing w:after="0" w:line="254" w:lineRule="auto"/>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3" w:lineRule="exact"/>
        <w:rPr>
          <w:rFonts w:ascii="Times New Roman" w:cs="Times New Roman" w:eastAsia="Times New Roman" w:hAnsi="Times New Roman"/>
          <w:sz w:val="16"/>
          <w:szCs w:val="16"/>
          <w:color w:val="auto"/>
        </w:rPr>
      </w:pPr>
    </w:p>
    <w:p>
      <w:pPr>
        <w:ind w:left="480" w:right="380" w:hanging="339"/>
        <w:spacing w:after="0" w:line="280" w:lineRule="auto"/>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w:t>
      </w:r>
    </w:p>
    <w:p>
      <w:pPr>
        <w:spacing w:after="0" w:line="2"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segment operating profit and segment operating margin for the periods indicated, and the change between periods is shown in the table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profit:</w:t>
            </w:r>
          </w:p>
        </w:tc>
        <w:tc>
          <w:tcPr>
            <w:tcW w:w="180" w:type="dxa"/>
            <w:vAlign w:val="bottom"/>
          </w:tcPr>
          <w:p>
            <w:pPr>
              <w:spacing w:after="0"/>
              <w:rPr>
                <w:sz w:val="13"/>
                <w:szCs w:val="13"/>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20.3</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16.4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80" w:type="dxa"/>
            <w:vAlign w:val="bottom"/>
          </w:tcPr>
          <w:p>
            <w:pPr>
              <w:spacing w:after="0"/>
              <w:rPr>
                <w:sz w:val="18"/>
                <w:szCs w:val="18"/>
                <w:color w:val="auto"/>
              </w:rPr>
            </w:pPr>
          </w:p>
        </w:tc>
        <w:tc>
          <w:tcPr>
            <w:tcW w:w="80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9"/>
              </w:rPr>
              <w:t>86.2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74.5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functions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8"/>
              </w:rPr>
              <w:t>(56.6)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45.5</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w w:val="99"/>
              </w:rPr>
              <w:t>34.3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Public Cloud operating profit decreased 19% in the three months ended September 30, 2024 from the three months ended September 30, 2023. Segment operating profit as a percentage of segment revenue decreased by 80 basis points, reflecting a 3% decrease in segment revenue, partially offset by a 2% decrease in segment operating expenses.</w:t>
      </w:r>
    </w:p>
    <w:p>
      <w:pPr>
        <w:spacing w:after="0" w:line="203"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Private Cloud operating profit decreased 14% in the three months ended September 30, 2024 from the three months ended September 30, 2023. Segment operating profit as a percentage of segment revenue increased by 30 basis points due to a 15% decrease in segment operating expenses, partially offset by a 14% decrease in segment revenue. The decrease in expenses was mainly driven by a reduction in personnel costs.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7% in the three months ended September 30, 2024 from the three months ended September 30, 2023 due to a reduction in depreciation and amortization expense driven by certain assets reaching the end of their useful life. Additionally, our continued focus on cost management further contributed to the cost reduction.</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about our segment operating profit, see Item 1 of Part I, Financial Statements - Note 13, "Segment Reporting."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performed an interim goodwill impairment analysis as of September 30, 2024 based on our assessment of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The results of this goodwill impairment analysis indicated an impairment of goodwill within our Public Cloud and Private Cloud reporting units of $69 million and $73 million, respectively, recorded in the third quarter of 2024.</w:t>
      </w:r>
    </w:p>
    <w:p>
      <w:pPr>
        <w:spacing w:after="0" w:line="21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an interim goodwill impairment analysis as of September 30, 2023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overall change in economic climate, changes in the industry and competitive environment, market capitalization and earnings quality and sustainability. As a result, we determined that the carrying value of our Private Cloud reporting unit exceeded its fair value and recorded a non-cash impairment of goodwill of $166 million in the third quarter of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 Net</w:t>
      </w:r>
    </w:p>
    <w:p>
      <w:pPr>
        <w:spacing w:after="0" w:line="25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evaluated our indefinite-lived intangible asset for impairment as of September 30, 2023. As a result of this evaluation, we recorded a $57 million impairment of our indefinite-lived intangible asset in the third quarter of 2023.</w:t>
      </w:r>
    </w:p>
    <w:p>
      <w:pPr>
        <w:spacing w:after="0" w:line="203"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We also performed a quantitative assessment of our indefinite-lived intangible asset prior to testing our goodwill for impairment as September 30, 2024, which did not indicate any impairment of the Rackspace trade name.</w:t>
      </w:r>
    </w:p>
    <w:p>
      <w:pPr>
        <w:spacing w:after="0" w:line="18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addition, in the three months ended September 30, 2023, we recorded a $9 million increase in the estimated fair value, less estimated cost to sell, of our corporate headquarters, which was classified as held for sale under GAAP as of December 31, 2022. See Item 1 of Part I, Financial Statements - Note 5, "Property, Equipment and Software, net" for more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Interest expense decreased $39 million, or 68%, to $18 million in the three months ended September 30, 2024 from $57 million in the three months ended September 30, 2023, primarily due to the accounting for contractual interest payments on debt instruments entered into as part of the March 2024 Refinancing Transactions, portions of which are recorded as a reduction of related premiums and not as interest expense, which reduces interest expense relative to contractual interest cost.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Modification Costs and Gain on Debt Extinguishment</w:t>
      </w:r>
    </w:p>
    <w:p>
      <w:pPr>
        <w:spacing w:after="0" w:line="254"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We recorded an $18 million gain on debt extinguishment in the three months ended September 30, 2024 related to repurchases of $24 million principal amount of the FLSO Term Loan Facility.</w:t>
      </w:r>
    </w:p>
    <w:p>
      <w:pPr>
        <w:spacing w:after="0" w:line="189"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We recorded a $55 million gain on debt extinguishment in the three months ended September 30, 2023 related to repurchases of $85 million principal amount of 5.375% Senior Notes.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see Item 1 of Part I, Financial Statements - Note 7,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had $1 million and $3 million of other expense in the three months ended September 30, 2024 and 2023, respectively. The decrease was driven by foreign currency gains and the favorable impact of the non-cash fair value adjustment on our convertible promissory note, as discussed in Item 1 of Part I, Financial Statements - Note 2, "Customer Contracts." This decrease was partially offset by an increase in costs incurred in the three months ended September 30, 2024 related to the accounts receivable purchase agreement entered into in September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p>
      <w:pPr>
        <w:spacing w:after="0" w:line="2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income tax expense was $12 million in the three months ended September 30, 2024 compared to $17 million income tax benefit in the three months ended September 30, 2023. Our effective tax rate decreased to (6.8)% in the three months ended September 30, 2024 from 6.8% in the three months ended September 30, 2023. The decrease in the effective tax rate year-over-year and the difference between the effective tax rate and the statutory rate for the three months ended September 30, 2024 is primarily due to the tax impact associated with changes in the valuation allowance, the tax impact of the March 2024 Refinancing Transactions, and the tax impact associated with the goodwill impairment recorded in September 2024, the majority of which was nondeductible for income tax purposes.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2023 Compared to Nine Months Ended September 30, 2024</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30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3"/>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Debt modification costs and gain on debt</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extinguishment</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2"/>
        </w:trPr>
        <w:tc>
          <w:tcPr>
            <w:tcW w:w="3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Revenue decreased $186 million, or 8.3%, to $2,052 million in the nine months ended September 30, 2024 from $2,237 million in the nine months ended September 30, 2023. Revenue declined due to decreases in both Private Cloud and Public Cloud revenue, as discussed below.</w:t>
      </w:r>
    </w:p>
    <w:p>
      <w:pPr>
        <w:spacing w:after="0" w:line="18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After removing the impact from foreign currency fluctuations, on a constant currency basis, revenue decreased 8.5% year-over-year. The following table presents revenue growth by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6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700" w:type="dxa"/>
            <w:vAlign w:val="bottom"/>
          </w:tcPr>
          <w:p>
            <w:pPr>
              <w:jc w:val="right"/>
              <w:ind w:right="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Constant Currency </w:t>
            </w:r>
            <w:r>
              <w:rPr>
                <w:rFonts w:ascii="Times New Roman" w:cs="Times New Roman" w:eastAsia="Times New Roman" w:hAnsi="Times New Roman"/>
                <w:sz w:val="21"/>
                <w:szCs w:val="21"/>
                <w:b w:val="1"/>
                <w:bCs w:val="1"/>
                <w:color w:val="auto"/>
                <w:vertAlign w:val="superscript"/>
              </w:rPr>
              <w:t>(a)</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785.9</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37"/>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in this section for further explanation and reconciliation.</w:t>
      </w:r>
    </w:p>
    <w:p>
      <w:pPr>
        <w:spacing w:after="0" w:line="24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Public Cloud revenue in the nine months ended September 30, 2024 decreased 3.3% on an actual basis and 3.4% on a constant currency basis, from the nine months ended September 30, 2023. The decline was due to continued cyclical headwinds in IT services.</w:t>
      </w:r>
    </w:p>
    <w:p>
      <w:pPr>
        <w:spacing w:after="0" w:line="18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Private Cloud revenue in the nine months ended September 30, 2024 decreased 15.4% on an actual basis and 15.8% on a constant currency basis, from the nine months ended September 30, 2023, due to customers rolling off old generation private cloud offerings and decline in legacy OpenStack offerings.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Cost of revenue decreased $113 million, or 6%, to $1,650 million in the nine months ended September 30, 2024 from $1,763 million in the nine months ended September 30, 2023. The decrease in cost of revenue was primarily due to a decline in personnel costs associated with a reduction in headcount between periods and lower severance expense. Also contributing to the reduction in cost of revenue was an increase in the useful life of certain customer gear assets, as discussed in Item 1 of Part I, Financial Statements - Note 1, "Company Overview, Basis of Presentation, and Summary of Significant Accounting Policies", which resulted in a decline in depreciation expense between periods. A reduction in license expense due to decreased usage further contributed to the decrease in cost of revenue between periods.</w:t>
      </w:r>
    </w:p>
    <w:p>
      <w:pPr>
        <w:spacing w:after="0" w:line="21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As a percentage of revenue, cost of revenue increased 160 basis points in the nine months ended September 30, 2024 to 80.4% from 78.8% in the nine months ended September 30, 2023, as the decline in revenue growth outpaced the decrease in cost of revenue. Usage charges for third-party infrastructure drove a 400 basis point increase. The decrease in personnel costs and depreciation expense, discussed above, partially offset the increase.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gross profit was $402 million in the nine months ended September 30, 2024, a decrease of $73 million from $475 million in the nine months ended September 30, 2023. Our gross margin was 19.6% in the nine months ended September 30, 2024, a decrease of 160 basis points from 21.2% in the nine months ended September 30,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$55 million, or 9%, to $547 million in the nine months ended September 30, 2024 from $602 million in the nine months ended September 30, 2023. The nine months ended September 30, 2023 includes $12 million of expense recognized for a UK office that we exited in the second quarter of 2023, prior to the lease end date. Further contributing to the decrease year-over-year was additional insurance recovery proceeds related to the Hosted Exchange incident received in the current period. In addition, personnel costs decreased due to a reduction in salaries driven by lower headcount and decreases in severance and commissions expense, partially offset by an increase in non-equity incentive compensation. Other non-personnel cost fluctuations included lower professional fees, a reduction in depreciation and amortization expense, and business optimization related expenses between periods.</w:t>
      </w:r>
    </w:p>
    <w:p>
      <w:pPr>
        <w:spacing w:after="0" w:line="216" w:lineRule="exact"/>
        <w:rPr>
          <w:sz w:val="20"/>
          <w:szCs w:val="20"/>
          <w:color w:val="auto"/>
        </w:rPr>
      </w:pPr>
    </w:p>
    <w:p>
      <w:pPr>
        <w:ind w:right="1020"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revenue, selling, general and administrative expenses decreased 20 basis points, to 26.7% in the nine months ended September 30, 2024 from 26.9% in the nine months ended September 30,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 Segment Operating Profit, and Non-GAAP Operating Profit</w:t>
      </w:r>
    </w:p>
    <w:p>
      <w:pPr>
        <w:spacing w:after="0" w:line="2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loss from operations was $880 million in the nine months ended September 30, 2024 compared to $884 million in the nine months ended September 30, 2023. Our Non-GAAP Operating Profit was $73 million in the nine months ended September 30, 2024, a decrease of $62 million from $135 million in the nine months ended September 30, 2023. Non-GAAP Operating Profit is a non-GAAP financial measure. See "Non-GAAP Financial Measures" below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loss from operations to Non-GAAP Operating Profit.</w:t>
      </w:r>
    </w:p>
    <w:p>
      <w:pPr>
        <w:spacing w:after="0" w:line="29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 our insurance coverage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r>
      <w:tr>
        <w:trPr>
          <w:trHeight w:val="216"/>
        </w:trPr>
        <w:tc>
          <w:tcPr>
            <w:tcW w:w="79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Operating Profit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80" w:right="80" w:hanging="339"/>
        <w:spacing w:after="0" w:line="254" w:lineRule="auto"/>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23" w:lineRule="exact"/>
        <w:rPr>
          <w:rFonts w:ascii="Times New Roman" w:cs="Times New Roman" w:eastAsia="Times New Roman" w:hAnsi="Times New Roman"/>
          <w:sz w:val="16"/>
          <w:szCs w:val="16"/>
          <w:color w:val="auto"/>
        </w:rPr>
      </w:pPr>
    </w:p>
    <w:p>
      <w:pPr>
        <w:ind w:left="480" w:right="100" w:hanging="344"/>
        <w:spacing w:after="0" w:line="254" w:lineRule="auto"/>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3" w:lineRule="exact"/>
        <w:rPr>
          <w:rFonts w:ascii="Times New Roman" w:cs="Times New Roman" w:eastAsia="Times New Roman" w:hAnsi="Times New Roman"/>
          <w:sz w:val="16"/>
          <w:szCs w:val="16"/>
          <w:color w:val="auto"/>
        </w:rPr>
      </w:pPr>
    </w:p>
    <w:p>
      <w:pPr>
        <w:ind w:left="480" w:right="380" w:hanging="339"/>
        <w:spacing w:after="0" w:line="254" w:lineRule="auto"/>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The nine months ended September 30, 2024 also includes a $9.0 million MEIA early termination fee associated with the sale of our corporate headquarters in March 2024.</w:t>
      </w:r>
    </w:p>
    <w:p>
      <w:pPr>
        <w:spacing w:after="0" w:line="23"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segment operating profit and segment operating margin for the periods indicated, and the change between periods is shown in the table below:</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profit:</w:t>
            </w:r>
          </w:p>
        </w:tc>
        <w:tc>
          <w:tcPr>
            <w:tcW w:w="180" w:type="dxa"/>
            <w:vAlign w:val="bottom"/>
          </w:tcPr>
          <w:p>
            <w:pPr>
              <w:spacing w:after="0"/>
              <w:rPr>
                <w:sz w:val="13"/>
                <w:szCs w:val="13"/>
                <w:color w:val="auto"/>
              </w:rPr>
            </w:pP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8"/>
              </w:rPr>
              <w:t>(22.0)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8"/>
              </w:rPr>
              <w:t>(52.3)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functions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12.6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2"/>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8"/>
              </w:rPr>
              <w:t>(61.7)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Public Cloud operating profit decreased 37% in the nine months ended September 30, 2024 from the nine months ended September 30, 2023. Segment operating profit as a percentage of segment revenue decreased by 150 basis points, reflecting a 3% decrease in segment revenue, partially offset by a 2% decrease in segment operating expenses.</w:t>
      </w:r>
    </w:p>
    <w:p>
      <w:pPr>
        <w:spacing w:after="0" w:line="20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Private Cloud operating profit decreased 20% in the nine months ended September 30, 2024 from the nine months ended September 30, 2023. Segment operating profit as a percentage of segment revenue decreased by 140 basis points, due to a 15% decrease in segment revenue, partially offset by a 14% decrease in segment operating expenses. The decrease in expenses was mainly driven by a reduction in personnel costs.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7% in the nine months ended September 30, 2024 from the nine months ended September 30, 2023 due to a reduction in depreciation and amortization expense driven by certain assets reaching the end of their useful life. Additionally, our continued focus on cost management further contributed to the cost reduction.</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about our segment operating profit, see Item 1 of Part I, Financial Statements - Note 13, "Segment Reporting."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54"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recorded a total of $709 million and $715 million in non-cash goodwill impairment charges in the nine months ended September 30, 2023 and September 30, 2024,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debt refinancing transactions that were completed in March and April 2024, as further described in Item 1 of Part I, Financial</w:t>
      </w:r>
    </w:p>
    <w:p>
      <w:pPr>
        <w:spacing w:after="0" w:line="5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Statements - Note 7, "Debt", we updated our internal forecasts.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The results of this goodwill impairment analysis indicated an impairment of goodwill within our Public Cloud and Private Cloud reporting units of $385 million and $188 million, respectively, recorded in the first quarter of 2024.</w:t>
      </w:r>
    </w:p>
    <w:p>
      <w:pPr>
        <w:spacing w:after="0" w:line="21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performed an interim goodwill impairment analysis as of September 30, 2024 based on our assessment of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The results of this goodwill impairment analysis indicated an impairment of goodwill within our Public Cloud and Private Cloud reporting units of $69 million and $73 million, respectively, recorded in the third quarter of 2024.</w:t>
      </w:r>
    </w:p>
    <w:p>
      <w:pPr>
        <w:spacing w:after="0" w:line="21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0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an interim goodwill impairment analysis as of September 30, 2023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overall change in economic climate, changes in the industry and competitive environment, market capitalization and earnings quality and sustainability. As a result, we determined that the carrying value of our Private Cloud reporting unit exceeded its fair value and recorded a non-cash impairment of goodwill of $166 million in the third quarter of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 Net</w:t>
      </w:r>
    </w:p>
    <w:p>
      <w:pPr>
        <w:spacing w:after="0" w:line="25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We evaluated our indefinite-lived intangible asset for impairment as of February 29, 2024. As a result of this evaluation, we recorded a $20 million impairment of our indefinite-lived intangible asset in the first quarter of 2024.</w:t>
      </w:r>
    </w:p>
    <w:p>
      <w:pPr>
        <w:spacing w:after="0" w:line="189"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We also performed a quantitative assessment of our indefinite-lived intangible asset prior to testing our goodwill for impairment as September 30, 2024, which did not indicate any impairment of the Rackspace trade name.</w:t>
      </w:r>
    </w:p>
    <w:p>
      <w:pPr>
        <w:spacing w:after="0" w:line="20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Similarly, we evaluated our indefinite-lived intangible asset for impairment as of September 30, 2023. As a result of this evaluation, we recorded a $57 million impairment of our indefinite-lived intangible asset in the third quarter of 2023.</w:t>
      </w:r>
    </w:p>
    <w:p>
      <w:pPr>
        <w:spacing w:after="0" w:line="189"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8"/>
          <w:szCs w:val="18"/>
          <w:color w:val="auto"/>
        </w:rPr>
        <w:t>In addition, in the three months ended September 30, 2023, we recorded a $9 million increase in the estimated fair value, less estimated cost to sell, of our corporate headquarters, which was classified as held for sale under GAAP as of December 31, 2022. See Item 1 of Part I, Financial Statements - Note 5, "Property, Equipment and Software, net" for more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Interest expense decreased $91 million, or 53%, to $80 million in the nine months ended September 30, 2024 from $171 million in the nine months ended September 30, 2023, primarily due to the accounting for contractual interest payments on debt instruments entered into as part of the March 2024 Refinancing Transactions, portions of which are recorded as a reduction of related premiums and not as interest expense, which reduces interest expense relative to contractual interest cost.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Modification Costs and Gain on Debt Extinguishment</w:t>
      </w:r>
    </w:p>
    <w:p>
      <w:pPr>
        <w:spacing w:after="0" w:line="254"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 recorded $80 million debt modification costs and gain on debt extinguishment in the nine months ended September 30, 2024 related to the March 2024 Refinancing Transactions. In addition, we recorded $67 million total gain on debt extinguishment related to repurchases of an aggregate $92 million principal amount of 3.50% FLSO Senior Secured Notes, FLSO Term Loan Facility, and 5.375% Senior Notes during the period.</w:t>
      </w:r>
    </w:p>
    <w:p>
      <w:pPr>
        <w:spacing w:after="0" w:line="203"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We recorded a $163 million gain on debt extinguishment in the nine months ended September 30, 2023 related to repurchases of $250 million principal amount of 5.375% Senior Notes.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see Item 1 of Part I, Financial Statements - Note 7,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54"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had $12 million and $0.3 million of other expense in the nine months ended September 30, 2024 and 2023, respectively, primarily due to costs incurred in the nine months ended September 30, 2024 related to the accounts receivable purchase agreement entered into in September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income tax benefit decreased to $23 million in the nine months ended September 30, 2024 from $26 million in the nine months ended September 30, 2023. Our effective tax rate decreased to 2.8% in the nine months ended September 30, 2024 from 2.9% in the nine months ended September 30, 2023. The decrease in the effective tax rate year-over-year is primarily due to the tax impact associated with changes in the valuation allowance, geographic distribution of profits, the tax impact associated with goodwill impairments recorded in both the first and third quarters of 2024 and the first quarter of 2023, the majority of which were nondeductible for income tax purposes, and the income tax benefit of $80 million related to the March 2024 Refinancing Transactions discussed above. The difference between the effective tax rate and the statutory rate for the nine months ended September 30, 2024 is primarily due to the tax impact associated with changes in the valuation allowance, the tax impact associated with the goodwill impairments recorded in the first and third quarters of 2024, the majority of which were nondeductible for income tax purposes, and the tax impact of the March 2024 Refinancing Transactions.</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Revenue</w:t>
      </w:r>
    </w:p>
    <w:p>
      <w:pPr>
        <w:spacing w:after="0" w:line="24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1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by segment, actual and constant currency revenue and constant currency revenue growth rates, for and between the periods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20" w:type="dxa"/>
            <w:vAlign w:val="bottom"/>
          </w:tcPr>
          <w:p>
            <w:pPr>
              <w:spacing w:after="0"/>
              <w:rPr>
                <w:sz w:val="16"/>
                <w:szCs w:val="16"/>
                <w:color w:val="auto"/>
              </w:rPr>
            </w:pPr>
          </w:p>
        </w:tc>
        <w:tc>
          <w:tcPr>
            <w:tcW w:w="178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6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0" w:type="dxa"/>
            <w:vAlign w:val="bottom"/>
          </w:tcPr>
          <w:p>
            <w:pPr>
              <w:spacing w:after="0"/>
              <w:rPr>
                <w:sz w:val="13"/>
                <w:szCs w:val="13"/>
                <w:color w:val="auto"/>
              </w:rPr>
            </w:pPr>
          </w:p>
        </w:tc>
        <w:tc>
          <w:tcPr>
            <w:tcW w:w="11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Revenue in</w:t>
            </w:r>
          </w:p>
        </w:tc>
        <w:tc>
          <w:tcPr>
            <w:tcW w:w="120" w:type="dxa"/>
            <w:vAlign w:val="bottom"/>
          </w:tcPr>
          <w:p>
            <w:pPr>
              <w:spacing w:after="0"/>
              <w:rPr>
                <w:sz w:val="13"/>
                <w:szCs w:val="13"/>
                <w:color w:val="auto"/>
              </w:rPr>
            </w:pPr>
          </w:p>
        </w:tc>
        <w:tc>
          <w:tcPr>
            <w:tcW w:w="17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2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Translation </w:t>
            </w:r>
            <w:r>
              <w:rPr>
                <w:rFonts w:ascii="Times New Roman" w:cs="Times New Roman" w:eastAsia="Times New Roman" w:hAnsi="Times New Roman"/>
                <w:sz w:val="21"/>
                <w:szCs w:val="21"/>
                <w:b w:val="1"/>
                <w:bCs w:val="1"/>
                <w:color w:val="auto"/>
                <w:w w:val="97"/>
                <w:vertAlign w:val="superscript"/>
              </w:rPr>
              <w:t>(a)</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2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0"/>
        <w:spacing w:after="0"/>
        <w:tabs>
          <w:tab w:leader="none" w:pos="460" w:val="left"/>
        </w:tabs>
        <w:rPr>
          <w:sz w:val="20"/>
          <w:szCs w:val="20"/>
          <w:color w:val="auto"/>
        </w:rPr>
      </w:pPr>
      <w:r>
        <w:rPr>
          <w:rFonts w:ascii="Times New Roman" w:cs="Times New Roman" w:eastAsia="Times New Roman" w:hAnsi="Times New Roman"/>
          <w:sz w:val="16"/>
          <w:szCs w:val="16"/>
          <w:color w:val="auto"/>
        </w:rPr>
        <w:t>(a)</w:t>
        <w:tab/>
        <w:t>The effect of foreign currency is calculated by translating current period results using the average exchange rate from the prior comparative period.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20" w:type="dxa"/>
            <w:vAlign w:val="bottom"/>
          </w:tcPr>
          <w:p>
            <w:pPr>
              <w:spacing w:after="0"/>
              <w:rPr>
                <w:sz w:val="16"/>
                <w:szCs w:val="16"/>
                <w:color w:val="auto"/>
              </w:rPr>
            </w:pPr>
          </w:p>
        </w:tc>
        <w:tc>
          <w:tcPr>
            <w:tcW w:w="178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0" w:type="dxa"/>
            <w:vAlign w:val="bottom"/>
          </w:tcPr>
          <w:p>
            <w:pPr>
              <w:spacing w:after="0"/>
              <w:rPr>
                <w:sz w:val="13"/>
                <w:szCs w:val="13"/>
                <w:color w:val="auto"/>
              </w:rPr>
            </w:pPr>
          </w:p>
        </w:tc>
        <w:tc>
          <w:tcPr>
            <w:tcW w:w="11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Revenue in</w:t>
            </w:r>
          </w:p>
        </w:tc>
        <w:tc>
          <w:tcPr>
            <w:tcW w:w="120" w:type="dxa"/>
            <w:vAlign w:val="bottom"/>
          </w:tcPr>
          <w:p>
            <w:pPr>
              <w:spacing w:after="0"/>
              <w:rPr>
                <w:sz w:val="13"/>
                <w:szCs w:val="13"/>
                <w:color w:val="auto"/>
              </w:rPr>
            </w:pPr>
          </w:p>
        </w:tc>
        <w:tc>
          <w:tcPr>
            <w:tcW w:w="17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2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Translation </w:t>
            </w:r>
            <w:r>
              <w:rPr>
                <w:rFonts w:ascii="Times New Roman" w:cs="Times New Roman" w:eastAsia="Times New Roman" w:hAnsi="Times New Roman"/>
                <w:sz w:val="21"/>
                <w:szCs w:val="21"/>
                <w:b w:val="1"/>
                <w:bCs w:val="1"/>
                <w:color w:val="auto"/>
                <w:w w:val="97"/>
                <w:vertAlign w:val="superscript"/>
              </w:rPr>
              <w:t>(a)</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2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1,264.6</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80" w:hanging="339"/>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is calculated by translating current period results using the average exchange rate from the prior comparative period.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9"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w:t>
      </w:r>
    </w:p>
    <w:p>
      <w:pPr>
        <w:spacing w:after="0" w:line="25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present Non-GAAP Gross Profit in this MD&amp;A because we believe the measure is useful in analyzing trends in our underlying, recurring gross margins. We define Non-GAAP Gross Profit as gross profit, adjusted to exclude the impact of share-based compensation expense and other non-recurring or unusual compensation items, purchase accounting-related effects, certain business transformation-related costs, and costs related to the Hosted Exchange incident.</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reconciliation of gross profit to Non-GAAP Gross Profit: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Purchase accounting impact on expense </w:t>
            </w:r>
            <w:r>
              <w:rPr>
                <w:rFonts w:ascii="Times New Roman" w:cs="Times New Roman" w:eastAsia="Times New Roman" w:hAnsi="Times New Roman"/>
                <w:sz w:val="21"/>
                <w:szCs w:val="21"/>
                <w:color w:val="auto"/>
                <w:vertAlign w:val="superscript"/>
              </w:rPr>
              <w:t>(b)</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24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2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Gross Profit</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80" w:right="80" w:hanging="454"/>
        <w:spacing w:after="0" w:line="232" w:lineRule="auto"/>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for retention bonuses, mainly in connection with restructuring and transformation projects, and the related payroll tax,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6" w:lineRule="exact"/>
        <w:rPr>
          <w:rFonts w:ascii="Times New Roman" w:cs="Times New Roman" w:eastAsia="Times New Roman" w:hAnsi="Times New Roman"/>
          <w:sz w:val="16"/>
          <w:szCs w:val="16"/>
          <w:color w:val="auto"/>
        </w:rPr>
      </w:pPr>
    </w:p>
    <w:p>
      <w:pPr>
        <w:ind w:left="480" w:hanging="454"/>
        <w:spacing w:after="0"/>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purchase accounting from the Rackspace Acquisition on expenses.</w:t>
      </w:r>
    </w:p>
    <w:p>
      <w:pPr>
        <w:spacing w:after="0" w:line="59" w:lineRule="exact"/>
        <w:rPr>
          <w:rFonts w:ascii="Times New Roman" w:cs="Times New Roman" w:eastAsia="Times New Roman" w:hAnsi="Times New Roman"/>
          <w:sz w:val="16"/>
          <w:szCs w:val="16"/>
          <w:color w:val="auto"/>
        </w:rPr>
      </w:pPr>
    </w:p>
    <w:p>
      <w:pPr>
        <w:ind w:left="480" w:right="120" w:hanging="454"/>
        <w:spacing w:after="0" w:line="245" w:lineRule="auto"/>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business transformation and optimization activities, as well as associated severance, certain facility closure costs and lease termination expenses.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 Non-GAAP Operating Profit and Adjusted EBITDA</w:t>
      </w:r>
    </w:p>
    <w:p>
      <w:pPr>
        <w:spacing w:after="0" w:line="25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0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21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costs related to the closure of a UK office, the interest expense impact from the debt Refinancing Transactions, and certain other non-operating, non-recurring or non-core gains and losses, as well as the tax effects of these non-GAAP adjustments.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define Non-GAAP Operating Profit as income (loss) from operations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costs related to the closure of a UK office, and certain other non-operating, non-recurring or non-core gains and losses.</w:t>
      </w:r>
    </w:p>
    <w:p>
      <w:pPr>
        <w:spacing w:after="0" w:line="20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the impact of non-cash charges for share-based compensation, special bonuses and other compensation expense, transaction-related costs and adjustments, restructuring and transformation charges, costs related to the Hosted Exchange incident, costs related to the closure of a UK office, certain other non-operating, non-recurring or non-core gains and losses, interest expense, expenses for our accounts receivable purchase agreement, income taxes, depreciation and amortization, and goodwill and asset impairment charges.</w:t>
      </w:r>
    </w:p>
    <w:p>
      <w:pPr>
        <w:spacing w:after="0" w:line="207"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20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16"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a reconciliation of Non-GAAP Net Income (Loss) and Adjusted EBITDA to the most directly comparable GAAP financial measures. For a reconciliation of income (loss) from operations to Non-GAAP Operating Profit, see "</w:t>
      </w:r>
      <w:r>
        <w:rPr>
          <w:rFonts w:ascii="Times New Roman" w:cs="Times New Roman" w:eastAsia="Times New Roman" w:hAnsi="Times New Roman"/>
          <w:sz w:val="18"/>
          <w:szCs w:val="18"/>
          <w:i w:val="1"/>
          <w:iCs w:val="1"/>
          <w:color w:val="auto"/>
        </w:rPr>
        <w:t>Loss from Operations, Segment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Profit, and Non-GAAP Operating Profit</w:t>
      </w:r>
      <w:r>
        <w:rPr>
          <w:rFonts w:ascii="Times New Roman" w:cs="Times New Roman" w:eastAsia="Times New Roman" w:hAnsi="Times New Roman"/>
          <w:sz w:val="18"/>
          <w:szCs w:val="18"/>
          <w:color w:val="auto"/>
        </w:rPr>
        <w:t>" in the year-over-year comparison under "Results of Operations"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reconciliation to Non-GAAP Net Loss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(802.2)</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(d)</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gain on divestiture and investments </w:t>
            </w:r>
            <w:r>
              <w:rPr>
                <w:rFonts w:ascii="Times New Roman" w:cs="Times New Roman" w:eastAsia="Times New Roman" w:hAnsi="Times New Roman"/>
                <w:sz w:val="21"/>
                <w:szCs w:val="21"/>
                <w:color w:val="auto"/>
                <w:vertAlign w:val="superscript"/>
              </w:rPr>
              <w:t>(e)</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modification costs and gain on debt extinguishment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impact from the Refinancing Transactions </w:t>
            </w:r>
            <w:r>
              <w:rPr>
                <w:rFonts w:ascii="Times New Roman" w:cs="Times New Roman" w:eastAsia="Times New Roman" w:hAnsi="Times New Roman"/>
                <w:sz w:val="21"/>
                <w:szCs w:val="21"/>
                <w:color w:val="auto"/>
                <w:vertAlign w:val="superscript"/>
              </w:rPr>
              <w:t>(f)</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1"/>
                <w:szCs w:val="21"/>
                <w:color w:val="auto"/>
                <w:vertAlign w:val="superscript"/>
              </w:rPr>
              <w:t>(g)</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(h)</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non-GAAP adjustments </w:t>
            </w:r>
            <w:r>
              <w:rPr>
                <w:rFonts w:ascii="Times New Roman" w:cs="Times New Roman" w:eastAsia="Times New Roman" w:hAnsi="Times New Roman"/>
                <w:sz w:val="21"/>
                <w:szCs w:val="21"/>
                <w:color w:val="auto"/>
                <w:vertAlign w:val="superscript"/>
              </w:rPr>
              <w:t>(i)</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Net Loss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reconciliation to Adjusted EBITDA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(802.2)</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(d)</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gain on divestiture and investments </w:t>
            </w:r>
            <w:r>
              <w:rPr>
                <w:rFonts w:ascii="Times New Roman" w:cs="Times New Roman" w:eastAsia="Times New Roman" w:hAnsi="Times New Roman"/>
                <w:sz w:val="21"/>
                <w:szCs w:val="21"/>
                <w:color w:val="auto"/>
                <w:vertAlign w:val="superscript"/>
              </w:rPr>
              <w:t>(e)</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modification costs and gain on debt extinguishment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expense, net </w:t>
            </w:r>
            <w:r>
              <w:rPr>
                <w:rFonts w:ascii="Times New Roman" w:cs="Times New Roman" w:eastAsia="Times New Roman" w:hAnsi="Times New Roman"/>
                <w:sz w:val="21"/>
                <w:szCs w:val="21"/>
                <w:color w:val="auto"/>
                <w:vertAlign w:val="superscript"/>
              </w:rPr>
              <w:t>(j)</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(k)</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0" w:type="dxa"/>
            <w:vAlign w:val="bottom"/>
          </w:tcPr>
          <w:p>
            <w:pPr>
              <w:spacing w:after="0"/>
              <w:rPr>
                <w:sz w:val="1"/>
                <w:szCs w:val="1"/>
                <w:color w:val="auto"/>
              </w:rPr>
            </w:pPr>
          </w:p>
        </w:tc>
      </w:tr>
      <w:tr>
        <w:trPr>
          <w:trHeight w:val="209"/>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right="80" w:hanging="339"/>
        <w:spacing w:after="0" w:line="263"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2" w:lineRule="exact"/>
        <w:rPr>
          <w:rFonts w:ascii="Times New Roman" w:cs="Times New Roman" w:eastAsia="Times New Roman" w:hAnsi="Times New Roman"/>
          <w:sz w:val="16"/>
          <w:szCs w:val="16"/>
          <w:color w:val="auto"/>
        </w:rPr>
      </w:pPr>
    </w:p>
    <w:p>
      <w:pPr>
        <w:ind w:left="480" w:right="100" w:hanging="344"/>
        <w:spacing w:after="0" w:line="263"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 w:lineRule="exact"/>
        <w:rPr>
          <w:rFonts w:ascii="Times New Roman" w:cs="Times New Roman" w:eastAsia="Times New Roman" w:hAnsi="Times New Roman"/>
          <w:sz w:val="16"/>
          <w:szCs w:val="16"/>
          <w:color w:val="auto"/>
        </w:rPr>
      </w:pPr>
    </w:p>
    <w:p>
      <w:pPr>
        <w:ind w:left="480" w:right="380" w:hanging="339"/>
        <w:spacing w:after="0" w:line="263"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The nine months ended September 30, 2024 also includes a $9.0 million MEIA early termination fee associated with the sale of our corporate headquarters in March 2024.</w:t>
      </w:r>
    </w:p>
    <w:p>
      <w:pPr>
        <w:spacing w:after="0" w:line="2"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59"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gains and losses on investment and from dispositions.</w:t>
      </w:r>
    </w:p>
    <w:p>
      <w:pPr>
        <w:spacing w:after="0" w:line="59" w:lineRule="exact"/>
        <w:rPr>
          <w:rFonts w:ascii="Times New Roman" w:cs="Times New Roman" w:eastAsia="Times New Roman" w:hAnsi="Times New Roman"/>
          <w:sz w:val="16"/>
          <w:szCs w:val="16"/>
          <w:color w:val="auto"/>
        </w:rPr>
      </w:pPr>
    </w:p>
    <w:p>
      <w:pPr>
        <w:ind w:left="480" w:right="60" w:hanging="330"/>
        <w:spacing w:after="0" w:line="280"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impact due to the accounting for contractual interest payments on debt instruments entered into as part of the March 2024 Refinancing Transactions, which reduced interest expense relative to contractual interest cost.</w:t>
      </w:r>
    </w:p>
    <w:p>
      <w:pPr>
        <w:spacing w:after="0" w:line="2"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w:t>
      </w:r>
    </w:p>
    <w:p>
      <w:pPr>
        <w:spacing w:after="0" w:line="59"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sz w:val="20"/>
          <w:szCs w:val="20"/>
          <w:color w:val="auto"/>
        </w:rPr>
      </w:pPr>
    </w:p>
    <w:p>
      <w:pPr>
        <w:ind w:left="480" w:right="60" w:hanging="326"/>
        <w:spacing w:after="0" w:line="248" w:lineRule="auto"/>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2023 and 2024 interim periods, we based it on an average of the 2022 and estimated 2023 tax rates and 2023 and estimated 2024 tax rates, respectively, recomputed to remove the tax effect of non-GAAP pre-tax adjustments and non-recurring tax adjustments, resulting in a structural non-GAAP tax rate of 26% 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18" w:lineRule="exact"/>
        <w:rPr>
          <w:rFonts w:ascii="Times New Roman" w:cs="Times New Roman" w:eastAsia="Times New Roman" w:hAnsi="Times New Roman"/>
          <w:sz w:val="16"/>
          <w:szCs w:val="16"/>
          <w:color w:val="auto"/>
        </w:rPr>
      </w:pPr>
    </w:p>
    <w:p>
      <w:pPr>
        <w:ind w:left="480" w:hanging="326"/>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 and expense related to our accounts receivable purchase agreement.</w:t>
      </w:r>
    </w:p>
    <w:p>
      <w:pPr>
        <w:spacing w:after="0" w:line="59" w:lineRule="exact"/>
        <w:rPr>
          <w:sz w:val="20"/>
          <w:szCs w:val="20"/>
          <w:color w:val="auto"/>
        </w:rPr>
      </w:pPr>
    </w:p>
    <w:p>
      <w:pPr>
        <w:ind w:left="140"/>
        <w:spacing w:after="0"/>
        <w:tabs>
          <w:tab w:leader="none" w:pos="460" w:val="left"/>
        </w:tabs>
        <w:rPr>
          <w:sz w:val="20"/>
          <w:szCs w:val="20"/>
          <w:color w:val="auto"/>
        </w:rPr>
      </w:pPr>
      <w:r>
        <w:rPr>
          <w:rFonts w:ascii="Times New Roman" w:cs="Times New Roman" w:eastAsia="Times New Roman" w:hAnsi="Times New Roman"/>
          <w:sz w:val="16"/>
          <w:szCs w:val="16"/>
          <w:color w:val="auto"/>
        </w:rPr>
        <w:t>(k)</w:t>
        <w:tab/>
        <w:t>Excludes accelerated depreciation expense related to facility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Earnings (Loss) Per Share</w:t>
      </w:r>
    </w:p>
    <w:p>
      <w:pPr>
        <w:spacing w:after="0" w:line="25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but dilutive to Non-GAAP Earnings (Loss) Per Share. Management uses Non-GAAP Earnings (Loss) Per Share to evaluate the performance of our business on a comparable basis from period to period, including by adjusting for the impact of the issuance of shares that would be dilutive to Non-GAAP Earnings (Loss) Per Share. The following table reconciles Non-GAAP Loss Per Share to our GAAP net loss per share on a diluted basis: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(802.2)</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73"/>
        </w:trPr>
        <w:tc>
          <w:tcPr>
            <w:tcW w:w="4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 Diluted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Effect of dilutive securities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0"/>
        </w:trPr>
        <w:tc>
          <w:tcPr>
            <w:tcW w:w="4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weighted average number of shares - Diluted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232.9</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Per share impacts of adjustments to net loss </w:t>
            </w:r>
            <w:r>
              <w:rPr>
                <w:rFonts w:ascii="Times New Roman" w:cs="Times New Roman" w:eastAsia="Times New Roman" w:hAnsi="Times New Roman"/>
                <w:sz w:val="21"/>
                <w:szCs w:val="21"/>
                <w:color w:val="auto"/>
                <w:vertAlign w:val="superscript"/>
              </w:rPr>
              <w:t>(b)</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6"/>
        </w:trPr>
        <w:tc>
          <w:tcPr>
            <w:tcW w:w="48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Per share impacts of shares dilutive after adjustments to net loss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34"/>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Loss Per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right="120" w:hanging="339"/>
        <w:spacing w:after="0" w:line="252" w:lineRule="auto"/>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impact of awards that would have been anti-dilutive to net loss per share, and therefore not included in the calculation, but would be dilutive to Non-GAAP Loss Per Share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Times New Roman" w:cs="Times New Roman" w:eastAsia="Times New Roman" w:hAnsi="Times New Roman"/>
          <w:sz w:val="17"/>
          <w:szCs w:val="17"/>
          <w:color w:val="auto"/>
        </w:rPr>
        <w:t>C")</w:t>
      </w:r>
      <w:r>
        <w:rPr>
          <w:rFonts w:ascii="Times New Roman" w:cs="Times New Roman" w:eastAsia="Times New Roman" w:hAnsi="Times New Roman"/>
          <w:sz w:val="16"/>
          <w:szCs w:val="16"/>
          <w:color w:val="auto"/>
        </w:rPr>
        <w:t>, which are included in the denominator for the entire period if such shares would be issuable as of the end of the reporting period assuming the end of the reporting period was the end of the contingency period.</w:t>
      </w:r>
    </w:p>
    <w:p>
      <w:pPr>
        <w:spacing w:after="0" w:line="26" w:lineRule="exact"/>
        <w:rPr>
          <w:rFonts w:ascii="Times New Roman" w:cs="Times New Roman" w:eastAsia="Times New Roman" w:hAnsi="Times New Roman"/>
          <w:sz w:val="16"/>
          <w:szCs w:val="16"/>
          <w:color w:val="auto"/>
        </w:rPr>
      </w:pPr>
    </w:p>
    <w:p>
      <w:pPr>
        <w:ind w:left="480" w:right="440" w:hanging="344"/>
        <w:spacing w:after="0" w:line="280" w:lineRule="auto"/>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adjustments made to reconcile Non-GAAP Net Loss to our net loss, as noted in the above table, divided by the GAAP diluted number of shares outstanding for the relevant period.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6"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with internally-generated cash from operations and hardware leases, and if necessary, borrowings under the New Revolving Credit Facility. As of September 30, 2024, the New Revolving Credit Facility provided for up to $375 million of borrowings, none of which was drawn and outstanding as of September 30, 2024.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1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3.50% FLSO Senior Secured Notes (the “3.50% FLSO Senior Secured Notes Indenture”), the indenture governing the 5.375% Senior Notes (the "5.375% Notes Indenture") or the indenture governing the 3.50% Senior Secured Notes (the "3.50% Notes Indenture" and, together with the 3.50% FLSO Senior Secured Notes Indenture and 5.375% Notes Indenture, the "Indentures"), if applicable), for cash or other consideration.</w:t>
      </w:r>
    </w:p>
    <w:p>
      <w:pPr>
        <w:spacing w:after="0" w:line="21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On September 29, 2023, indirect subsidiaries of the company entered into a revolving agreement where a bankruptcy-remote special purpose vehicle can sell accounts receivable, based upon the face amount of eligible receivables in the collateral pool, up to an aggregate maximum limit of $300 million to a financial institution on a recurring basis in exchange for cash. On February 12, 2024, the revolving agreement was amended to include certain international subsidiaries of the company as parties to the agreement and Rackspace Receivables Canada Limited, a Canadian indirect subsidiary of the company, was established as a special purpose vehicle.</w:t>
      </w:r>
    </w:p>
    <w:p>
      <w:pPr>
        <w:spacing w:after="0" w:line="210"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At September 30, 2024, we held $157 million in cash and cash equivalents (not including $3 million in restricted cash, which is included in "Other non-current assets"), of which $125 million was held by foreign entities.</w:t>
      </w:r>
    </w:p>
    <w:p>
      <w:pPr>
        <w:spacing w:after="0" w:line="18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installment payment arrangements with certain equipment and software vendors, along with sale-leaseback arrangements for equipment and certain property leases that are considered financing obligations. We had $56 million outstanding with respect to these arrangements as of September 30, 2024. We may choose to utilize these various sources of funding in future periods.</w:t>
      </w:r>
    </w:p>
    <w:p>
      <w:pPr>
        <w:spacing w:after="0" w:line="203"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also lease certain equipment and real estate under operating and finance lease agreements. We had $487 million outstanding with respect to operating and finance lease agreements as of September 30, 2024. We may choose to utilize such leasing arrangements in future periods.</w:t>
      </w:r>
    </w:p>
    <w:p>
      <w:pPr>
        <w:spacing w:after="0" w:line="18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2024, we had $2,455 million aggregate principal amount outstanding under the FLSO Term Loan Facility, the FLFO Term Loan Facility, the Term Loan Facility, 3.50% FLSO Senior Secured Notes, 5.375% Senior Notes, and 3.50% Senior Secured Notes, with $375 million of borrowing capacity available under the New Revolving Credit Facility. Our liquidity requirements are significant, primarily due to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jc w:val="both"/>
        <w:ind w:right="160" w:firstLine="486"/>
        <w:spacing w:after="0" w:line="289" w:lineRule="auto"/>
        <w:rPr>
          <w:sz w:val="20"/>
          <w:szCs w:val="20"/>
          <w:color w:val="auto"/>
        </w:rPr>
      </w:pPr>
      <w:r>
        <w:rPr>
          <w:rFonts w:ascii="Times New Roman" w:cs="Times New Roman" w:eastAsia="Times New Roman" w:hAnsi="Times New Roman"/>
          <w:sz w:val="17"/>
          <w:szCs w:val="17"/>
          <w:color w:val="auto"/>
        </w:rPr>
        <w:t>In March 2024, we initiated a series of debt refinancing transactions that substantially impacted our existing debt instruments: the Senior Facilities, the 3.50% Senior Secured Notes, and the 5.375% Senior Notes. We also entered into new debt instruments: the New Senior Facilities, which includes the FLSO Term Loan Facility, the FLFO Term Loan Facility, and the New Revolving Credit Facility, and the 3.50% FLSO Senior Secured Notes.</w:t>
      </w:r>
    </w:p>
    <w:p>
      <w:pPr>
        <w:spacing w:after="0" w:line="18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See Item 1 of Part I, Financial Statements - Note 7, “Debt,” for more information regarding the March 2024 Refinancing Transactions and the related accounting impacts.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Senior Facilities</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March 12, 2024, Rackspace Finance Holdings, LLC ( “Rackspace Finance Holdings”), Rackspace Finance, LLC ( “Rackspace Finance”),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FLSO Term Loan Facility</w:t>
      </w:r>
    </w:p>
    <w:p>
      <w:pPr>
        <w:spacing w:after="0" w:line="23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Rackspace Finance issued the FLSO Term Loan Facility in an aggregate principal amount of $1,687 million. The FLSO Term Loan Facility matures on May 15, 2028.</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the contractual interest rate on the FLSO Term Loan Facility was 7.98%. We are required to make quarterly principal payments of $4 million, which began on March 31, 2024.</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FLSO Term Loan Facility are guaranteed on a senior secured basis, jointly and severally, by Rackspace Finance Holdings on a limited-recourse basis and by certain of Rackspace Finance’s subsidiaries (the “Subsidiary Guarantors”). The obligations under the FLSO Term Loan Facility are secured by a pledge of Rackspace Finance’s capital stock directly held by Rackspace Finance Holdings and substantially all of Rackspace Finance’s and the Subsidiary Guarantors’ assets, subject to exceptions.</w:t>
      </w:r>
    </w:p>
    <w:p>
      <w:pPr>
        <w:spacing w:after="0" w:line="20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Rackspace Finance repurchased and surrendered for cancellation an aggregate $43 million principal amount of the FLSO Term Loan Facility for $21 million.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$1,631 million in aggregate principal amount of the FLSO Term Loan Facility remained outstanding.</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FLSO Term Loan Facility that result from fluctuations in Term SOFR. See Item 1 of Part I, Financial Statements - Note 11, “Derivatives,” for more information on the interest rate swap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FLFO Term Loan Facility</w:t>
      </w:r>
    </w:p>
    <w:p>
      <w:pPr>
        <w:spacing w:after="0" w:line="25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Rackspace Finance issued the FLFO Term Loan Facility in an aggregate principal amount $275 million. The FLFO Term Loan Facility matures on May 15, 2028.</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the contractual interest rate on the FLFO Term Loan Facility was 11.48%. We are required to make quarterly principal payments of $0.7 million, which began on June 30,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$274 million aggregate principal amount of the FLFO Term Loan Facility remained outstanding.</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FLFO Term Loan Facility that result from fluctuations in Term SOFR. See Item 1 of Part I, Financial Statements - Note 11, “Derivatives,” for more information on the interest rate swap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Revolving Credit Facility</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Rackspace Finance established the New Revolving Credit Facility in an aggregate principal amount of $375 million of commitments.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New Revolving Credit Facility includes a commitment fee equal to 0.50% per annum in respect of the unused commitments that is due quarterly. This fee is subject to one step-down based on the net first lien leverage ratio.</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New Revolving Credit Facility are guaranteed on a senior secured basis, jointly and severally, by Rackspace Finance Holdings on a limited-recourse basis and by the Subsidiary Guarantors. The obligations under the New Revolving Credit Facility are secured by the same collateral that secures the FLSO Term Loan Facility, the FLFO Term Loan Facility and the 3.50% FLSO Senior Secured Notes.</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2024, we had total commitments of $375 million, no outstanding borrowings under the New Revolving Credit Facility, and $24 million of letters of credit issued thereunder. As such, as of September 30, 2024, we had $375 million of available commitments remaining.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FLSO Senior Secured Notes due 2028</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March 12, 2024, Rackspace Finance issued $267 million initial aggregate principal amount of 3.50% FLSO Senior Secured Notes. The 3.50%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FLSO Senior Secured Notes will mature on May 15, 2028 and bear interest at an annual fixed rate of 3.50%. Interest is payable semiannually 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and August 15, commencing on August 15, 2024.</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16, 2024, we completed the Public Note Exchange, pursuant to which (i) $138 million aggregate principal amount of the existing 3.50% Senior Secured Notes were exchanged or purchased for cancellation and (ii) $97 million aggregate principal amount of 3.50% FLSO Senior Secured Notes were issued by Rackspace Finance.</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spacing w:after="0" w:line="20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Rackspace Finance repurchased and surrendered for cancellation $46 million principal amount of the 3.50% FLSO Senior Secured Notes for $19 million, including accrued interest of $0.4 million.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$319 million aggregate principal amount of the 3.50% FLSO Senior Secured Notes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Debt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Facilitie</w:t>
      </w:r>
      <w:r>
        <w:rPr>
          <w:rFonts w:ascii="Times New Roman" w:cs="Times New Roman" w:eastAsia="Times New Roman" w:hAnsi="Times New Roman"/>
          <w:sz w:val="18"/>
          <w:szCs w:val="18"/>
          <w:b w:val="1"/>
          <w:bCs w:val="1"/>
          <w:i w:val="1"/>
          <w:iCs w:val="1"/>
          <w:color w:val="auto"/>
        </w:rPr>
        <w:t>s</w:t>
      </w:r>
    </w:p>
    <w:p>
      <w:pPr>
        <w:spacing w:after="0" w:line="256" w:lineRule="exact"/>
        <w:rPr>
          <w:sz w:val="20"/>
          <w:szCs w:val="20"/>
          <w:color w:val="auto"/>
        </w:rPr>
      </w:pPr>
    </w:p>
    <w:p>
      <w:pPr>
        <w:ind w:right="460" w:firstLine="486"/>
        <w:spacing w:after="0" w:line="261" w:lineRule="auto"/>
        <w:rPr>
          <w:sz w:val="20"/>
          <w:szCs w:val="20"/>
          <w:color w:val="auto"/>
        </w:rPr>
      </w:pPr>
      <w:r>
        <w:rPr>
          <w:rFonts w:ascii="Times New Roman" w:cs="Times New Roman" w:eastAsia="Times New Roman" w:hAnsi="Times New Roman"/>
          <w:sz w:val="18"/>
          <w:szCs w:val="18"/>
          <w:color w:val="auto"/>
        </w:rPr>
        <w:t>On February 9, 2021, we amended and restated the credit agreement governing our senior secured credit facilities (the "First Lien Credit Agreement"), which included a new seven-year $2,300 million senior secured first lien term loan facility (the "Term Loan Facility") and the prior Revolving Credit Facility (together, the "Senior Facilities"). The Term Loan Facility will mature on February 15, 2028 and the prior Revolving Credit Facility was set to mature on August 7, 2025.</w:t>
      </w:r>
    </w:p>
    <w:p>
      <w:pPr>
        <w:spacing w:after="0" w:line="20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Interest on the Term Loan Facility is due at the end of each interest period elected, not exceeding 90 days, for SOFR loans and at the end of every calendar quarter for base rate loans. As of September 30, 2024, the contractual interest rate on the Term Loan Facility was 7.98%. We are required to make quarterly amortization payments of $0.2 million. The Revolving Credit Facility included a commitment fee equal to 0.50% per annum in respect of the unused commitments that was due quarterly. This fee was subject to one step-down based on the net first lien leverage ratio. The Senior Facilities require us to make certain mandatory prepayments under certain conditions defined in the First Lien Credit Agreement.</w:t>
      </w:r>
    </w:p>
    <w:p>
      <w:pPr>
        <w:spacing w:after="0" w:line="210"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$62 million aggregate principal amount of the Term Loan Facility remained outstanding and the prior Revolving Credit Facility was replaced in full by the New Revolving Credit Facility. See Item 1 of Part I, Financial Statements - Note 7, “Debt,” for more information regarding our Senior Facilities.</w:t>
      </w:r>
    </w:p>
    <w:p>
      <w:pPr>
        <w:spacing w:after="0" w:line="203"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Term Loan Facility that result from fluctuations in Term SOFR. See Item 1 of Part I, Financial Statements - Note 11, "Derivatives," for more information on the interest rate swap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Senior Secured Notes due 2028</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9, 2021, Rackspace Technology Global issued $550 million aggregate principal amount of 3.50% Senior Secured Notes. The 3.50%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will mature on February 15, 2028 and bear interest at an annual fixed rate of 3.50%. Interest is payable semiannually 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and August 15, commencing on August 15, 2021.</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$44 million aggregate principal amount of the 3.50% Senior Secured Notes remained outstanding.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5.375% Senior Notes due 2028</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The 5.375% Senior Notes are guaranteed on a senior unsecured basis by all of Rackspace Technology Global's wholly-owned domestic restricted subsidiaries that guarantee the Senior Facilities.</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$69 million aggregate principal amount repurchased and cancelled as part of the March 2024 Refinancing Transactions, during the nine months ended September 30, 2024, Rackspace Technology Global repurchased and surrendered for cancellation $3 million principal amount of 5.375% Senior Notes for $1 million.</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$125 million aggregate principal amount of the 5.375% Senior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54"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FLSO Term Loan Facility, FLFO Term Loan Facility, and Term Loan Facility are not subject to a financial maintenance covenant. The New Revolving Credit Facility includes a financial maintenance covenant that limits the super-priority net senior secured leverage ratio to a maximum of 5.00 to 1.00. The super-priority net senior secured leverage ratio is calculated as the ratio of (x) the total amount of consolidated super-priority senior secured debt for borrowed money, less unrestricted cash and cash equivalents, to (y) consolidated EBITDA (as defined under the New First Lien Credit Agreement governing the New Senior Facilities). However, this financial maintenance covenant will only be applicable and tested if the aggregate amount of outstanding borrowings under the New Revolving Credit Facility and letters of credit issued thereunder (excluding $25 million of undrawn letters of credit and cash collateralized letters of credit) as of the last day of a fiscal quarter is greater than 35% of the New Revolving Credit Facility commitments as of the last day of such fiscal quarter. Additional covenants in the New Senior Facilities and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2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3.50% FLSO Senior Secured Notes, 5.375% Senior Notes and 3.50% Senior Secured Notes, respectively, at a price in cash equal to 101.000% of the aggregate principal amount, plus accrued and unpaid interest, if any, to, but not including the purchase date.</w:t>
      </w:r>
    </w:p>
    <w:p>
      <w:pPr>
        <w:spacing w:after="0" w:line="21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New Senior Facilities and Senior Facilities the calculation of consolidated EBITDA takes into account the impact of certain changes in GAAP subsequent to December 1, 2020 other than with respect to capital leases.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September 30, 2024, we were in compliance with all covenants under the New Senior Facilities, the Senior Facilities and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w:t>
      </w:r>
    </w:p>
    <w:p>
      <w:pPr>
        <w:spacing w:after="0" w:line="254"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the 3.50% FLSO Senior Secured Notes Indenture, Rackspace Finance Holdings, Rackspace Finance and certain subsidiaries of Rackspace Finance (together with their restricted subsidiaries, the “New Credit Group”) are obligors under the 3.50% FLSO Senior Secured Notes. The following presents summarized financial information for the New Credit Group after eliminating intercompany transactions and balances among the New Credit Group.</w:t>
      </w:r>
    </w:p>
    <w:p>
      <w:pPr>
        <w:spacing w:after="0" w:line="20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As of September 30, 2024, the New Credit Group had total assets of $3,098 million and total liabilities of $3,841 million, which included total debt of $2,580 million. The financial information for the New Credit Group differs from the financial information for the company and its consolidated subsidiaries primarily because Rackspace Technology Global has (i) debt that is not guaranteed by the New Credit Group, which debt was $229 million as of September 30, 2024, and (ii) Rackspace Technology Global is the party to the interest rate swap which had a net asset value of $23 million as of September 30,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our total capital expenditures for the periods indicated:</w:t>
      </w:r>
    </w:p>
    <w:p>
      <w:pPr>
        <w:spacing w:after="0" w:line="14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gear</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Data center build outs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 build outs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Capitalized software and other projects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37"/>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Capital expenditures were $109 million in the nine months ended September 30, 2024, compared to $144 million in the nine months ended September 30, 2023, a decrease of $34 million. The decrease in capital expenditures was driven by purchases of customer gear originally intended to support a specific new customer during the first quarter of 2023. This new customer did not materialize as expected; however, the gear is fungible and has been redeployed to support other business requirements. This gear was acquired through a finance 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certain cash flow information for the periods indicated:</w:t>
      </w:r>
    </w:p>
    <w:p>
      <w:pPr>
        <w:spacing w:after="0" w:line="14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operating activities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rPr>
              <w:t>(14.4)</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center"/>
              <w:ind w:left="859"/>
              <w:spacing w:after="0"/>
              <w:rPr>
                <w:sz w:val="20"/>
                <w:szCs w:val="20"/>
                <w:color w:val="auto"/>
              </w:rPr>
            </w:pPr>
            <w:r>
              <w:rPr>
                <w:rFonts w:ascii="Times New Roman" w:cs="Times New Roman" w:eastAsia="Times New Roman" w:hAnsi="Times New Roman"/>
                <w:sz w:val="16"/>
                <w:szCs w:val="16"/>
                <w:color w:val="auto"/>
              </w:rPr>
              <w:t>(68.9)</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rPr>
              <w:t>43.0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w:t>
      </w:r>
    </w:p>
    <w:p>
      <w:pPr>
        <w:spacing w:after="0" w:line="25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(used in)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203"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$14 million in the nine months ended September 30, 2024 compared to cash provided by operating activities of $303 million in the nine months ended September 30, 2023. The reduction in operating cash between periods was primarily driven by $209 million of cash proceeds received during the nine months ended September 30, 2023 related to the sale of our receivables, an increase of $91 million of operating expenses between periods, $32 million in third party fees paid in connection with the March 2024 Refinancing Transactions, and a $9 million early termination fee associated with the sale of our corporate headquarters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5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spacing w:after="0" w:line="20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$7 million, or 11%, in the nine months ended September 30, 2024 compared to the nine months ended September 30, 2023 due to a $28 million increase in cash purchases of property, equipment, and software between periods, partially offset by $17 million of net proceeds received in the current year from the March 2024 sale of our corporate headquarters facility. In addition, there was a $5 million increase in cash from other investing activities primarily due to the sale of property and equipment between periods.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Financing Activities</w:t>
      </w:r>
    </w:p>
    <w:p>
      <w:pPr>
        <w:spacing w:after="0" w:line="254"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0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$43 million in the nine months ended September 30, 2024 compared to $191 million of net cash used in financing activities in the nine months ended September 30, 2023. The change was primarily driven by proceeds from the new FLFO Term Loan Facility as part of the March 2024 Refinancing Transactions, partially offset by higher debt repayments which includes the impact of certain contractual cash interest payments that were previously classified within operating cash flow but are now presented as repayments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have not changed from those described in our Annual Report under "Management's Discussion and Analysis of Financial Condition and Results of Operations - Critical Accounting Policies and Estimates." For a description of recent accounting pronouncements, see Item 1 of Part I, Financial Statements - Note 1, "Company Overview, Basis of Presentation, and Summary of 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Prior to October 1, 2023, we had two reporting units with goodwill: Public Cloud and Private Cloud. Goodwill allocated to our third reporting unit, OpenStack Public Cloud, was fully impaired during the fourth quarter of 2021. As of October 1, 2023, we reassessed our reporting unit structure and aggregated the OpenStack Public Cloud reporting unit into our Private Cloud reporting unit. We currently have two reporting units: Public Cloud and Private Cloud.</w:t>
      </w:r>
    </w:p>
    <w:p>
      <w:pPr>
        <w:spacing w:after="0" w:line="21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growth rates, projected gross profit margins, projected operating costs, and projected capital expenditures, which are dependent on internal cash flow forecasts; (iii) estimation of the terminal growth rates; and (iv) determination of the risk-adjusted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including OpenStack Public Cloud.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1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For the quantitative goodwill impairment analysis, we utilize the income approach to determine the fair value of our reporting units. The income approach utilizes a discounted cash flow method which is based on the present value of projected cash flows. The discounted cash flow models reflect our assumptions and considerations regarding revenue growth rates, projected gross profit margins, projected operating costs, projected capital expenditures, risk-adjusted discount rates, terminal period growth rates, and economic market trends. The terminal period growth rate is selected based on economic conditions and consideration of growth rates used in the forecast period and historical performance of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February 29, 2024 Assessment</w:t>
      </w:r>
    </w:p>
    <w:p>
      <w:pPr>
        <w:spacing w:after="0" w:line="254" w:lineRule="exact"/>
        <w:rPr>
          <w:sz w:val="20"/>
          <w:szCs w:val="20"/>
          <w:color w:val="auto"/>
        </w:rPr>
      </w:pPr>
    </w:p>
    <w:p>
      <w:pPr>
        <w:ind w:right="40" w:firstLine="486"/>
        <w:spacing w:after="0" w:line="277" w:lineRule="auto"/>
        <w:rPr>
          <w:sz w:val="20"/>
          <w:szCs w:val="20"/>
          <w:color w:val="auto"/>
        </w:rPr>
      </w:pPr>
      <w:r>
        <w:rPr>
          <w:rFonts w:ascii="Times New Roman" w:cs="Times New Roman" w:eastAsia="Times New Roman" w:hAnsi="Times New Roman"/>
          <w:sz w:val="17"/>
          <w:szCs w:val="17"/>
          <w:color w:val="auto"/>
        </w:rPr>
        <w:t>In connection with the debt refinancing transactions that were completed in March and April 2024, as further described in Item 1 of Part I, Financial Statements -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risks, including macroeconomic factors, to achieving our forecasts. Our Board of Directors reviewed and approved our internal budget for fiscal year 2024 on February 28, 2024.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w:t>
      </w:r>
    </w:p>
    <w:p>
      <w:pPr>
        <w:spacing w:after="0" w:line="216"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February 29, 2024, we utilized a range of our weighted-average cost of capital of 13.0% to 14.0% as our base rate, which was then subsequently risk-adjusted to determine the discount rate used for each reporting unit. After determining the fair value of our reporting units, we reconciled the combined fair value of the reporting units to the company's market capitalization as of February 29, 2024. As a result, we determined that the carrying amount of our Public Cloud and Private Cloud reporting units exceeded their fair value. We recorded a goodwill impairment charge of $385 million and $188 million for Public Cloud and Private Cloud, respectively, during the first quarter of 2024, which is included in "Impairment of goodwill" in our Condensed Consolidated Statements of Comprehensive Loss. The impairment was driven by the company's cash flow projections as revised in the first quarter of 2024 to reflect current market conditions and expected business performance, including strategic business shifts and the timing when the benefits of such shifts will be realized.</w:t>
      </w:r>
    </w:p>
    <w:p>
      <w:pPr>
        <w:spacing w:after="0" w:line="21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or decrease in the discount rate assumption would result in decreases or increases in fair value of our Private Cloud and Public Cloud reporting units of approximately $101 million and $14 million, respectively.</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September 30, 2024 Assessment</w:t>
      </w:r>
    </w:p>
    <w:p>
      <w:pPr>
        <w:spacing w:after="0" w:line="254" w:lineRule="exact"/>
        <w:rPr>
          <w:sz w:val="20"/>
          <w:szCs w:val="20"/>
          <w:color w:val="auto"/>
        </w:rPr>
      </w:pPr>
    </w:p>
    <w:p>
      <w:pPr>
        <w:ind w:right="20" w:firstLine="486"/>
        <w:spacing w:after="0" w:line="290" w:lineRule="auto"/>
        <w:rPr>
          <w:sz w:val="20"/>
          <w:szCs w:val="20"/>
          <w:color w:val="auto"/>
        </w:rPr>
      </w:pPr>
      <w:r>
        <w:rPr>
          <w:rFonts w:ascii="Times New Roman" w:cs="Times New Roman" w:eastAsia="Times New Roman" w:hAnsi="Times New Roman"/>
          <w:sz w:val="17"/>
          <w:szCs w:val="17"/>
          <w:color w:val="auto"/>
        </w:rPr>
        <w:t>During the third quarter of 2024, as part our routine budget-to-actual assessment, we updated our internal forecasts to consider our year-to-date operating performance, current customer bookings and revised expectations based on actualization, current customer retention rates, revisions to the timing</w:t>
      </w:r>
    </w:p>
    <w:p>
      <w:pPr>
        <w:ind w:right="20"/>
        <w:spacing w:after="0" w:line="255" w:lineRule="auto"/>
        <w:rPr>
          <w:sz w:val="20"/>
          <w:szCs w:val="20"/>
          <w:color w:val="auto"/>
        </w:rPr>
      </w:pPr>
      <w:r>
        <w:rPr>
          <w:rFonts w:ascii="Times New Roman" w:cs="Times New Roman" w:eastAsia="Times New Roman" w:hAnsi="Times New Roman"/>
          <w:sz w:val="18"/>
          <w:szCs w:val="18"/>
          <w:color w:val="auto"/>
        </w:rPr>
        <w:t>of the expected effects of our strategic initiatives and overall related risks, including macroeconomic factors, to achieving our forecasts. As of September 30, 2024, we assessed our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September 30, 2024, we utilized a range of our weighted-average cost of capital of 12.0% to 13.0% as our base rate, which was then subsequently risk-adjusted to determine the discount rate used for each reporting unit. After determining the fair value of our reporting units, we reconciled the combined fair value of the reporting units to the company's market capitalization as of September 30, 2024. As a result, we determined that the carrying amount of our Public Cloud and Private Cloud reporting units exceeded their fair value. We recorded a goodwill impairment charge of $69 million and $73 million for Public Cloud and Private Cloud, respectively, during the third quarter of 2024, which is included in "Impairment of goodwill" in our Condensed Consolidated Statements of Comprehensive Loss. The impairment was driven by the company's cash flow projections as revised in the third quarter of 2024 to reflect expected realization of business performance, including strategic business shifts and the timing when the benefits of such shifts will be realized.</w:t>
      </w:r>
    </w:p>
    <w:p>
      <w:pPr>
        <w:spacing w:after="0" w:line="2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$108 million and $14 million, respectively, whereas a 50 basis point decrease in the discount rate assumption would result in increases in fair value of our Private Cloud and Public Cloud reporting units of approximately $121 million and $15 million, respectively.</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January 1, 2023 Assessment</w:t>
      </w:r>
    </w:p>
    <w:p>
      <w:pPr>
        <w:spacing w:after="0" w:line="254"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Due to the change in our segment reporting as a result of the business reorganization as of January 1, 2023, we completed a quantitative goodwill impairment analysis both prior and subsequent to the aforementioned change. We reassigned goodwill to the updated reporting units using a relative fair value approach.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0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January 1, 2023, we utilized a range of our weighted-average cost of capital of 10.5% to 12.0% as our discount rate, which was risk-adjusted for each reporting unit. After determining the fair value of our reporting units, we reconciled the combined fair value of the reporting units to the company's market capitalization as of January 1, 2023. As a result, we determined that the carrying amount of our Private Cloud reporting unit exceeded its fair value and recorded a goodwill impairment charge of $271 million during the first quarter of 2023, which is included in "Impairment of goodwill" in our Condensed Consolidated Statements of Comprehensive Loss. The impairment primarily resulted from the reallocation of certain costs between the three reporting units to reflect the going-forward operating model following the business reorganization. The Public Cloud reporting unit was determined to have a fair value that exceeded its carrying value by approximately 20% and therefore no impairment was recognized.</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$175 million and $67 million, respectively.</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March 31, 2023 Assessment</w:t>
      </w:r>
    </w:p>
    <w:p>
      <w:pPr>
        <w:spacing w:after="0" w:line="254"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March 31, 2023, we utilized a range of our weighted-average cost of capital of 10.0% to 11.5% as our discount rate, which was risk-adjusted for each reporting unit. After determining the fair value of our reporting units, we reconciled the combined fair value of the reporting units to the company's market capitalization as of March 31, 2023. As a result, we determined that the carrying amount of our Private Cloud reporting unit exceeded its fair value and recorded a goodwill impairment charge of $272 million during the first quarter of 2023, which is included in "Impairment of goodwill" in our Condensed Consolidated Statements of Comprehensive Loss. The impairment was driven by the company's most recent cash flow projections as revised in the first quarter of 2023 which reflected current market conditions and current trends in business performance, including slower than anticipated actualization of bookings. The Public Cloud reporting unit was determined to have a fair value that exceeded its carrying value by approximately 14% and therefore no impairment was recognized.</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$80 million and $65 million, respectively.</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September 30, 2023 Assessment</w:t>
      </w:r>
    </w:p>
    <w:p>
      <w:pPr>
        <w:spacing w:after="0" w:line="25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we experienced a sustained decline in our stock price resulting in our market capitalization being less than the carrying value of our combined reporting units. As of September 30,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nine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September 30, 2023.</w:t>
      </w:r>
    </w:p>
    <w:p>
      <w:pPr>
        <w:spacing w:after="0" w:line="216"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September 30, 2023, we utilized a range of our weighted-average cost of capital of 11.0% to 12.5% as our discount rate, which was risk-adjusted for each reporting unit. After determining the fair value of our reporting units, we reconciled the combined fair value of the reporting units to the company's market capitalization as of September 30, 2023. As a result, we determined that the carrying amount of our Private Cloud reporting unit exceeded its fair value and recorded a goodwill impairment charge of $166 million during the third quarter of 2023, which is included in "Impairment of goodwill" in our Condensed Consolidated Statements of Comprehensive Loss. The impairment was driven by the company's cash flow projections as revised in the third quarter of 2023 to reflect current market conditions and business mix shifts. The Public Cloud reporting unit was determined to have a fair value that exceeded its carrying value by approximately 17% and therefore no impairment was recognized.</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$65 million and $52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25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As of January 1, 2023, March 31, 2023, September 30, 2023, February 29, 2024, and September 30, 2024,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all periods and a discount rate of 11.0% as of January 1, 2023 and March 31, 2023, 11.9% as of September 30, 2023, 13.7% as of February 29, 2024, and 12.4% as of September 30, 2024. We completed the quantitative assessments of our indefinite-lived intangible asset prior to testing our goodwill for impairment as of January 1, 2023, March 31, 2023, and September 30, 2024, which did not indicate any impairment of the Rackspace trade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quantitative test as of February 29, 2024 indicated that the estimated fair value of the Rackspace trade name was less than its carrying value. As a result, we recorded a $20 million non-cash impairment charge during the first quarter of 2024 which is included in "Impairment of assets, net" in our Condensed Consolidated Statements of Comprehensive Loss.</w:t>
      </w:r>
    </w:p>
    <w:p>
      <w:pPr>
        <w:spacing w:after="0" w:line="20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quantitative test as of September 30, 2023 indicated that the estimated fair value of the Rackspace trade name was less than its carrying value. As a result, we recorded a $57 million non-cash impairment charge during the third quarter of 2023 which is included in "Impairment of assets, net" in our Condensed Consolidated Statements of Comprehensive Loss.</w:t>
      </w:r>
    </w:p>
    <w:p>
      <w:pPr>
        <w:spacing w:after="0" w:line="20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fair value determination of our reporting units and our indefinite-lived intangible asset is judgmental in nature and requires the use of estimates and assumptions that are sensitive to changes. Assumptions include estimation of the royalty rate for the trade name, estimation of future revenue growth rates, projected gross profit margins, projected operating costs,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56"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We also performed recoverability tests of our long-lived assets in conjunction with the goodwill impairment analyses as of January 1, 2023, March 31, 2023, September 30, 2023, February 29, 2024, and September 30, 2024, which did not result in any impairment charges.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56"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our floating-rate debt under our Senior Facilities and New Senior Facilities, which includes our $375 million New Revolving Credit Facility and $1,967 million outstanding under the Term Loan Facility, FLSO Term Loan Facility, and FLFO Term Loan Facility. As of September 30, 2024, there was no outstanding borrowings under the New Revolving Credit Facility and therefore our only variable-rate debt outstanding was the $1,967 million outstanding under the Term Loan Facility, FLSO Term Loan Facility, and FLFO Term Loan Facility. As of September 30, 2024, assuming the New Revolving Credit Facility was fully drawn, each 0.125% change in assumed blended interest rates would result in a $3 million change in annual interest expense on indebtedness under the Senior Facilities and New Senior Facilities.</w:t>
      </w:r>
    </w:p>
    <w:p>
      <w:pPr>
        <w:spacing w:after="0" w:line="21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Term Loan Facility, FLSO Term Loan Facility, and FLFO Term Loan Facility bear interest at an annual rate equal to an applicable margin plus one-month Term SOFR, subject to a 0.75% floor. We have entered into an interest rate swap agreement indexed to one-month Term SOFR (subject to a floor of 0.75%) in order to manage our risk from fluctuations in one-month Term SOFR above the 0.75% floor.</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terms of the swap outstanding as of September 30, 2024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Notional Amount (in</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Fixed Rate Paid</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580" w:type="dxa"/>
            <w:vAlign w:val="bottom"/>
            <w:gridSpan w:val="2"/>
            <w:vMerge w:val="continue"/>
          </w:tcPr>
          <w:p>
            <w:pPr>
              <w:spacing w:after="0"/>
              <w:rPr>
                <w:sz w:val="18"/>
                <w:szCs w:val="18"/>
                <w:color w:val="auto"/>
              </w:rPr>
            </w:pPr>
          </w:p>
        </w:tc>
        <w:tc>
          <w:tcPr>
            <w:tcW w:w="2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820" w:type="dxa"/>
            <w:vAlign w:val="bottom"/>
            <w:gridSpan w:val="2"/>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2021</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2.34150%</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1 of Part I, Financial Statements - Note 11, "Derivatives," for more information on interest rate swaps.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56" w:lineRule="exact"/>
        <w:rPr>
          <w:sz w:val="20"/>
          <w:szCs w:val="20"/>
          <w:color w:val="auto"/>
        </w:rPr>
      </w:pPr>
    </w:p>
    <w:p>
      <w:pPr>
        <w:ind w:right="100" w:firstLine="486"/>
        <w:spacing w:after="0" w:line="268" w:lineRule="auto"/>
        <w:rPr>
          <w:sz w:val="20"/>
          <w:szCs w:val="20"/>
          <w:color w:val="auto"/>
        </w:rPr>
      </w:pPr>
      <w:r>
        <w:rPr>
          <w:rFonts w:ascii="Times New Roman" w:cs="Times New Roman" w:eastAsia="Times New Roman" w:hAnsi="Times New Roman"/>
          <w:sz w:val="17"/>
          <w:szCs w:val="17"/>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 w:cs="Times New Roman" w:eastAsia="Times New Roman" w:hAnsi="Times New Roman"/>
          <w:sz w:val="17"/>
          <w:szCs w:val="17"/>
          <w:i w:val="1"/>
          <w:iCs w:val="1"/>
          <w:color w:val="auto"/>
        </w:rPr>
        <w:t>Constant Currency Revenue</w:t>
      </w:r>
      <w:r>
        <w:rPr>
          <w:rFonts w:ascii="Times New Roman" w:cs="Times New Roman" w:eastAsia="Times New Roman" w:hAnsi="Times New Roman"/>
          <w:sz w:val="17"/>
          <w:szCs w:val="17"/>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nine months ended September 30, 2024, we recognized foreign currency transaction gains of</w:t>
      </w:r>
    </w:p>
    <w:p>
      <w:pPr>
        <w:spacing w:after="0" w:line="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$2 million within "Other expense, net" in our Condensed Consolidated Statements of Comprehensive Loss. As we grow our international operations, our exposure to foreign currency translation and transaction risk could become more significant.</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in the past and may in the future enter into foreign currency hedging instruments to limit our exposure to foreign currency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Prices</w:t>
      </w:r>
    </w:p>
    <w:p>
      <w:pPr>
        <w:spacing w:after="0" w:line="243"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are a large consumer of power. In the nine months ended September 30, 2024, we expensed approximately $32 million for utility companies to power our data centers, representing approximately 2% of our revenue. Power costs vary by geography, the source of power generation and seasonal fluctuations and are subject to certain proposed legislation that may increase our exposure to increased power costs. We have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25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56" w:lineRule="exact"/>
        <w:rPr>
          <w:sz w:val="20"/>
          <w:szCs w:val="20"/>
          <w:color w:val="auto"/>
        </w:rPr>
      </w:pPr>
    </w:p>
    <w:p>
      <w:pPr>
        <w:jc w:val="both"/>
        <w:ind w:right="600" w:firstLine="486"/>
        <w:spacing w:after="0" w:line="266" w:lineRule="auto"/>
        <w:rPr>
          <w:sz w:val="20"/>
          <w:szCs w:val="20"/>
          <w:color w:val="auto"/>
        </w:rPr>
      </w:pPr>
      <w:r>
        <w:rPr>
          <w:rFonts w:ascii="Times New Roman" w:cs="Times New Roman" w:eastAsia="Times New Roman" w:hAnsi="Times New Roman"/>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03"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03"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5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06" w:lineRule="exact"/>
        <w:rPr>
          <w:sz w:val="20"/>
          <w:szCs w:val="20"/>
          <w:color w:val="auto"/>
        </w:rPr>
      </w:pPr>
    </w:p>
    <w:p>
      <w:pPr>
        <w:ind w:right="2000" w:firstLine="2024"/>
        <w:spacing w:after="0" w:line="534" w:lineRule="auto"/>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 Unregistered Sales of Equity Securities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56"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2024, none of the company’s directors or officers (as defined in Rule 16a-1(f) of the Exchange Act) adopted, modified or terminated a "Rule 10b5-1 trading arrangement" or a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ITEM 6 – EXHIBITS</w:t>
      </w:r>
    </w:p>
    <w:p>
      <w:pPr>
        <w:sectPr>
          <w:pgSz w:w="11900" w:h="16838" w:orient="portrait"/>
          <w:cols w:equalWidth="0" w:num="1">
            <w:col w:w="10920"/>
          </w:cols>
          <w:pgMar w:left="320" w:top="121" w:right="659" w:bottom="1440" w:gutter="0" w:footer="0" w:header="0"/>
        </w:sect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9944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jc w:val="right"/>
        <w:spacing w:after="0"/>
        <w:tabs>
          <w:tab w:leader="none" w:pos="1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spacing w:after="0"/>
        <w:tabs>
          <w:tab w:leader="none" w:pos="1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20"/>
        <w:spacing w:after="0"/>
        <w:tabs>
          <w:tab w:leader="none" w:pos="124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6"/>
          <w:szCs w:val="16"/>
          <w:color w:val="auto"/>
        </w:rPr>
        <w:t>*</w:t>
      </w:r>
    </w:p>
    <w:p>
      <w:pPr>
        <w:spacing w:after="0" w:line="266"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50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19685</wp:posOffset>
            </wp:positionV>
            <wp:extent cx="60521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Executive Officer pursuant to Section 302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Section 302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Executive Officer pursuant to Section 906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Section 906 of the Sarbanes-Oxley Act of 2002</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50" w:lineRule="exact"/>
        <w:rPr>
          <w:sz w:val="20"/>
          <w:szCs w:val="20"/>
          <w:color w:val="auto"/>
        </w:rPr>
      </w:pPr>
    </w:p>
    <w:p>
      <w:pPr>
        <w:ind w:right="4260"/>
        <w:spacing w:after="0" w:line="314" w:lineRule="auto"/>
        <w:rPr>
          <w:sz w:val="20"/>
          <w:szCs w:val="20"/>
          <w:color w:val="auto"/>
        </w:rPr>
      </w:pPr>
      <w:r>
        <w:rPr>
          <w:rFonts w:ascii="Times New Roman" w:cs="Times New Roman" w:eastAsia="Times New Roman" w:hAnsi="Times New Roman"/>
          <w:sz w:val="17"/>
          <w:szCs w:val="17"/>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22" w:lineRule="exact"/>
        <w:rPr>
          <w:sz w:val="20"/>
          <w:szCs w:val="20"/>
          <w:color w:val="auto"/>
        </w:rPr>
      </w:pPr>
    </w:p>
    <w:p>
      <w:pPr>
        <w:sectPr>
          <w:pgSz w:w="11900" w:h="16838" w:orient="portrait"/>
          <w:cols w:equalWidth="0" w:num="2">
            <w:col w:w="1440" w:space="280"/>
            <w:col w:w="9200"/>
          </w:cols>
          <w:pgMar w:left="320" w:top="121" w:right="659" w:bottom="1440" w:gutter="0" w:footer="0" w:header="0"/>
          <w:type w:val="continuous"/>
        </w:sectPr>
      </w:pPr>
    </w:p>
    <w:p>
      <w:pPr>
        <w:ind w:left="420" w:hanging="250"/>
        <w:spacing w:after="0"/>
        <w:tabs>
          <w:tab w:leader="none" w:pos="42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Filed herewith.</w:t>
      </w:r>
    </w:p>
    <w:p>
      <w:pPr>
        <w:spacing w:after="0" w:line="23" w:lineRule="exact"/>
        <w:rPr>
          <w:sz w:val="20"/>
          <w:szCs w:val="20"/>
          <w:color w:val="auto"/>
        </w:rPr>
      </w:pPr>
    </w:p>
    <w:p>
      <w:pPr>
        <w:ind w:left="500" w:hanging="330"/>
        <w:spacing w:after="0"/>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RACKSPACE TECHNOLOGY, INC.</w:t>
            </w:r>
          </w:p>
        </w:tc>
      </w:tr>
      <w:tr>
        <w:trPr>
          <w:trHeight w:val="77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12, 2024</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04"/>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- 73 -</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Rackspace Technology, Inc.;</w:t>
      </w:r>
    </w:p>
    <w:p>
      <w:pPr>
        <w:spacing w:after="0" w:line="117" w:lineRule="exact"/>
        <w:rPr>
          <w:rFonts w:ascii="Times New Roman" w:cs="Times New Roman" w:eastAsia="Times New Roman" w:hAnsi="Times New Roman"/>
          <w:sz w:val="18"/>
          <w:szCs w:val="18"/>
          <w:color w:val="auto"/>
        </w:rPr>
      </w:pPr>
    </w:p>
    <w:p>
      <w:pPr>
        <w:jc w:val="both"/>
        <w:ind w:left="900" w:right="140" w:hanging="406"/>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00" w:right="80" w:hanging="406"/>
        <w:spacing w:after="0" w:line="276" w:lineRule="auto"/>
        <w:tabs>
          <w:tab w:leader="none" w:pos="9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100" w:hanging="398"/>
        <w:spacing w:after="0" w:line="266" w:lineRule="auto"/>
        <w:tabs>
          <w:tab w:leader="none" w:pos="15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398"/>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398"/>
        <w:spacing w:after="0" w:line="266" w:lineRule="auto"/>
        <w:tabs>
          <w:tab w:leader="none" w:pos="15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hanging="398"/>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right="40" w:hanging="40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20" w:hanging="398"/>
        <w:spacing w:after="0" w:line="282" w:lineRule="auto"/>
        <w:tabs>
          <w:tab w:leader="none" w:pos="15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398"/>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12, 2024</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ectPr>
          <w:pgSz w:w="11900" w:h="16838" w:orient="portrait"/>
          <w:cols w:equalWidth="0" w:num="1">
            <w:col w:w="11240"/>
          </w:cols>
          <w:pgMar w:left="320" w:top="360"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Marino, certify that:</w:t>
      </w:r>
    </w:p>
    <w:p>
      <w:pPr>
        <w:spacing w:after="0" w:line="252" w:lineRule="exact"/>
        <w:rPr>
          <w:sz w:val="20"/>
          <w:szCs w:val="20"/>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Rackspace Technology, Inc.;</w:t>
      </w:r>
    </w:p>
    <w:p>
      <w:pPr>
        <w:spacing w:after="0" w:line="117" w:lineRule="exact"/>
        <w:rPr>
          <w:rFonts w:ascii="Times New Roman" w:cs="Times New Roman" w:eastAsia="Times New Roman" w:hAnsi="Times New Roman"/>
          <w:sz w:val="18"/>
          <w:szCs w:val="18"/>
          <w:color w:val="auto"/>
        </w:rPr>
      </w:pPr>
    </w:p>
    <w:p>
      <w:pPr>
        <w:jc w:val="both"/>
        <w:ind w:left="900" w:right="140" w:hanging="406"/>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00" w:right="80" w:hanging="406"/>
        <w:spacing w:after="0" w:line="276"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100" w:hanging="398"/>
        <w:spacing w:after="0" w:line="266" w:lineRule="auto"/>
        <w:tabs>
          <w:tab w:leader="none" w:pos="153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398"/>
        <w:spacing w:after="0" w:line="266"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398"/>
        <w:spacing w:after="0" w:line="266" w:lineRule="auto"/>
        <w:tabs>
          <w:tab w:leader="none" w:pos="153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hanging="398"/>
        <w:spacing w:after="0" w:line="266"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right="40" w:hanging="40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20" w:hanging="398"/>
        <w:spacing w:after="0" w:line="282" w:lineRule="auto"/>
        <w:tabs>
          <w:tab w:leader="none" w:pos="153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398"/>
        <w:spacing w:after="0" w:line="282"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12, 2024</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6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 Amar Maletira, Chief Executive Officer of Rackspace Technology, Inc. (the “Company”), certify pursuant to Section 906 of the Sarbanes-Oxley Act of 2002, 18 U.S.C. Section 1350, that:</w:t>
      </w:r>
    </w:p>
    <w:p>
      <w:pPr>
        <w:spacing w:after="0" w:line="189" w:lineRule="exact"/>
        <w:rPr>
          <w:sz w:val="20"/>
          <w:szCs w:val="20"/>
          <w:color w:val="auto"/>
        </w:rPr>
      </w:pPr>
    </w:p>
    <w:p>
      <w:pPr>
        <w:ind w:left="660" w:right="9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12, 2024</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ectPr>
          <w:pgSz w:w="11900" w:h="16838" w:orient="portrait"/>
          <w:cols w:equalWidth="0" w:num="1">
            <w:col w:w="11240"/>
          </w:cols>
          <w:pgMar w:left="320" w:top="36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 Mark Marino, Chief Financial Officer of Rackspace Technology, Inc. (the “Company”), certify pursuant to Section 906 of the Sarbanes-Oxley Act of 2002, 18 U.S.C. Section 1350, that:</w:t>
      </w:r>
    </w:p>
    <w:p>
      <w:pPr>
        <w:spacing w:after="0" w:line="189" w:lineRule="exact"/>
        <w:rPr>
          <w:sz w:val="20"/>
          <w:szCs w:val="20"/>
          <w:color w:val="auto"/>
        </w:rPr>
      </w:pPr>
    </w:p>
    <w:p>
      <w:pPr>
        <w:ind w:left="660" w:right="94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12, 2024</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lvl w:ilvl="1">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lvl w:ilvl="1">
      <w:lvlJc w:val="left"/>
      <w:lvlText w:val="-"/>
      <w:numFmt w:val="bullet"/>
      <w:start w:val="1"/>
    </w:lvl>
  </w:abstractNum>
  <w:abstractNum w:abstractNumId="8">
    <w:nsid w:val="4E6AFB66"/>
    <w:multiLevelType w:val="hybridMultilevel"/>
    <w:lvl w:ilvl="0">
      <w:lvlJc w:val="left"/>
      <w:lvlText w:val="(%1)"/>
      <w:numFmt w:val="decimal"/>
      <w:start w:val="1"/>
    </w:lvl>
    <w:lvl w:ilvl="1">
      <w:lvlJc w:val="left"/>
      <w:lvlText w:val="-"/>
      <w:numFmt w:val="bullet"/>
      <w:start w:val="1"/>
    </w:lvl>
  </w:abstractNum>
  <w:abstractNum w:abstractNumId="9">
    <w:nsid w:val="25E45D32"/>
    <w:multiLevelType w:val="hybridMultilevel"/>
    <w:lvl w:ilvl="0">
      <w:lvlJc w:val="left"/>
      <w:lvlText w:val="(%1)"/>
      <w:numFmt w:val="lowerLetter"/>
      <w:start w:val="1"/>
    </w:lvl>
    <w:lvl w:ilvl="1">
      <w:lvlJc w:val="left"/>
      <w:lvlText w:val="-"/>
      <w:numFmt w:val="bullet"/>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lvl w:ilvl="1">
      <w:lvlJc w:val="left"/>
      <w:lvlText w:val="-"/>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9"/>
    </w:lvl>
  </w:abstractNum>
  <w:abstractNum w:abstractNumId="17">
    <w:nsid w:val="628C895D"/>
    <w:multiLevelType w:val="hybridMultilevel"/>
    <w:lvl w:ilvl="0">
      <w:lvlJc w:val="left"/>
      <w:lvlText w:val="(%1)"/>
      <w:numFmt w:val="lowerLetter"/>
      <w:start w:val="1"/>
    </w:lvl>
    <w:lvl w:ilvl="1">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2024-11-12T16:41:16Z</dcterms:created>
  <dcterms:modified xsi:type="dcterms:W3CDTF">2024-11-12T16:41:16Z</dcterms:modified>
</cp:coreProperties>
</file>