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4"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8"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81-3369925</w:t>
      </w:r>
    </w:p>
    <w:p>
      <w:pPr>
        <w:spacing w:after="0" w:line="73" w:lineRule="exact"/>
        <w:rPr>
          <w:sz w:val="24"/>
          <w:szCs w:val="24"/>
          <w:color w:val="auto"/>
        </w:rPr>
      </w:pPr>
    </w:p>
    <w:p>
      <w:pPr>
        <w:sectPr>
          <w:pgSz w:w="11900" w:h="16838" w:orient="portrait"/>
          <w:cols w:equalWidth="0" w:num="2">
            <w:col w:w="7620" w:space="720"/>
            <w:col w:w="2900"/>
          </w:cols>
          <w:pgMar w:left="320" w:top="1030" w:right="3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167" w:lineRule="exact"/>
        <w:rPr>
          <w:sz w:val="24"/>
          <w:szCs w:val="24"/>
          <w:color w:val="auto"/>
        </w:rPr>
      </w:pPr>
    </w:p>
    <w:p>
      <w:pPr>
        <w:sectPr>
          <w:pgSz w:w="11900" w:h="16838" w:orient="portrait"/>
          <w:cols w:equalWidth="0" w:num="2">
            <w:col w:w="6740" w:space="720"/>
            <w:col w:w="3780"/>
          </w:cols>
          <w:pgMar w:left="320" w:top="103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9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3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Common stock, par value $0.01 per share</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RXT</w:t>
            </w: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64"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7"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August 26, 2020, 199,131,909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 - Financial Information</w:t>
      </w:r>
    </w:p>
    <w:p>
      <w:pPr>
        <w:sectPr>
          <w:pgSz w:w="11900" w:h="16838" w:orient="portrait"/>
          <w:cols w:equalWidth="0" w:num="1">
            <w:col w:w="11240"/>
          </w:cols>
          <w:pgMar w:left="320" w:top="931"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0"/>
                <w:szCs w:val="20"/>
                <w:color w:val="auto"/>
              </w:rPr>
            </w:pPr>
          </w:p>
        </w:tc>
      </w:tr>
      <w:tr>
        <w:trPr>
          <w:trHeight w:val="257"/>
        </w:trPr>
        <w:tc>
          <w:tcPr>
            <w:tcW w:w="9340" w:type="dxa"/>
            <w:vAlign w:val="bottom"/>
            <w:gridSpan w:val="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Balance Sheets as of December 31, 2019 and June 30, 2020</w:t>
              </w:r>
            </w:hyperlink>
          </w:p>
        </w:tc>
        <w:tc>
          <w:tcPr>
            <w:tcW w:w="480" w:type="dxa"/>
            <w:vAlign w:val="bottom"/>
          </w:tcPr>
          <w:p>
            <w:pPr>
              <w:jc w:val="center"/>
              <w:ind w:left="21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r>
      <w:tr>
        <w:trPr>
          <w:trHeight w:val="229"/>
        </w:trPr>
        <w:tc>
          <w:tcPr>
            <w:tcW w:w="9340" w:type="dxa"/>
            <w:vAlign w:val="bottom"/>
            <w:gridSpan w:val="7"/>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Unaudited Consolidated Statements of Comprehensive Income (Loss) for the Three and Six Months Ended June 30, 2019 and</w:t>
              </w:r>
            </w:hyperlink>
          </w:p>
        </w:tc>
        <w:tc>
          <w:tcPr>
            <w:tcW w:w="480" w:type="dxa"/>
            <w:vAlign w:val="bottom"/>
          </w:tcPr>
          <w:p>
            <w:pPr>
              <w:jc w:val="center"/>
              <w:ind w:left="21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r>
      <w:tr>
        <w:trPr>
          <w:trHeight w:val="155"/>
        </w:trPr>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June 30, 2020</w:t>
              </w:r>
            </w:hyperlink>
          </w:p>
        </w:tc>
        <w:tc>
          <w:tcPr>
            <w:tcW w:w="8060" w:type="dxa"/>
            <w:vAlign w:val="bottom"/>
            <w:tcBorders>
              <w:top w:val="single" w:sz="8" w:color="0000FF"/>
            </w:tcBorders>
            <w:gridSpan w:val="4"/>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50"/>
        </w:trPr>
        <w:tc>
          <w:tcPr>
            <w:tcW w:w="9340" w:type="dxa"/>
            <w:vAlign w:val="bottom"/>
            <w:gridSpan w:val="7"/>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Unaudited Consolidated Statements of Cash Flows for the Six Months Ended June 30, 2019 and June 30, 2020</w:t>
              </w:r>
            </w:hyperlink>
          </w:p>
        </w:tc>
        <w:tc>
          <w:tcPr>
            <w:tcW w:w="480" w:type="dxa"/>
            <w:vAlign w:val="bottom"/>
          </w:tcPr>
          <w:p>
            <w:pPr>
              <w:jc w:val="center"/>
              <w:ind w:left="21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r>
      <w:tr>
        <w:trPr>
          <w:trHeight w:val="229"/>
        </w:trPr>
        <w:tc>
          <w:tcPr>
            <w:tcW w:w="9340" w:type="dxa"/>
            <w:vAlign w:val="bottom"/>
            <w:gridSpan w:val="7"/>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Unaudited Consolidated Statements of Stockholders</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 xml:space="preserve"> Equity for the Three and Six Months Ended June 30, 2019 and June 30,</w:t>
              </w:r>
            </w:hyperlink>
          </w:p>
        </w:tc>
        <w:tc>
          <w:tcPr>
            <w:tcW w:w="480" w:type="dxa"/>
            <w:vAlign w:val="bottom"/>
          </w:tcPr>
          <w:p>
            <w:pPr>
              <w:jc w:val="center"/>
              <w:ind w:left="21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r>
      <w:tr>
        <w:trPr>
          <w:trHeight w:val="156"/>
        </w:trPr>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8">
              <w:r>
                <w:rPr>
                  <w:rFonts w:ascii="Arial" w:cs="Arial" w:eastAsia="Arial" w:hAnsi="Arial"/>
                  <w:sz w:val="18"/>
                  <w:szCs w:val="18"/>
                  <w:color w:val="0000FF"/>
                  <w:w w:val="84"/>
                </w:rPr>
                <w:t>2020</w:t>
              </w:r>
            </w:hyperlink>
          </w:p>
        </w:tc>
        <w:tc>
          <w:tcPr>
            <w:tcW w:w="640" w:type="dxa"/>
            <w:vAlign w:val="bottom"/>
            <w:tcBorders>
              <w:top w:val="single" w:sz="8" w:color="0000FF"/>
            </w:tcBorders>
          </w:tcPr>
          <w:p>
            <w:pPr>
              <w:spacing w:after="0"/>
              <w:rPr>
                <w:sz w:val="13"/>
                <w:szCs w:val="13"/>
                <w:color w:val="auto"/>
              </w:rPr>
            </w:pPr>
          </w:p>
        </w:tc>
        <w:tc>
          <w:tcPr>
            <w:tcW w:w="27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50"/>
        </w:trPr>
        <w:tc>
          <w:tcPr>
            <w:tcW w:w="9340" w:type="dxa"/>
            <w:vAlign w:val="bottom"/>
            <w:gridSpan w:val="7"/>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the Unaudited Consolidated Financial Statements</w:t>
              </w:r>
            </w:hyperlink>
          </w:p>
        </w:tc>
        <w:tc>
          <w:tcPr>
            <w:tcW w:w="480" w:type="dxa"/>
            <w:vAlign w:val="bottom"/>
          </w:tcPr>
          <w:p>
            <w:pPr>
              <w:jc w:val="center"/>
              <w:ind w:left="210"/>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9</w:t>
              </w:r>
            </w:hyperlink>
          </w:p>
        </w:tc>
      </w:tr>
      <w:tr>
        <w:trPr>
          <w:trHeight w:val="270"/>
        </w:trPr>
        <w:tc>
          <w:tcPr>
            <w:tcW w:w="9340" w:type="dxa"/>
            <w:vAlign w:val="bottom"/>
            <w:gridSpan w:val="7"/>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tcPr>
          <w:p>
            <w:pPr>
              <w:jc w:val="center"/>
              <w:ind w:left="21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28</w:t>
              </w:r>
            </w:hyperlink>
          </w:p>
        </w:tc>
      </w:tr>
      <w:tr>
        <w:trPr>
          <w:trHeight w:val="270"/>
        </w:trPr>
        <w:tc>
          <w:tcPr>
            <w:tcW w:w="9340" w:type="dxa"/>
            <w:vAlign w:val="bottom"/>
            <w:gridSpan w:val="7"/>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480" w:type="dxa"/>
            <w:vAlign w:val="bottom"/>
          </w:tcPr>
          <w:p>
            <w:pPr>
              <w:jc w:val="center"/>
              <w:ind w:left="210"/>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52</w:t>
              </w:r>
            </w:hyperlink>
          </w:p>
        </w:tc>
      </w:tr>
      <w:tr>
        <w:trPr>
          <w:trHeight w:val="270"/>
        </w:trPr>
        <w:tc>
          <w:tcPr>
            <w:tcW w:w="9340" w:type="dxa"/>
            <w:vAlign w:val="bottom"/>
            <w:gridSpan w:val="7"/>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Controls and Procedures</w:t>
              </w:r>
            </w:hyperlink>
          </w:p>
        </w:tc>
        <w:tc>
          <w:tcPr>
            <w:tcW w:w="480" w:type="dxa"/>
            <w:vAlign w:val="bottom"/>
          </w:tcPr>
          <w:p>
            <w:pPr>
              <w:jc w:val="center"/>
              <w:ind w:left="210"/>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53</w:t>
              </w:r>
            </w:hyperlink>
          </w:p>
        </w:tc>
      </w:tr>
    </w:tbl>
    <w:p>
      <w:pPr>
        <w:spacing w:after="0" w:line="200" w:lineRule="exact"/>
        <w:rPr>
          <w:sz w:val="20"/>
          <w:szCs w:val="20"/>
          <w:color w:val="auto"/>
        </w:rPr>
      </w:pPr>
    </w:p>
    <w:p>
      <w:pPr>
        <w:sectPr>
          <w:pgSz w:w="11900" w:h="16838" w:orient="portrait"/>
          <w:cols w:equalWidth="0" w:num="2">
            <w:col w:w="540" w:space="600"/>
            <w:col w:w="10100"/>
          </w:cols>
          <w:pgMar w:left="320" w:top="931" w:right="3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3120" w:type="dxa"/>
            <w:vAlign w:val="bottom"/>
          </w:tcPr>
          <w:p>
            <w:pPr>
              <w:spacing w:after="0"/>
              <w:rPr>
                <w:sz w:val="20"/>
                <w:szCs w:val="20"/>
                <w:color w:val="auto"/>
              </w:rPr>
            </w:pP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7160" w:type="dxa"/>
            <w:vAlign w:val="bottom"/>
          </w:tcPr>
          <w:p>
            <w:pPr>
              <w:ind w:left="1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Legal Proceedings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7160" w:type="dxa"/>
            <w:vAlign w:val="bottom"/>
          </w:tcPr>
          <w:p>
            <w:pPr>
              <w:ind w:left="1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Risk Factors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7160" w:type="dxa"/>
            <w:vAlign w:val="bottom"/>
          </w:tcPr>
          <w:p>
            <w:pPr>
              <w:ind w:left="1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Unregistered Sales of Equity Securities and Use of Proceeds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7160" w:type="dxa"/>
            <w:vAlign w:val="bottom"/>
          </w:tcPr>
          <w:p>
            <w:pPr>
              <w:ind w:left="1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Defaults Upon Senior Securities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7160" w:type="dxa"/>
            <w:vAlign w:val="bottom"/>
          </w:tcPr>
          <w:p>
            <w:pPr>
              <w:ind w:left="1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Mine Safety Disclosures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5.</w:t>
            </w:r>
          </w:p>
        </w:tc>
        <w:tc>
          <w:tcPr>
            <w:tcW w:w="7160" w:type="dxa"/>
            <w:vAlign w:val="bottom"/>
          </w:tcPr>
          <w:p>
            <w:pPr>
              <w:ind w:left="1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Other Information</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7160" w:type="dxa"/>
            <w:vAlign w:val="bottom"/>
          </w:tcPr>
          <w:p>
            <w:pPr>
              <w:ind w:left="1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Exhibits</w:t>
              </w:r>
            </w:hyperlink>
          </w:p>
        </w:tc>
        <w:tc>
          <w:tcPr>
            <w:tcW w:w="3120" w:type="dxa"/>
            <w:vAlign w:val="bottom"/>
          </w:tcPr>
          <w:p>
            <w:pPr>
              <w:jc w:val="right"/>
              <w:ind w:right="19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r>
        <w:trPr>
          <w:trHeight w:val="526"/>
        </w:trPr>
        <w:tc>
          <w:tcPr>
            <w:tcW w:w="960" w:type="dxa"/>
            <w:vAlign w:val="bottom"/>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Signatures</w:t>
              </w:r>
            </w:hyperlink>
          </w:p>
        </w:tc>
        <w:tc>
          <w:tcPr>
            <w:tcW w:w="7160" w:type="dxa"/>
            <w:vAlign w:val="bottom"/>
          </w:tcPr>
          <w:p>
            <w:pPr>
              <w:spacing w:after="0"/>
              <w:rPr>
                <w:sz w:val="24"/>
                <w:szCs w:val="24"/>
                <w:color w:val="auto"/>
              </w:rPr>
            </w:pPr>
          </w:p>
        </w:tc>
        <w:tc>
          <w:tcPr>
            <w:tcW w:w="3120" w:type="dxa"/>
            <w:vAlign w:val="bottom"/>
          </w:tcPr>
          <w:p>
            <w:pPr>
              <w:jc w:val="right"/>
              <w:ind w:right="19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57</w:t>
              </w:r>
            </w:hyperlink>
          </w:p>
        </w:tc>
      </w:tr>
      <w:tr>
        <w:trPr>
          <w:trHeight w:val="1006"/>
        </w:trPr>
        <w:tc>
          <w:tcPr>
            <w:tcW w:w="96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June 30, 2020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60" w:firstLine="486"/>
        <w:spacing w:after="0" w:line="280" w:lineRule="auto"/>
        <w:rPr>
          <w:sz w:val="20"/>
          <w:szCs w:val="20"/>
          <w:color w:val="auto"/>
        </w:rPr>
      </w:pPr>
      <w:r>
        <w:rPr>
          <w:rFonts w:ascii="Arial" w:cs="Arial" w:eastAsia="Arial" w:hAnsi="Arial"/>
          <w:sz w:val="16"/>
          <w:szCs w:val="16"/>
          <w:i w:val="1"/>
          <w:iCs w:val="1"/>
          <w:color w:val="auto"/>
        </w:rPr>
        <w:t>“Rackspace,” “Rackspace Technology,” “Fanatical Experience,” “RackConnect,” “Rackspace Service Blocks,” “Rackspace Fabric” and “MyRackspace” are registered or unregistered trademarks of Rackspace US, Inc. in the United States and/or other countries. OpenStack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OpenStack, LLC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(formerly known as Rackspace Corp.)</w:t>
      </w:r>
    </w:p>
    <w:p>
      <w:pPr>
        <w:spacing w:after="0" w:line="21" w:lineRule="exact"/>
        <w:rPr>
          <w:sz w:val="20"/>
          <w:szCs w:val="20"/>
          <w:color w:val="auto"/>
        </w:rPr>
      </w:pPr>
    </w:p>
    <w:p>
      <w:pPr>
        <w:jc w:val="center"/>
        <w:ind w:left="38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800"/>
        <w:spacing w:after="0"/>
        <w:rPr>
          <w:sz w:val="20"/>
          <w:szCs w:val="20"/>
          <w:color w:val="auto"/>
        </w:rPr>
      </w:pPr>
      <w:r>
        <w:rPr>
          <w:rFonts w:ascii="Arial" w:cs="Arial" w:eastAsia="Arial" w:hAnsi="Arial"/>
          <w:sz w:val="18"/>
          <w:szCs w:val="18"/>
          <w:b w:val="1"/>
          <w:bCs w:val="1"/>
          <w:color w:val="auto"/>
        </w:rPr>
        <w:t>(Unaudited)</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per share data)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 assets: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9" w:lineRule="exact"/>
        <w:rPr>
          <w:sz w:val="20"/>
          <w:szCs w:val="20"/>
          <w:color w:val="auto"/>
        </w:rPr>
      </w:pPr>
    </w:p>
    <w:p>
      <w:pPr>
        <w:ind w:left="220" w:right="100"/>
        <w:spacing w:after="0"/>
        <w:rPr>
          <w:sz w:val="20"/>
          <w:szCs w:val="20"/>
          <w:color w:val="auto"/>
        </w:rPr>
      </w:pPr>
      <w:r>
        <w:rPr>
          <w:rFonts w:ascii="Arial" w:cs="Arial" w:eastAsia="Arial" w:hAnsi="Arial"/>
          <w:sz w:val="16"/>
          <w:szCs w:val="16"/>
          <w:color w:val="auto"/>
        </w:rPr>
        <w:t>Accounts receivable, net of allowance for doubtful accounts and accrued customer credits of $17.0 and $18.7, respectively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33"/>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3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161.4</w:t>
            </w:r>
          </w:p>
        </w:tc>
      </w:tr>
      <w:tr>
        <w:trPr>
          <w:trHeight w:val="378"/>
        </w:trPr>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256"/>
        </w:trPr>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57"/>
        </w:trPr>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33"/>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651.1</w:t>
            </w:r>
          </w:p>
        </w:tc>
      </w:tr>
    </w:tbl>
    <w:p>
      <w:pPr>
        <w:spacing w:after="0" w:line="199" w:lineRule="exact"/>
        <w:rPr>
          <w:sz w:val="20"/>
          <w:szCs w:val="20"/>
          <w:color w:val="auto"/>
        </w:rPr>
      </w:pPr>
    </w:p>
    <w:p>
      <w:pPr>
        <w:sectPr>
          <w:pgSz w:w="11900" w:h="16838" w:orient="portrait"/>
          <w:cols w:equalWidth="0" w:num="2">
            <w:col w:w="7440" w:space="720"/>
            <w:col w:w="3080"/>
          </w:cols>
          <w:pgMar w:left="320" w:top="125" w:right="339" w:bottom="277"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20"/>
              <w:spacing w:after="0"/>
              <w:rPr>
                <w:sz w:val="20"/>
                <w:szCs w:val="20"/>
                <w:color w:val="auto"/>
              </w:rPr>
            </w:pPr>
            <w:r>
              <w:rPr>
                <w:rFonts w:ascii="Arial" w:cs="Arial" w:eastAsia="Arial" w:hAnsi="Arial"/>
                <w:sz w:val="16"/>
                <w:szCs w:val="16"/>
                <w:color w:val="auto"/>
              </w:rPr>
              <w:t>Property, equipment and software, net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914.1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Goodwill, net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2,733.1</w:t>
            </w:r>
          </w:p>
        </w:tc>
        <w:tc>
          <w:tcPr>
            <w:tcW w:w="0" w:type="dxa"/>
            <w:vAlign w:val="bottom"/>
          </w:tcPr>
          <w:p>
            <w:pPr>
              <w:spacing w:after="0"/>
              <w:rPr>
                <w:sz w:val="1"/>
                <w:szCs w:val="1"/>
                <w:color w:val="auto"/>
              </w:rPr>
            </w:pP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1,726.2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right-of-use assets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8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Debt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0" w:type="dxa"/>
            <w:vAlign w:val="bottom"/>
          </w:tcPr>
          <w:p>
            <w:pPr>
              <w:spacing w:after="0"/>
              <w:rPr>
                <w:sz w:val="1"/>
                <w:szCs w:val="1"/>
                <w:color w:val="auto"/>
              </w:rPr>
            </w:pPr>
          </w:p>
        </w:tc>
      </w:tr>
      <w:tr>
        <w:trPr>
          <w:trHeight w:val="149"/>
        </w:trPr>
        <w:tc>
          <w:tcPr>
            <w:tcW w:w="8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220"/>
              <w:spacing w:after="0"/>
              <w:rPr>
                <w:sz w:val="20"/>
                <w:szCs w:val="20"/>
                <w:color w:val="auto"/>
              </w:rPr>
            </w:pPr>
            <w:r>
              <w:rPr>
                <w:rFonts w:ascii="Arial" w:cs="Arial" w:eastAsia="Arial" w:hAnsi="Arial"/>
                <w:sz w:val="16"/>
                <w:szCs w:val="16"/>
                <w:color w:val="auto"/>
              </w:rPr>
              <w:t>Debt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3,903.2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Finance lease liabilities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7"/>
        </w:trPr>
        <w:tc>
          <w:tcPr>
            <w:tcW w:w="81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5,373.6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5,544.8</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Commitments and Contingencies (Note 8)</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16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165.4 and 165.6 shares issued and outstanding,</w:t>
            </w:r>
          </w:p>
        </w:tc>
        <w:tc>
          <w:tcPr>
            <w:tcW w:w="5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5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1,619.2</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(798.3)</w:t>
            </w:r>
          </w:p>
        </w:tc>
        <w:tc>
          <w:tcPr>
            <w:tcW w:w="0" w:type="dxa"/>
            <w:vAlign w:val="bottom"/>
          </w:tcPr>
          <w:p>
            <w:pPr>
              <w:spacing w:after="0"/>
              <w:rPr>
                <w:sz w:val="1"/>
                <w:szCs w:val="1"/>
                <w:color w:val="auto"/>
              </w:rPr>
            </w:pPr>
          </w:p>
        </w:tc>
      </w:tr>
      <w:tr>
        <w:trPr>
          <w:trHeight w:val="217"/>
        </w:trPr>
        <w:tc>
          <w:tcPr>
            <w:tcW w:w="8160" w:type="dxa"/>
            <w:vAlign w:val="bottom"/>
          </w:tcPr>
          <w:p>
            <w:pPr>
              <w:ind w:left="460"/>
              <w:spacing w:after="0"/>
              <w:rPr>
                <w:sz w:val="20"/>
                <w:szCs w:val="20"/>
                <w:color w:val="auto"/>
              </w:rPr>
            </w:pPr>
            <w:r>
              <w:rPr>
                <w:rFonts w:ascii="Arial" w:cs="Arial" w:eastAsia="Arial" w:hAnsi="Arial"/>
                <w:sz w:val="16"/>
                <w:szCs w:val="16"/>
                <w:color w:val="auto"/>
              </w:rPr>
              <w:t>Total stockholders' equity</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125" w:right="339" w:bottom="2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77"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498"/>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2020</w:t>
            </w: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1,309.2</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(818.0)</w:t>
            </w:r>
          </w:p>
        </w:tc>
      </w:tr>
      <w:tr>
        <w:trPr>
          <w:trHeight w:val="33"/>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491.2</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(447.0)</w:t>
            </w: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6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506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investments, net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5060" w:type="dxa"/>
            <w:vAlign w:val="bottom"/>
          </w:tcPr>
          <w:p>
            <w:pPr>
              <w:ind w:left="120"/>
              <w:spacing w:after="0"/>
              <w:rPr>
                <w:sz w:val="20"/>
                <w:szCs w:val="20"/>
                <w:color w:val="auto"/>
              </w:rPr>
            </w:pPr>
            <w:r>
              <w:rPr>
                <w:rFonts w:ascii="Arial" w:cs="Arial" w:eastAsia="Arial" w:hAnsi="Arial"/>
                <w:sz w:val="16"/>
                <w:szCs w:val="16"/>
                <w:color w:val="auto"/>
              </w:rPr>
              <w:t>Gain on extinguishment of debt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5060" w:type="dxa"/>
            <w:vAlign w:val="bottom"/>
          </w:tcPr>
          <w:p>
            <w:pPr>
              <w:ind w:left="220"/>
              <w:spacing w:after="0"/>
              <w:rPr>
                <w:sz w:val="20"/>
                <w:szCs w:val="20"/>
                <w:color w:val="auto"/>
              </w:rPr>
            </w:pPr>
            <w:r>
              <w:rPr>
                <w:rFonts w:ascii="Arial" w:cs="Arial" w:eastAsia="Arial" w:hAnsi="Arial"/>
                <w:sz w:val="16"/>
                <w:szCs w:val="16"/>
                <w:color w:val="auto"/>
              </w:rPr>
              <w:t>Total other income (expense)</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w:t>
            </w:r>
          </w:p>
        </w:tc>
      </w:tr>
      <w:tr>
        <w:trPr>
          <w:trHeight w:val="33"/>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506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Unrealized losses on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20"/>
        </w:trPr>
        <w:tc>
          <w:tcPr>
            <w:tcW w:w="5060" w:type="dxa"/>
            <w:vAlign w:val="bottom"/>
          </w:tcPr>
          <w:p>
            <w:pPr>
              <w:ind w:left="120"/>
              <w:spacing w:after="0"/>
              <w:rPr>
                <w:sz w:val="20"/>
                <w:szCs w:val="20"/>
                <w:color w:val="auto"/>
              </w:rPr>
            </w:pPr>
            <w:r>
              <w:rPr>
                <w:rFonts w:ascii="Arial" w:cs="Arial" w:eastAsia="Arial" w:hAnsi="Arial"/>
                <w:sz w:val="16"/>
                <w:szCs w:val="16"/>
                <w:color w:val="auto"/>
                <w:w w:val="93"/>
              </w:rPr>
              <w:t>Amount reclassified from accumulated other comprehensive income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5060" w:type="dxa"/>
            <w:vAlign w:val="bottom"/>
          </w:tcPr>
          <w:p>
            <w:pPr>
              <w:ind w:left="120"/>
              <w:spacing w:after="0"/>
              <w:rPr>
                <w:sz w:val="20"/>
                <w:szCs w:val="20"/>
                <w:color w:val="auto"/>
              </w:rPr>
            </w:pPr>
            <w:r>
              <w:rPr>
                <w:rFonts w:ascii="Arial" w:cs="Arial" w:eastAsia="Arial" w:hAnsi="Arial"/>
                <w:sz w:val="16"/>
                <w:szCs w:val="16"/>
                <w:color w:val="auto"/>
              </w:rPr>
              <w:t>to earnings</w:t>
            </w:r>
          </w:p>
        </w:tc>
        <w:tc>
          <w:tcPr>
            <w:tcW w:w="2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47"/>
        </w:trPr>
        <w:tc>
          <w:tcPr>
            <w:tcW w:w="5060" w:type="dxa"/>
            <w:vAlign w:val="bottom"/>
          </w:tcPr>
          <w:p>
            <w:pPr>
              <w:ind w:left="46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5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Net income (loss) per share: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2"/>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060" w:type="dxa"/>
            <w:vAlign w:val="bottom"/>
          </w:tcPr>
          <w:p>
            <w:pPr>
              <w:ind w:left="46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67"/>
        </w:trPr>
        <w:tc>
          <w:tcPr>
            <w:tcW w:w="5060" w:type="dxa"/>
            <w:vAlign w:val="bottom"/>
          </w:tcPr>
          <w:p>
            <w:pPr>
              <w:ind w:left="46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37465</wp:posOffset>
            </wp:positionV>
            <wp:extent cx="1954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2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237.6</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24"/>
        </w:trPr>
        <w:tc>
          <w:tcPr>
            <w:tcW w:w="8160" w:type="dxa"/>
            <w:vAlign w:val="bottom"/>
          </w:tcPr>
          <w:p>
            <w:pPr>
              <w:ind w:left="220"/>
              <w:spacing w:after="0"/>
              <w:rPr>
                <w:sz w:val="20"/>
                <w:szCs w:val="20"/>
                <w:color w:val="auto"/>
              </w:rPr>
            </w:pPr>
            <w:r>
              <w:rPr>
                <w:rFonts w:ascii="Arial" w:cs="Arial" w:eastAsia="Arial" w:hAnsi="Arial"/>
                <w:sz w:val="16"/>
                <w:szCs w:val="16"/>
                <w:color w:val="auto"/>
              </w:rPr>
              <w:t>Gain on 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on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on investments,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816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23"/>
        </w:trPr>
        <w:tc>
          <w:tcPr>
            <w:tcW w:w="816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816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81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7"/>
        </w:trPr>
        <w:tc>
          <w:tcPr>
            <w:tcW w:w="816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property, equipment and software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2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Shares of common stock withheld for employee taxes</w:t>
            </w: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Cash settlement of share-based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borrowings under long-term debt arrangements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Principal payments of finance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financing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Principal payments of financing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23"/>
        </w:trPr>
        <w:tc>
          <w:tcPr>
            <w:tcW w:w="8160" w:type="dxa"/>
            <w:vAlign w:val="bottom"/>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Increase (decrease)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23"/>
        </w:trPr>
        <w:tc>
          <w:tcPr>
            <w:tcW w:w="8160" w:type="dxa"/>
            <w:vAlign w:val="bottom"/>
          </w:tcPr>
          <w:p>
            <w:pPr>
              <w:ind w:left="5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2"/>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Cash payments for interest, net of amount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payments for income taxes, net of refunds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54"/>
        </w:trPr>
        <w:tc>
          <w:tcPr>
            <w:tcW w:w="8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Acquisition of property, equipment and software by finance leases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42.5</w:t>
            </w:r>
          </w:p>
        </w:tc>
      </w:tr>
    </w:tbl>
    <w:p>
      <w:pPr>
        <w:spacing w:after="0" w:line="200" w:lineRule="exact"/>
        <w:rPr>
          <w:sz w:val="20"/>
          <w:szCs w:val="20"/>
          <w:color w:val="auto"/>
        </w:rPr>
      </w:pPr>
    </w:p>
    <w:p>
      <w:pPr>
        <w:sectPr>
          <w:pgSz w:w="11900" w:h="16838" w:orient="portrait"/>
          <w:cols w:equalWidth="0" w:num="1">
            <w:col w:w="11240"/>
          </w:cols>
          <w:pgMar w:left="320" w:top="125" w:right="339" w:bottom="439"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39"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Decrease in property, equipment and software accrued in liabilities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54"/>
        </w:trPr>
        <w:tc>
          <w:tcPr>
            <w:tcW w:w="8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Non-cash increase in buildings within property, equipment, net, and software due to lease modification</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220.3</w:t>
            </w: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Other non-cash investing and financing activities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34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346"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37465</wp:posOffset>
            </wp:positionV>
            <wp:extent cx="1954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6"/>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24"/>
        </w:trPr>
        <w:tc>
          <w:tcPr>
            <w:tcW w:w="8160" w:type="dxa"/>
            <w:vAlign w:val="bottom"/>
          </w:tcPr>
          <w:p>
            <w:pPr>
              <w:ind w:left="120"/>
              <w:spacing w:after="0"/>
              <w:rPr>
                <w:sz w:val="20"/>
                <w:szCs w:val="20"/>
                <w:color w:val="auto"/>
              </w:rPr>
            </w:pPr>
            <w:r>
              <w:rPr>
                <w:rFonts w:ascii="Arial" w:cs="Arial" w:eastAsia="Arial" w:hAnsi="Arial"/>
                <w:sz w:val="16"/>
                <w:szCs w:val="16"/>
                <w:color w:val="auto"/>
              </w:rPr>
              <w:t>Restricted cash included in other non-current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8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3860" w:type="dxa"/>
            <w:vAlign w:val="bottom"/>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922.7</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6"/>
                <w:szCs w:val="16"/>
                <w:color w:val="auto"/>
                <w:w w:val="96"/>
              </w:rPr>
              <w:t>Exercise of stock options and release of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60" w:type="dxa"/>
            <w:vAlign w:val="bottom"/>
          </w:tcPr>
          <w:p>
            <w:pPr>
              <w:ind w:left="120"/>
              <w:spacing w:after="0"/>
              <w:rPr>
                <w:sz w:val="20"/>
                <w:szCs w:val="20"/>
                <w:color w:val="auto"/>
              </w:rPr>
            </w:pPr>
            <w:r>
              <w:rPr>
                <w:rFonts w:ascii="Arial" w:cs="Arial" w:eastAsia="Arial" w:hAnsi="Arial"/>
                <w:sz w:val="16"/>
                <w:szCs w:val="16"/>
                <w:color w:val="auto"/>
              </w:rPr>
              <w:t>net of shares withheld for employee taxes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3860" w:type="dxa"/>
            <w:vAlign w:val="bottom"/>
          </w:tcPr>
          <w:p>
            <w:pPr>
              <w:ind w:left="120"/>
              <w:spacing w:after="0"/>
              <w:rPr>
                <w:sz w:val="20"/>
                <w:szCs w:val="20"/>
                <w:color w:val="auto"/>
              </w:rPr>
            </w:pPr>
            <w:r>
              <w:rPr>
                <w:rFonts w:ascii="Arial" w:cs="Arial" w:eastAsia="Arial" w:hAnsi="Arial"/>
                <w:sz w:val="16"/>
                <w:szCs w:val="16"/>
                <w:color w:val="auto"/>
              </w:rPr>
              <w:t>Cash settlement of share-based awards</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7"/>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3"/>
        </w:trPr>
        <w:tc>
          <w:tcPr>
            <w:tcW w:w="38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8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3860" w:type="dxa"/>
            <w:vAlign w:val="bottom"/>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24"/>
        </w:trPr>
        <w:tc>
          <w:tcPr>
            <w:tcW w:w="3860" w:type="dxa"/>
            <w:vAlign w:val="bottom"/>
          </w:tcPr>
          <w:p>
            <w:pPr>
              <w:ind w:left="120"/>
              <w:spacing w:after="0"/>
              <w:rPr>
                <w:sz w:val="20"/>
                <w:szCs w:val="20"/>
                <w:color w:val="auto"/>
              </w:rPr>
            </w:pPr>
            <w:r>
              <w:rPr>
                <w:rFonts w:ascii="Arial" w:cs="Arial" w:eastAsia="Arial" w:hAnsi="Arial"/>
                <w:sz w:val="16"/>
                <w:szCs w:val="16"/>
                <w:color w:val="auto"/>
              </w:rPr>
              <w:t>Cumulative effect of adopting ASC 842</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Exercise of stock options and release of stock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shares withheld for employee taxes</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settlement of share-based awards</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8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8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3860" w:type="dxa"/>
            <w:vAlign w:val="bottom"/>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Comprehensive Loss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6"/>
                <w:szCs w:val="16"/>
                <w:color w:val="auto"/>
                <w:w w:val="96"/>
              </w:rPr>
              <w:t>Exercise of stock options and release of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860" w:type="dxa"/>
            <w:vAlign w:val="bottom"/>
          </w:tcPr>
          <w:p>
            <w:pPr>
              <w:ind w:left="120"/>
              <w:spacing w:after="0"/>
              <w:rPr>
                <w:sz w:val="20"/>
                <w:szCs w:val="20"/>
                <w:color w:val="auto"/>
              </w:rPr>
            </w:pPr>
            <w:r>
              <w:rPr>
                <w:rFonts w:ascii="Arial" w:cs="Arial" w:eastAsia="Arial" w:hAnsi="Arial"/>
                <w:sz w:val="16"/>
                <w:szCs w:val="16"/>
                <w:color w:val="auto"/>
              </w:rPr>
              <w:t>net of shares withheld for employee taxes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7"/>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1,619.2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8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3860" w:type="dxa"/>
            <w:vAlign w:val="bottom"/>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Arial" w:cs="Arial" w:eastAsia="Arial" w:hAnsi="Arial"/>
                <w:sz w:val="16"/>
                <w:szCs w:val="16"/>
                <w:color w:val="auto"/>
                <w:w w:val="96"/>
              </w:rPr>
              <w:t>Exercise of stock options and release of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860" w:type="dxa"/>
            <w:vAlign w:val="bottom"/>
          </w:tcPr>
          <w:p>
            <w:pPr>
              <w:ind w:left="120"/>
              <w:spacing w:after="0"/>
              <w:rPr>
                <w:sz w:val="20"/>
                <w:szCs w:val="20"/>
                <w:color w:val="auto"/>
              </w:rPr>
            </w:pPr>
            <w:r>
              <w:rPr>
                <w:rFonts w:ascii="Arial" w:cs="Arial" w:eastAsia="Arial" w:hAnsi="Arial"/>
                <w:sz w:val="16"/>
                <w:szCs w:val="16"/>
                <w:color w:val="auto"/>
              </w:rPr>
              <w:t>net of shares withheld for employee taxes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47"/>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1,619.2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Rackspace Technology, Inc. ("Rackspace Technology") (formerly known as Rackspace Corp. until its legal name change on June 11, 2020 and formerly known as Inception Topco Inc. until its legal name change on March 31, 2020), is a Delaware corporation controlled by investment funds affiliated with Apollo Global Management, Inc. and its subsidiaries (“Apollo”) and certain co-investors, including Searchlight Capital Partners L.P (“Searchlight”), ABRY Partners, LLC and ABRY Partners II, LLC (collectively, “ABRY”), and current and former employees. Rackspace Technology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right="700" w:firstLine="486"/>
        <w:spacing w:after="0" w:line="286" w:lineRule="auto"/>
        <w:rPr>
          <w:sz w:val="20"/>
          <w:szCs w:val="20"/>
          <w:color w:val="auto"/>
        </w:rPr>
      </w:pPr>
      <w:r>
        <w:rPr>
          <w:rFonts w:ascii="Arial" w:cs="Arial" w:eastAsia="Arial" w:hAnsi="Arial"/>
          <w:sz w:val="17"/>
          <w:szCs w:val="17"/>
          <w:color w:val="auto"/>
        </w:rPr>
        <w:t>On November 15, 2019, we acquired 100% of Onica Holdings LLC ("Onica") as described in more detail in Note 13, "Acquisitions." The preliminary estimate of fair values of Onica’s assets acquired and liabilities assumed, together with Onica’s results of operations subsequent to the November 15, 2019 acquisition date, are included in the unaudited consolidated financial statements.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unaudited consolidated financial statements as of June 30, 2020, and for the three and six months ended June 30, 2019 and 2020, are unaudited and have been prepared in accordance with accounting principles generally accepted in the United States of America (“GAAP”) for interim financial information. Accordingly, they do not include all financial information and disclosures required by GAAP for complete financial statements. These unaudited interim consolidated financial statements should be read in conjunction with the audited consolidated financial statements and the related notes thereto as of December 31, 2019, included in our Registration Statement on Form S-1 (File No. 333-239794), as amended, including the final prospectus, dated August 4, 2020, included therein (the "Prospectus"). The unaudited interim consolidated financial statements have been prepared on the same basis as the audited consolidated financial statements included in the Prospectus and, in the opinion of management, reflect all adjustments, which include normal recurring adjustments, necessary for a fair statement of our financial position as of June 30, 2020, our results of operations for the three and six months ended June 30, 2019 and 2020, our cash flows for the six months ended June 30, 2019 and 2020, and our stockholders' equity for the three and six months ended June 30, 2019 and 2020.</w:t>
      </w:r>
    </w:p>
    <w:p>
      <w:pPr>
        <w:spacing w:after="0" w:line="21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results of operations for the three and six months ended June 30, 2020 are not necessarily indicative of the results of operations to be expected for the year ending December 31, 2020, or for any other interim period, or for any other future year.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are rapidly evolving,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In addition, we face a greater degree of uncertainty in making estimates and assumptions needed to prepare our consolidated financial statements and footnotes.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(the "Stock Split"). All common stock share and per-share data, excluding par value per share, included in these consolidated financial statements give effect to the Stock Split and have been adjusted retroactively for all periods presented.</w:t>
      </w:r>
    </w:p>
    <w:p>
      <w:pPr>
        <w:spacing w:after="0" w:line="21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On July 20, 2020, we entered into an amendment to the First Lien Credit Agreement that modified the terms of our revolving credit facility (the “Revolving Credit Facility”) effective upon the closing of our initial public offering (the “IPO”) on August 7, 2020. The amendment (i) increased the amount of the commitments available under the Revolving Credit Facility from $225.0 million to $375.0 million, (ii) reduced the applicable margin with respect to the Revolving Credit Facility to 3.00% for LIBOR loans and 2.00% for base rate loans, but includes a 1.00% LIBOR “floor” applicable to LIBOR loans, and (iii) extended the maturity date with respect to the Revolving Credit Facility from November 3, 2021 to August 7, 2025; however, if 91 days prior to the scheduled maturity date of (A) the Term Loan Facility, more than $50.0 million aggregate principal amount of loans remains outstanding under the Term Loan Facility, or (B) the 8.625% Senior Notes due 2024 (the "8.625% Senior Notes"), more than $50.0 million aggregate principal amount of the 8.625% Senior Notes remains outstanding, in either such case, the Revolving Credit Facility will mature on such earlier date.</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amendment to the Revolving Credit Facility also modified the financial maintenance covenant applicable to the Revolving Credit Facility that limits the borrower’s net first lien leverage ratio to be a maximum of 5.00 to 1.00 (as compared to 3.50 to 1.00 prior to giving effect to the amendment). This financial maintenance covenant is only applicable and tested if the aggregate amount of outstanding borrowings under the Revolving Credit Facility and letters of credit issued thereunder (excluding $25.0 million of undrawn letters of credit and cash collateralized letters of credit) as of the last day of a fiscal quarter is equal to or greater than 35% of the Revolving Credit Facility commitments as of the last day of such fiscal quarter. Other than described in this and the previous paragraph, the terms and conditions of the Revolving Credit Facility remained the same, and the amendment did not amend or otherwise modify the terms of the Term Loan Facility (as defined below).</w:t>
      </w:r>
    </w:p>
    <w:p>
      <w:pPr>
        <w:spacing w:after="0" w:line="20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July 24, 2020, the board of directors of Rackspace Technology approved amendments to the Rackspace Technology, Inc. Equity Incentive Plan (the “2017 Incentive Plan”), which amendments were effective upon completion of the IPO on August 7, 2020. Among other things, as of the consummation of the IPO, the 2017 Incentive Plan terminated, except as it relates to outstanding awards, and any remaining shares reserved for future grants under the 2017 Incentive Plan were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connection with the Rackspace Acquisition, we entered into a management consulting agreement with affiliates of Apollo and Searchlight (the “Apollo/Searchlight Management Consulting Agreement”) and a transaction fee agreement with an affiliate of Apollo (the “Transaction Fee Agreement”). In addition, on November 15, 2017, we entered into a management consulting agreement with ABRY (the “ABRY Management Consulting Agreement”). On July 24, 2020, we executed termination letters with each of the parties to the Apollo/Searchlight Management Consulting Agreement, the Transaction Fee Agreement, and the ABRY Management Consulting Agreement, whereby all agreements terminated effective as of the pricing of the IPO on August 4, 2020, and therefore no management or transaction fees will accrue or be payable under any of these agreements for periods subsequent to that date.</w:t>
      </w:r>
    </w:p>
    <w:p>
      <w:pPr>
        <w:spacing w:after="0" w:line="19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proceeds of $666.6 million from sales of shares in the IPO, after deducting underwriters' discounts and commissions of</w:t>
      </w:r>
    </w:p>
    <w:p>
      <w:pPr>
        <w:ind w:right="440"/>
        <w:spacing w:after="0" w:line="260" w:lineRule="auto"/>
        <w:rPr>
          <w:sz w:val="20"/>
          <w:szCs w:val="20"/>
          <w:color w:val="auto"/>
        </w:rPr>
      </w:pPr>
      <w:r>
        <w:rPr>
          <w:rFonts w:ascii="Arial" w:cs="Arial" w:eastAsia="Arial" w:hAnsi="Arial"/>
          <w:sz w:val="18"/>
          <w:szCs w:val="18"/>
          <w:color w:val="auto"/>
        </w:rPr>
        <w:t>$36.9 million, but before deducting offering expenses of approximately $8.4 million. The underwriters may exercise their option to purchase up to an additional 5,025,000 shares at $21.00 per share for 30 days after the final Prospectus date of August 4, 2020.</w:t>
      </w:r>
    </w:p>
    <w:p>
      <w:pPr>
        <w:spacing w:after="0" w:line="2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August 12, 2020, Rackspace Technology Global commenced a tender offer to purchase for cash up to$600.0 million aggregate principal amount of its approximately $1,120.2 million outstanding 8.625% Senior Notes. As of the end of the day, 12:00 midnight, New York City time, on August 25, 2020, the early tender time, holders of the 8.625% Senior Notes had validly tendered $507.6 million aggregate principal amount of the 8.625% Senior Notes. On August 27, 2020, Rackspace Technology Global purchased $507.6 million aggregate principal amount of the 8.625% Senior Notes for aggregate cash of approximately $549.2 million, which reflected a price of 105.75% of the principal amount thereof, plus accrued and unpaid interest to, but not including, August 27, 2020, and canceled $507.6 million of the 8.625% Senior Notes following the purchase. The tender offer is scheduled to expire at the end of the day, 12:00 midnight, New York City time, on Wednesday, September 9, 2020, unless extended or earlier terminated by Rackspace Technology Global.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Prospectus includes an additional discussion of the significant accounting policies and estimates used in the preparation of our consolidated financial statements, which we are incorporating by reference herein. There were no material changes to our significant accounting policies and estimates during the six months ended June 30, 2020, except for the adoptions of the Accounting Standards Updates ("ASU") discussed in "Recently Adopted Accounting Pronouncements"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440" w:firstLine="486"/>
        <w:spacing w:after="0" w:line="279" w:lineRule="auto"/>
        <w:rPr>
          <w:sz w:val="20"/>
          <w:szCs w:val="20"/>
          <w:color w:val="auto"/>
        </w:rPr>
      </w:pPr>
      <w:r>
        <w:rPr>
          <w:rFonts w:ascii="Arial" w:cs="Arial" w:eastAsia="Arial" w:hAnsi="Arial"/>
          <w:sz w:val="17"/>
          <w:szCs w:val="17"/>
          <w:color w:val="auto"/>
        </w:rPr>
        <w:t>Certain reclassifications have been made to the prior period consolidated financial statements to conform to the current period presentation. Specifically, the non-current portion of "Finance lease liabilities" is now presented separately from "Other non-current liabilities" in the Consolidated Balance Sheets. This presentation change is due to the modification of certain leases in June 2020 which resulted in a change of classification from operating leases to finance leases, increasing the balance of the non-current portion of "Finance lease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Financial Instruments-Credit Losses</w:t>
      </w:r>
    </w:p>
    <w:p>
      <w:pPr>
        <w:spacing w:after="0" w:line="25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 326) -</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financial assets measured at amortized cost to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using an allowance for expected credit losses, to be estimated by management based on historical experience, current conditions, and reasonable and supportable forecasts. We adopted this guidance on January 1, 2020, using the modified retrospective approach.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Derivatives and Hedging-Targeted Improvements to Accounting for Hedging Activities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which improves the financial reporting of hedging relationships to better portray the economic results of an entity’s risk management activities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its financial statements and to simplify the application of the hedge accounting guidance. The guidance expands and refines hedge accounting for both nonfinancial and financial risk components and aligns the recognition and presentation of the effects of hedging instruments and hedged items in the financial statements. The guidance also amends the presentation and disclosure requirements and changes how entities assess hedge effectiveness.</w:t>
      </w:r>
    </w:p>
    <w:p>
      <w:pPr>
        <w:spacing w:after="0" w:line="188" w:lineRule="exact"/>
        <w:rPr>
          <w:sz w:val="20"/>
          <w:szCs w:val="20"/>
          <w:color w:val="auto"/>
        </w:rPr>
      </w:pPr>
    </w:p>
    <w:p>
      <w:pPr>
        <w:jc w:val="both"/>
        <w:ind w:right="160" w:firstLine="486"/>
        <w:spacing w:after="0" w:line="279" w:lineRule="auto"/>
        <w:rPr>
          <w:sz w:val="20"/>
          <w:szCs w:val="20"/>
          <w:color w:val="auto"/>
        </w:rPr>
      </w:pPr>
      <w:r>
        <w:rPr>
          <w:rFonts w:ascii="Arial" w:cs="Arial" w:eastAsia="Arial" w:hAnsi="Arial"/>
          <w:sz w:val="17"/>
          <w:szCs w:val="17"/>
          <w:color w:val="auto"/>
        </w:rPr>
        <w:t>We adopted this ASU on January 1, 2020. The guidance applies to any existing hedges or new derivative instruments that are designated as hedges for derivative accounting purposes in future periods. We have historically not designated our interest rate swaps or foreign currency hedging contracts as hedges for derivative accounting purposes, However, on January 9, 2020, we designated certain of our interest rate swap agreements as cash flow hedges. Refer to Note 11, "Derivatives," for the cash flow hedge disclosures required by the provisions of this guidance.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Fair Value Measurement Disclosures</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removes, modifies or adds certain disclosure requirements for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We adopted this guidance on January 1, 2020 on a prospective basis. The adoption did not have a material impact on our consolidated financial statements.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Customer’s Accounting for Fees Paid in a Cloud Computing Arrangement</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We adopted this guidance on January 1, 2020 on a prospective basis. The adoption of this guidance primarily resulted in changes to the presentation of certain implementation costs within our consolidated financial statements. Historically, these costs were capitalized as part of "Property, equipment, and software, net" and amortized over the useful life of the related software or hosting arrangement. Upon adoption, eligible costs incurred are now recorded within "Prepaid expenses" and "Other non-current assets" and amortized to either "Cost of revenue" or "Selling, general and administrative expenses" over the useful life of the related software or hosting arrangement. In addition, the cash flow presentation of these costs changed from investing cash flows under previous guidance to operating cash flows under the new guidance. The adoption of this guidance did not have a material impact on our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contains practical expedients for reference rate reform related activities that impact debt, leases, derivatives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The guidance in ASU 2020-04 is optional and may be elected over time as reference rate reform activities occur. In July 2020,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balances related to customer contracts as of December 31, 2019 and June 30, 2020:</w:t>
      </w:r>
    </w:p>
    <w:p>
      <w:pPr>
        <w:sectPr>
          <w:pgSz w:w="11900" w:h="16838" w:orient="portrait"/>
          <w:cols w:equalWidth="0" w:num="1">
            <w:col w:w="11240"/>
          </w:cols>
          <w:pgMar w:left="320" w:top="125" w:right="339" w:bottom="1440" w:gutter="0" w:footer="0" w:header="0"/>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64" w:lineRule="exact"/>
        <w:rPr>
          <w:sz w:val="20"/>
          <w:szCs w:val="20"/>
          <w:color w:val="auto"/>
        </w:rPr>
      </w:pPr>
    </w:p>
    <w:p>
      <w:pPr>
        <w:ind w:left="20" w:right="1100"/>
        <w:spacing w:after="0" w:line="382" w:lineRule="auto"/>
        <w:rPr>
          <w:sz w:val="20"/>
          <w:szCs w:val="20"/>
          <w:color w:val="auto"/>
        </w:rPr>
      </w:pPr>
      <w:r>
        <w:rPr>
          <w:rFonts w:ascii="Arial" w:cs="Arial" w:eastAsia="Arial" w:hAnsi="Arial"/>
          <w:sz w:val="14"/>
          <w:szCs w:val="14"/>
          <w:color w:val="auto"/>
        </w:rPr>
        <w:t>Accounts receivable, net Current portion of contract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Non-current portion of contract assets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of deferred 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Non-current portion of deferred revenue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180" w:type="dxa"/>
            <w:vAlign w:val="bottom"/>
            <w:gridSpan w:val="2"/>
          </w:tcPr>
          <w:p>
            <w:pPr>
              <w:ind w:left="740"/>
              <w:spacing w:after="0"/>
              <w:rPr>
                <w:sz w:val="20"/>
                <w:szCs w:val="20"/>
                <w:color w:val="auto"/>
              </w:rPr>
            </w:pPr>
            <w:r>
              <w:rPr>
                <w:rFonts w:ascii="Arial" w:cs="Arial" w:eastAsia="Arial" w:hAnsi="Arial"/>
                <w:sz w:val="16"/>
                <w:szCs w:val="16"/>
                <w:b w:val="1"/>
                <w:bCs w:val="1"/>
                <w:color w:val="auto"/>
              </w:rPr>
              <w:t>Consolidated Balance Sheets Account</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2020</w:t>
            </w:r>
          </w:p>
        </w:tc>
      </w:tr>
      <w:tr>
        <w:trPr>
          <w:trHeight w:val="33"/>
        </w:trPr>
        <w:tc>
          <w:tcPr>
            <w:tcW w:w="4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7"/>
        </w:trPr>
        <w:tc>
          <w:tcPr>
            <w:tcW w:w="4180" w:type="dxa"/>
            <w:vAlign w:val="bottom"/>
            <w:gridSpan w:val="2"/>
          </w:tcPr>
          <w:p>
            <w:pPr>
              <w:spacing w:after="0"/>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206"/>
        </w:trPr>
        <w:tc>
          <w:tcPr>
            <w:tcW w:w="41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57"/>
        </w:trPr>
        <w:tc>
          <w:tcPr>
            <w:tcW w:w="418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7"/>
        </w:trPr>
        <w:tc>
          <w:tcPr>
            <w:tcW w:w="418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57"/>
        </w:trPr>
        <w:tc>
          <w:tcPr>
            <w:tcW w:w="418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-801370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-467360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-141605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5"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(1) Allowance for doubtful accounts and accrued customer credits was $17.0 million and $18.7 million as of December 31, 2019 and June 30, 2020, respectively.</w:t>
      </w:r>
    </w:p>
    <w:p>
      <w:pPr>
        <w:spacing w:after="0" w:line="255"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Amounts recognized in revenue for the three months ended June 30, 2019 and June 30, 2020, which were included in deferred revenue as of the beginning of each period, totaled $29.3 million and $29.1 million, respectively. Amounts recognized in revenue for the six months ended June 30, 2019 and June 30, 2020, which were included in deferred revenue as of the beginning of each period totaled $38.2 million and $46.9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39"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As of December 31, 2019 and June 30, 2020, the balances of capitalized costs to obtain a contract were $55.1 million and $56.6 million, respectively, and the balances of capitalized costs to fulfill a contract were $21.7 million and $23.0 million, respectively. These capitalized costs are included in “Other non-current assets” on the Consolidated Balance Sheets.</w:t>
      </w:r>
    </w:p>
    <w:p>
      <w:pPr>
        <w:spacing w:after="0" w:line="21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Amortization of capitalized sales commissions and implementation costs for the three and six months ended June 30, 2019 and June 30, 2020 was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June 30, 2020, the aggregate amount of transaction price allocated to remaining performance obligations was $920.0 million, of which 35% is expected to be recognized as revenue during 2020 and the remainder thereafter. These remaining performance obligations primarily relate to our fixed-term arrangements. Our other revenue arrangements are usage-based, and as such, we recognize revenues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25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Basic net income (loss) per share is based on the weighted average effect of all common shares issued and outstanding and is calculated by dividing net income (loss) attributable to common stockholders by the weighted average shares outstanding during the period. In periods where we are in a net income position, diluted net income per share is calculated by dividing net income attributable to common stockholders by the weighted average number of common shares and dilutive potential common share equivalents outstanding during the period. Potential common share equivalents consist of shares issuable upon the exercise of stock options and vesting of restricted stock.</w:t>
      </w:r>
    </w:p>
    <w:p>
      <w:pPr>
        <w:spacing w:after="0" w:line="21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Since we were in a net loss position for the three and six months ended June 30, 2020, basic net loss per share is the same as diluted net loss per share for those periods as the inclusion of all potential common shares outstanding would have been anti-dilutive.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2020</w:t>
            </w: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net income (loss) per share:</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5060" w:type="dxa"/>
            <w:vAlign w:val="bottom"/>
          </w:tcPr>
          <w:p>
            <w:pPr>
              <w:ind w:left="460"/>
              <w:spacing w:after="0"/>
              <w:rPr>
                <w:sz w:val="20"/>
                <w:szCs w:val="20"/>
                <w:color w:val="auto"/>
              </w:rPr>
            </w:pPr>
            <w:r>
              <w:rPr>
                <w:rFonts w:ascii="Arial" w:cs="Arial" w:eastAsia="Arial" w:hAnsi="Arial"/>
                <w:sz w:val="16"/>
                <w:szCs w:val="16"/>
                <w:color w:val="auto"/>
              </w:rPr>
              <w:t>Net income (loss) attributable to common stockholders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3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3"/>
        </w:trPr>
        <w:tc>
          <w:tcPr>
            <w:tcW w:w="5060" w:type="dxa"/>
            <w:vAlign w:val="bottom"/>
          </w:tcPr>
          <w:p>
            <w:pPr>
              <w:ind w:left="3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165.4</w:t>
            </w:r>
          </w:p>
        </w:tc>
      </w:tr>
      <w:tr>
        <w:trPr>
          <w:trHeight w:val="33"/>
        </w:trPr>
        <w:tc>
          <w:tcPr>
            <w:tcW w:w="5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r>
      <w:tr>
        <w:trPr>
          <w:trHeight w:val="247"/>
        </w:trPr>
        <w:tc>
          <w:tcPr>
            <w:tcW w:w="5060" w:type="dxa"/>
            <w:vAlign w:val="bottom"/>
          </w:tcPr>
          <w:p>
            <w:pPr>
              <w:ind w:left="660"/>
              <w:spacing w:after="0"/>
              <w:rPr>
                <w:sz w:val="20"/>
                <w:szCs w:val="20"/>
                <w:color w:val="auto"/>
              </w:rPr>
            </w:pPr>
            <w:r>
              <w:rPr>
                <w:rFonts w:ascii="Arial" w:cs="Arial" w:eastAsia="Arial" w:hAnsi="Arial"/>
                <w:sz w:val="16"/>
                <w:szCs w:val="16"/>
                <w:color w:val="auto"/>
              </w:rPr>
              <w:t>Net income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6"/>
        </w:trPr>
        <w:tc>
          <w:tcPr>
            <w:tcW w:w="5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Diluted net income (loss) per share: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income (loss)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23"/>
        </w:trPr>
        <w:tc>
          <w:tcPr>
            <w:tcW w:w="5060" w:type="dxa"/>
            <w:vAlign w:val="bottom"/>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r>
      <w:tr>
        <w:trPr>
          <w:trHeight w:val="223"/>
        </w:trPr>
        <w:tc>
          <w:tcPr>
            <w:tcW w:w="5060" w:type="dxa"/>
            <w:vAlign w:val="bottom"/>
          </w:tcPr>
          <w:p>
            <w:pPr>
              <w:ind w:left="340"/>
              <w:spacing w:after="0"/>
              <w:rPr>
                <w:sz w:val="20"/>
                <w:szCs w:val="20"/>
                <w:color w:val="auto"/>
              </w:rPr>
            </w:pPr>
            <w:r>
              <w:rPr>
                <w:rFonts w:ascii="Arial" w:cs="Arial" w:eastAsia="Arial" w:hAnsi="Arial"/>
                <w:sz w:val="16"/>
                <w:szCs w:val="16"/>
                <w:color w:val="auto"/>
              </w:rPr>
              <w:t>Effect of dilutive securities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r>
      <w:tr>
        <w:trPr>
          <w:trHeight w:val="247"/>
        </w:trPr>
        <w:tc>
          <w:tcPr>
            <w:tcW w:w="5060" w:type="dxa"/>
            <w:vAlign w:val="bottom"/>
          </w:tcPr>
          <w:p>
            <w:pPr>
              <w:ind w:left="660"/>
              <w:spacing w:after="0"/>
              <w:rPr>
                <w:sz w:val="20"/>
                <w:szCs w:val="20"/>
                <w:color w:val="auto"/>
              </w:rPr>
            </w:pPr>
            <w:r>
              <w:rPr>
                <w:rFonts w:ascii="Arial" w:cs="Arial" w:eastAsia="Arial" w:hAnsi="Arial"/>
                <w:sz w:val="16"/>
                <w:szCs w:val="16"/>
                <w:color w:val="auto"/>
              </w:rPr>
              <w:t>Net income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3"/>
        </w:trPr>
        <w:tc>
          <w:tcPr>
            <w:tcW w:w="5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excluded 16.8 million and 25.4 million potential common shares from the computation of dilutive net income (loss) per share for the three months ended June 30, 2019 and 2020, respectively, and 16.8 million and 25.4 million potential shares for the six months ended June 30, 2019 and 2020, respectively, because the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at December 31, 2019 and June 30, 2020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1,187.4</w:t>
            </w:r>
          </w:p>
        </w:tc>
      </w:tr>
      <w:tr>
        <w:trPr>
          <w:trHeight w:val="223"/>
        </w:trPr>
        <w:tc>
          <w:tcPr>
            <w:tcW w:w="816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464.1</w:t>
            </w: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56"/>
        </w:trPr>
        <w:tc>
          <w:tcPr>
            <w:tcW w:w="8160" w:type="dxa"/>
            <w:vAlign w:val="bottom"/>
          </w:tcPr>
          <w:p>
            <w:pPr>
              <w:ind w:left="20"/>
              <w:spacing w:after="0"/>
              <w:rPr>
                <w:sz w:val="20"/>
                <w:szCs w:val="20"/>
                <w:color w:val="auto"/>
              </w:rPr>
            </w:pPr>
            <w:r>
              <w:rPr>
                <w:rFonts w:ascii="Arial" w:cs="Arial" w:eastAsia="Arial" w:hAnsi="Arial"/>
                <w:sz w:val="16"/>
                <w:szCs w:val="16"/>
                <w:color w:val="auto"/>
              </w:rPr>
              <w:t xml:space="preserve">Buildings and leasehold improvements </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508.9</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7"/>
        </w:trPr>
        <w:tc>
          <w:tcPr>
            <w:tcW w:w="8160" w:type="dxa"/>
            <w:vAlign w:val="bottom"/>
          </w:tcPr>
          <w:p>
            <w:pPr>
              <w:ind w:left="12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2,219.7</w:t>
            </w: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(1,323.4)</w:t>
            </w:r>
          </w:p>
        </w:tc>
      </w:tr>
      <w:tr>
        <w:trPr>
          <w:trHeight w:val="223"/>
        </w:trPr>
        <w:tc>
          <w:tcPr>
            <w:tcW w:w="8160" w:type="dxa"/>
            <w:vAlign w:val="bottom"/>
          </w:tcPr>
          <w:p>
            <w:pPr>
              <w:ind w:left="1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500" w:right="160" w:hanging="492"/>
        <w:spacing w:after="0" w:line="275"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and six months ended June 30, 2020, we recorded $220.3 million to buildings and leasehold improvements related to lease modifications in June 2020 which resulted in a change of classification from operating leases to finance leases.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changes in the carrying amounts of goodwill by reportable segment during the six months ended June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December 31, 2019</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Measurement period adjustments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Apps &amp; Cross</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Platform</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Total Consolidated</w:t>
            </w:r>
          </w:p>
        </w:tc>
      </w:tr>
      <w:tr>
        <w:trPr>
          <w:trHeight w:val="3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2,371.6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2,745.8</w:t>
            </w:r>
          </w:p>
        </w:tc>
      </w:tr>
      <w:tr>
        <w:trPr>
          <w:trHeight w:val="257"/>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6"/>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2,733.1</w:t>
            </w:r>
          </w:p>
        </w:tc>
      </w:tr>
      <w:tr>
        <w:trPr>
          <w:trHeight w:val="3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-702310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-367665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-16510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125" w:right="3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Gross goodwill</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2,655.5</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3,028.1</w:t>
            </w:r>
          </w:p>
        </w:tc>
      </w:tr>
      <w:tr>
        <w:trPr>
          <w:trHeight w:val="33"/>
        </w:trPr>
        <w:tc>
          <w:tcPr>
            <w:tcW w:w="5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r>
      <w:tr>
        <w:trPr>
          <w:trHeight w:val="247"/>
        </w:trPr>
        <w:tc>
          <w:tcPr>
            <w:tcW w:w="5020" w:type="dxa"/>
            <w:vAlign w:val="bottom"/>
          </w:tcPr>
          <w:p>
            <w:pPr>
              <w:ind w:left="20"/>
              <w:spacing w:after="0"/>
              <w:rPr>
                <w:sz w:val="20"/>
                <w:szCs w:val="20"/>
                <w:color w:val="auto"/>
              </w:rPr>
            </w:pPr>
            <w:r>
              <w:rPr>
                <w:rFonts w:ascii="Arial" w:cs="Arial" w:eastAsia="Arial" w:hAnsi="Arial"/>
                <w:sz w:val="16"/>
                <w:szCs w:val="16"/>
                <w:color w:val="auto"/>
              </w:rPr>
              <w:t>Goodwill, net as of June 30, 2020</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2,360.5</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2,733.1</w:t>
            </w:r>
          </w:p>
        </w:tc>
      </w:tr>
      <w:tr>
        <w:trPr>
          <w:trHeight w:val="23"/>
        </w:trPr>
        <w:tc>
          <w:tcPr>
            <w:tcW w:w="50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information regarding our intangible assets other than goodwill: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Gross carrying</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Net carrying</w:t>
            </w:r>
          </w:p>
        </w:tc>
      </w:tr>
      <w:tr>
        <w:trPr>
          <w:trHeight w:val="237"/>
        </w:trPr>
        <w:tc>
          <w:tcPr>
            <w:tcW w:w="6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amortization</w:t>
            </w:r>
          </w:p>
        </w:tc>
        <w:tc>
          <w:tcPr>
            <w:tcW w:w="20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1,523.8</w:t>
            </w:r>
          </w:p>
        </w:tc>
      </w:tr>
      <w:tr>
        <w:trPr>
          <w:trHeight w:val="223"/>
        </w:trPr>
        <w:tc>
          <w:tcPr>
            <w:tcW w:w="6600" w:type="dxa"/>
            <w:vAlign w:val="bottom"/>
          </w:tcPr>
          <w:p>
            <w:pPr>
              <w:ind w:left="20"/>
              <w:spacing w:after="0"/>
              <w:rPr>
                <w:sz w:val="20"/>
                <w:szCs w:val="20"/>
                <w:color w:val="auto"/>
              </w:rPr>
            </w:pPr>
            <w:r>
              <w:rPr>
                <w:rFonts w:ascii="Arial" w:cs="Arial" w:eastAsia="Arial" w:hAnsi="Arial"/>
                <w:sz w:val="16"/>
                <w:szCs w:val="16"/>
                <w:color w:val="auto"/>
              </w:rPr>
              <w:t>Property tax abatement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6600" w:type="dxa"/>
            <w:vAlign w:val="bottom"/>
          </w:tcPr>
          <w:p>
            <w:pPr>
              <w:ind w:left="120"/>
              <w:spacing w:after="0"/>
              <w:rPr>
                <w:sz w:val="20"/>
                <w:szCs w:val="20"/>
                <w:color w:val="auto"/>
              </w:rPr>
            </w:pPr>
            <w:r>
              <w:rPr>
                <w:rFonts w:ascii="Arial" w:cs="Arial" w:eastAsia="Arial" w:hAnsi="Arial"/>
                <w:sz w:val="16"/>
                <w:szCs w:val="16"/>
                <w:color w:val="auto"/>
              </w:rPr>
              <w:t>Total definite-lived intangible assets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1,567.4</w:t>
            </w:r>
          </w:p>
        </w:tc>
      </w:tr>
      <w:tr>
        <w:trPr>
          <w:trHeight w:val="3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name (indefinite-lived)</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47"/>
        </w:trPr>
        <w:tc>
          <w:tcPr>
            <w:tcW w:w="6600" w:type="dxa"/>
            <w:vAlign w:val="bottom"/>
          </w:tcPr>
          <w:p>
            <w:pPr>
              <w:ind w:left="220"/>
              <w:spacing w:after="0"/>
              <w:rPr>
                <w:sz w:val="20"/>
                <w:szCs w:val="20"/>
                <w:color w:val="auto"/>
              </w:rPr>
            </w:pPr>
            <w:r>
              <w:rPr>
                <w:rFonts w:ascii="Arial" w:cs="Arial" w:eastAsia="Arial" w:hAnsi="Arial"/>
                <w:sz w:val="16"/>
                <w:szCs w:val="16"/>
                <w:color w:val="auto"/>
              </w:rPr>
              <w:t>Total intangible assets other than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2,293.5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1,817.4</w:t>
            </w:r>
          </w:p>
        </w:tc>
      </w:tr>
      <w:tr>
        <w:trPr>
          <w:trHeight w:val="24"/>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carrying</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Net carrying</w:t>
            </w:r>
          </w:p>
        </w:tc>
      </w:tr>
      <w:tr>
        <w:trPr>
          <w:trHeight w:val="237"/>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amortization</w:t>
            </w:r>
          </w:p>
        </w:tc>
        <w:tc>
          <w:tcPr>
            <w:tcW w:w="200" w:type="dxa"/>
            <w:vAlign w:val="bottom"/>
          </w:tcPr>
          <w:p>
            <w:pPr>
              <w:spacing w:after="0"/>
              <w:rPr>
                <w:sz w:val="20"/>
                <w:szCs w:val="20"/>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1,439.4</w:t>
            </w: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Property tax abatement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7"/>
        </w:trPr>
        <w:tc>
          <w:tcPr>
            <w:tcW w:w="6640" w:type="dxa"/>
            <w:vAlign w:val="bottom"/>
          </w:tcPr>
          <w:p>
            <w:pPr>
              <w:ind w:left="120"/>
              <w:spacing w:after="0"/>
              <w:rPr>
                <w:sz w:val="20"/>
                <w:szCs w:val="20"/>
                <w:color w:val="auto"/>
              </w:rPr>
            </w:pPr>
            <w:r>
              <w:rPr>
                <w:rFonts w:ascii="Arial" w:cs="Arial" w:eastAsia="Arial" w:hAnsi="Arial"/>
                <w:sz w:val="16"/>
                <w:szCs w:val="16"/>
                <w:color w:val="auto"/>
              </w:rPr>
              <w:t>Total definite-lived intangible assets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2,039.3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1,476.2</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name (indefinite-lived)</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47"/>
        </w:trPr>
        <w:tc>
          <w:tcPr>
            <w:tcW w:w="6640" w:type="dxa"/>
            <w:vAlign w:val="bottom"/>
          </w:tcPr>
          <w:p>
            <w:pPr>
              <w:ind w:left="220"/>
              <w:spacing w:after="0"/>
              <w:rPr>
                <w:sz w:val="20"/>
                <w:szCs w:val="20"/>
                <w:color w:val="auto"/>
              </w:rPr>
            </w:pPr>
            <w:r>
              <w:rPr>
                <w:rFonts w:ascii="Arial" w:cs="Arial" w:eastAsia="Arial" w:hAnsi="Arial"/>
                <w:sz w:val="16"/>
                <w:szCs w:val="16"/>
                <w:color w:val="auto"/>
              </w:rPr>
              <w:t>Total intangible assets other than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1,726.2</w:t>
            </w:r>
          </w:p>
        </w:tc>
      </w:tr>
      <w:tr>
        <w:trPr>
          <w:trHeight w:val="24"/>
        </w:trPr>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June 2019, CrowdStrike Holdings, Inc. ("CrowdStrike"), an entity in which Rackspace US, Inc. held an equity investment, completed an initial public offering and became a publicly-traded company. Prior to the date of CrowdStrike's initial public offering, our investment in CrowdStrike had a carrying value of $10.0 million and was accounted for as an equity investment without a readily determinable fair value. With the availability of observable price changes following the completion of CrowdStrike's initial public offering, our investment in CrowdStrike was measured at fair value on a prospective basis using the end of period quoted stock price, which is classified as a Level 1 input within the fair value hierarchy. In December 2019, Rackspace US, Inc. sold the investment in CrowdStrike for $106.9 million in cash proceeds.</w:t>
      </w:r>
    </w:p>
    <w:p>
      <w:pPr>
        <w:spacing w:after="0" w:line="20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hold other equity investments that do not have readily determinable fair values. The aggregate carrying value of these other equity investments is immaterial.</w:t>
      </w:r>
    </w:p>
    <w:p>
      <w:pPr>
        <w:spacing w:after="0" w:line="19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For the three and six months ended June 30, 2019, we recognized a net gain on investment activity of $143.3 million and $143.4 million, respectively, which was primarily comprised of a $140.8 million unrealized gain related to the increase in the fair value of the CrowdStrike investment and a $2.6 million realized gain recognized upon the receipt of proceeds related to the 2017 sale of an equity investment. For the three and six months ended June 30, 2020, we recognized a net gain on investment activity of $1.0 million and $0.9 million, respectively, which was primarily comprised of a $0.9 million realized gain upon the receipt of proceeds related to the 2017 sale of an equity investment.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December 31, 2019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Term Loan Facility</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8.625% Senior Notes due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2,824.6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3"/>
          </w:tcPr>
          <w:p>
            <w:pPr>
              <w:ind w:left="160"/>
              <w:spacing w:after="0"/>
              <w:rPr>
                <w:sz w:val="20"/>
                <w:szCs w:val="20"/>
                <w:color w:val="auto"/>
              </w:rPr>
            </w:pPr>
            <w:r>
              <w:rPr>
                <w:rFonts w:ascii="Arial" w:cs="Arial" w:eastAsia="Arial" w:hAnsi="Arial"/>
                <w:sz w:val="16"/>
                <w:szCs w:val="16"/>
                <w:color w:val="auto"/>
                <w:w w:val="95"/>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99"/>
              <w:spacing w:after="0"/>
              <w:rPr>
                <w:sz w:val="20"/>
                <w:szCs w:val="20"/>
                <w:color w:val="auto"/>
              </w:rPr>
            </w:pPr>
            <w:r>
              <w:rPr>
                <w:rFonts w:ascii="Arial" w:cs="Arial" w:eastAsia="Arial" w:hAnsi="Arial"/>
                <w:sz w:val="16"/>
                <w:szCs w:val="16"/>
                <w:color w:val="auto"/>
                <w:w w:val="95"/>
              </w:rPr>
              <w:t>(18.0)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7"/>
        </w:trPr>
        <w:tc>
          <w:tcPr>
            <w:tcW w:w="508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89"/>
              </w:rPr>
              <w:t>2,771.1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3,873.3</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current portion of debt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w w:val="95"/>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7"/>
        </w:trPr>
        <w:tc>
          <w:tcPr>
            <w:tcW w:w="5080" w:type="dxa"/>
            <w:vAlign w:val="bottom"/>
          </w:tcPr>
          <w:p>
            <w:pPr>
              <w:ind w:left="120"/>
              <w:spacing w:after="0"/>
              <w:rPr>
                <w:sz w:val="20"/>
                <w:szCs w:val="20"/>
                <w:color w:val="auto"/>
              </w:rPr>
            </w:pPr>
            <w:r>
              <w:rPr>
                <w:rFonts w:ascii="Arial" w:cs="Arial" w:eastAsia="Arial" w:hAnsi="Arial"/>
                <w:sz w:val="16"/>
                <w:szCs w:val="16"/>
                <w:color w:val="auto"/>
              </w:rPr>
              <w:t>Debt, excluding current portion</w:t>
            </w:r>
          </w:p>
        </w:tc>
        <w:tc>
          <w:tcPr>
            <w:tcW w:w="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2,742.1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3,844.3</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3"/>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Accounts Receivable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8.625% Senior</w:t>
            </w:r>
          </w:p>
        </w:tc>
        <w:tc>
          <w:tcPr>
            <w:tcW w:w="108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w w:val="89"/>
              </w:rPr>
              <w:t>Financing</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Term Loan Facility</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14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Notes due 2024</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2,810.1</w:t>
            </w:r>
          </w:p>
        </w:tc>
        <w:tc>
          <w:tcPr>
            <w:tcW w:w="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65.0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3,995.3</w:t>
            </w:r>
          </w:p>
        </w:tc>
        <w:tc>
          <w:tcPr>
            <w:tcW w:w="0" w:type="dxa"/>
            <w:vAlign w:val="bottom"/>
          </w:tcPr>
          <w:p>
            <w:pPr>
              <w:spacing w:after="0"/>
              <w:rPr>
                <w:sz w:val="1"/>
                <w:szCs w:val="1"/>
                <w:color w:val="auto"/>
              </w:rPr>
            </w:pP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508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2,763.1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65.0</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3,932.2</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current portion of debt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7"/>
        </w:trPr>
        <w:tc>
          <w:tcPr>
            <w:tcW w:w="5080" w:type="dxa"/>
            <w:vAlign w:val="bottom"/>
          </w:tcPr>
          <w:p>
            <w:pPr>
              <w:ind w:left="120"/>
              <w:spacing w:after="0"/>
              <w:rPr>
                <w:sz w:val="20"/>
                <w:szCs w:val="20"/>
                <w:color w:val="auto"/>
              </w:rPr>
            </w:pPr>
            <w:r>
              <w:rPr>
                <w:rFonts w:ascii="Arial" w:cs="Arial" w:eastAsia="Arial" w:hAnsi="Arial"/>
                <w:sz w:val="16"/>
                <w:szCs w:val="16"/>
                <w:color w:val="auto"/>
              </w:rPr>
              <w:t>Debt, excluding current portion</w:t>
            </w: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2,734.1</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65.0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3,903.2</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First Lien Credit Agreement includes a first lien term loan facility ("Term Loan Facility") and the Revolving Credit Facility (together, the "Senior Facilities").</w:t>
      </w:r>
    </w:p>
    <w:p>
      <w:pPr>
        <w:spacing w:after="0" w:line="19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June 30, 2020, the Revolving Credit Facility had total commitments of $225.0 million and matures on November 3, 2021. Over the course of the six months ended June 30, 2020, Rackspace Technology Global borrowed and repaid an aggregate $245.0 million. As of June 30, 2020, we had no outstanding borrowings under the Revolving Credit Facility.</w:t>
      </w:r>
    </w:p>
    <w:p>
      <w:pPr>
        <w:spacing w:after="0" w:line="21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The Term Loan Facility matures on November 3, 2023 and, as of June 30, 2020, the interest rate on the Term Loan Facility was 4.00%. Rackspace Technology Global makes quarterly principal payments of $7.2 million. See Note 11, "Derivatives" for information on interest rate swap agreements we utilize to manage the interest rate risk on the Term Loan Facility.</w:t>
      </w:r>
    </w:p>
    <w:p>
      <w:pPr>
        <w:spacing w:after="0" w:line="211"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fair value of the Term Loan Facility as of June 30, 2020 was $2,711.7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Rackspace Technology Global was in compliance with all covenants under the Senior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2024</w:t>
      </w:r>
    </w:p>
    <w:p>
      <w:pPr>
        <w:spacing w:after="0" w:line="252"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8.625% Senior Notes mature on November 15, 2024 and, as of June 30, 2020, Rackspace Technology Global was in compliance with all covenants under the indenture governing the 8.625% Senior Notes (the "Indenture").</w:t>
      </w:r>
    </w:p>
    <w:p>
      <w:pPr>
        <w:spacing w:after="0" w:line="19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During the three and six months ended June 30, 2019, Rackspace Technology Global repurchased and surrendered for cancellation $45.6 million and $73.9 million, respectively, of principal amount of 8.625% Senior Notes for $40.0 million and $63.7 million, respectively, including accrued interest of $0.2 million and $0.7 million, respectively. In connection with these repurchases, we recorded a gain on debt extinguishment of $5.0 million and $9.5 million in our Consolidated Statements of Comprehensive Income (Loss) for the three and six months ended June 30,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fair value of the 8.625% Senior Notes as of June 30, 2020 was $1,125.8 million, based on quoted market prices for identical assets that are traded in over-the-counter secondary markets that are not considered active. The fair value of the 8.625% Senior Notes is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On March 19, 2020, a wholly owned subsidiary of the company entered into an accounts receivable financing agreement (the "Receivables Financing Facility"). Pursuant to the agreements evidencing the Receivables Financing Facility, Rackspace Receivables, LLC, a bankruptcy-remote special purpose vehicle ("SPV") wholly owned by Rackspace Technology Global, has granted a security interest in all of its current and future receivables and related assets in exchange for a credit facility permitting borrowings of up to a maximum aggregate amount of $100.0 million from time to time. Such borrowings are used by the SPV to finance purchases of accounts receivable. We recorded $1.0 million of fees and expenses related to the Receivables Financing Facility as debt issuance costs, which are included in "Other non-current assets" in the Consolidated Balance Sheets.</w:t>
      </w:r>
    </w:p>
    <w:p>
      <w:pPr>
        <w:spacing w:after="0" w:line="19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amount of advances available are determined based on advance rates relating to the eligibility of the receivables held by the SPV at that time. Advances bear interest based on LIBOR plus a margin. The last date on which advances may be made is March 21, 2022, unless the maturity of the Receivables Financing Facility is otherwise accelerated. In addition to other customary fees associated with financings of this type, the SPV is required to pay a monthly commitment fee based on the unused amount of the facility.</w:t>
      </w:r>
    </w:p>
    <w:p>
      <w:pPr>
        <w:spacing w:after="0" w:line="21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As of June 30, 2020, our total borrowing capacity under the Receivables Financing Facility was $92.7 million and $65.0 million was borrowed and outstanding. The interest rate on the Receivables Financing Facility was 3.01% as of June 30, 2020.</w:t>
      </w:r>
    </w:p>
    <w:p>
      <w:pPr>
        <w:spacing w:after="0" w:line="197" w:lineRule="exact"/>
        <w:rPr>
          <w:sz w:val="20"/>
          <w:szCs w:val="20"/>
          <w:color w:val="auto"/>
        </w:rPr>
      </w:pPr>
    </w:p>
    <w:p>
      <w:pPr>
        <w:ind w:right="540" w:firstLine="486"/>
        <w:spacing w:after="0" w:line="342" w:lineRule="auto"/>
        <w:rPr>
          <w:sz w:val="20"/>
          <w:szCs w:val="20"/>
          <w:color w:val="auto"/>
        </w:rPr>
      </w:pPr>
      <w:r>
        <w:rPr>
          <w:rFonts w:ascii="Arial" w:cs="Arial" w:eastAsia="Arial" w:hAnsi="Arial"/>
          <w:sz w:val="16"/>
          <w:szCs w:val="16"/>
          <w:color w:val="auto"/>
        </w:rPr>
        <w:t>The agreements evidencing the Receivables Financing Facility contain customary representations and warranties, affirmative and negative covenants, and events of default. As of June 30, 2020, the company was in compliance with all covenants under the Receivables Financing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2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cannot predict the impact, if any, that any current matter will have on our business, results of operations, financial position, or cash flows. Because of the inherent uncertainties of these matters, including the early stage and lack of specific damage claims in many of them, we cannot estimate a range of possible losses from them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 and Settlement of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2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During the three and six months ended June 30, 2019, we repurchased $1.9 million, or 0.1 million shares, of our common stock. These shares were subsequently retired.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Share-Based Awards</w:t>
      </w:r>
    </w:p>
    <w:p>
      <w:pPr>
        <w:spacing w:after="0" w:line="252"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As a result of the Rackspace Acquisition, Rackspace Technology Global had obligations related to the settlement of restricted stock units that were outstanding at the Closing Date. These obligations required installment payments that began in November 2016 and ended in the first quarter of 2019. We made cash payments of $19.2 million during the six months ended June 30, 2019 and recognized compensation expense of $2.7 million within "Selling, general and administrative expenses" in the Consolidated Statements of Comprehensive Income (Loss) for the six months ended June 30, 2019.</w:t>
      </w:r>
    </w:p>
    <w:p>
      <w:pPr>
        <w:spacing w:after="0" w:line="18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addition, in connection with an employee's departure, we settled options and restricted stock for a one-time cash payment of $1.5 million during the three and six months ended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During the six months ended June 30, 2020, we granted 8.2 million stock options under the Rackspace Technology, Inc. Equity Incentive Plan (the "Incentive Plan") with a weighted-average grant date fair value of $8.36. The majority of the options were granted as part of our annual compensation award process and vest ratably over a three-year period, subject to continued service. Also included in the 8.2 million stock options granted were 1.7 million stock options granted to certain executives that vest in part subject to continued service ratably over a five-year period and in part based upon the attainment of performance and market conditions.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Share-based compensation expense recognized under the Incentive Plan for the three and six months ended June 30, 2019 and 2020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4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1"/>
                <w:szCs w:val="2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tcPr>
          <w:p>
            <w:pPr>
              <w:spacing w:after="0"/>
              <w:rPr>
                <w:sz w:val="19"/>
                <w:szCs w:val="19"/>
                <w:color w:val="auto"/>
              </w:rPr>
            </w:pPr>
          </w:p>
        </w:tc>
        <w:tc>
          <w:tcPr>
            <w:tcW w:w="460" w:type="dxa"/>
            <w:vAlign w:val="bottom"/>
          </w:tcPr>
          <w:p>
            <w:pPr>
              <w:jc w:val="center"/>
              <w:ind w:left="19"/>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Pre-tax share-based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23"/>
        </w:trPr>
        <w:tc>
          <w:tcPr>
            <w:tcW w:w="5080" w:type="dxa"/>
            <w:vAlign w:val="bottom"/>
          </w:tcPr>
          <w:p>
            <w:pPr>
              <w:ind w:left="120"/>
              <w:spacing w:after="0"/>
              <w:rPr>
                <w:sz w:val="20"/>
                <w:szCs w:val="20"/>
                <w:color w:val="auto"/>
              </w:rPr>
            </w:pPr>
            <w:r>
              <w:rPr>
                <w:rFonts w:ascii="Arial" w:cs="Arial" w:eastAsia="Arial" w:hAnsi="Arial"/>
                <w:sz w:val="16"/>
                <w:szCs w:val="16"/>
                <w:color w:val="auto"/>
              </w:rPr>
              <w:t>Less: Income tax benefit</w:t>
            </w:r>
          </w:p>
        </w:tc>
        <w:tc>
          <w:tcPr>
            <w:tcW w:w="9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1"/>
              </w:rPr>
              <w:t>(1.4)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7"/>
              </w:rPr>
              <w:t>(1.9)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72"/>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98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As of June 30, 2020, there was $81.5 million and $4.6 million of total unrecognized compensation cost related to stock options and restricted stock, respectively, which will be recognized using the straight-line method over a weighted average period of 2.8 and 2.1 years, respectively. This does not include $54.7 million and $1.2 million fair value related to unvested options and restricted stock, respectively, that will vest based on performance, market, and service conditions all tied to a change in control. In accordance with accounting guidance for share-based compensation, the associated expense will not be recorded until a change in control event is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and six months ended June 30, 2020, our effective tax rate has been impacted by the application of the global intangible low-taxed income (“GILTI”) provisions that were implemented with the Tax Cuts and Jobs Act (the “Act”) that was passed on December 22, 2017. The Act also introduced a new Base Erosion Anti-Abuse Tax (the “BEAT”) that targeted payments made to related foreign parties. The BEAT is not expected to apply to Rackspace Technology, Inc. in 2020.</w:t>
      </w:r>
    </w:p>
    <w:p>
      <w:pPr>
        <w:spacing w:after="0" w:line="21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On July 27, 2015, the U.S. Tax Court ("Tax Court") issued an opinion in Altera Corp. ("Altera") v. Commissioner ("Tax Court Opinion"), which concluded that related parties in a cost sharing arrangement are not required to share expenses related to share-based compensation. The Tax Court Opinion was appealed by the Commissioner to the Ninth Circuit Court of Appeals ("Ninth Circuit"). On June 7, 2019, a three-judge panel from the Ninth Circuit issued an opinion that reversed the Tax Court Opinion. On July 22, 2019, the taxpayer requested a rehearing before the full Ninth Circuit, which the Ninth Circuit subsequently denied. On February 10, 2020, Altera submitted a petition for writ of certiorari to the U.S. Supreme Court. On June 22, 2020, the U.S. Supreme Court denied Altera’s petition for writ of certiorari and will not review the Ninth Circuit’s June 7, 2019 decision that upheld the inclusion of share-based compensation in a cost sharing arrangement. Given the U.S. Supreme Court’s denial of the petition for writ of certiorari, we believe it is appropriate to record the financial statement impact of including share-based compensation in historical cost sharing payments discretely in the three and six month periods ending June 30, 2020 for years prior to 2020. The aggregate income tax impact related to the Altera decision is less than $1.0 million. If, at a future date, Altera secured a favorable ruling from the U.S. Supreme Court, we would re-evaluate the decision to record an income tax benefit at that time.</w:t>
      </w:r>
    </w:p>
    <w:p>
      <w:pPr>
        <w:spacing w:after="0" w:line="20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in response to the COVID-19 pandemic. The CARES Act contains modifications on the limitation of business interest for tax years beginning in 2019 and 2020. The modifications to Section 163(j) of the Internal Revenue Code increase the allowable business interest deduction from 30% of adjusted taxable income to 50% of adjusted taxable income. This modification significantly increases our allowable interest expense deduction resulting in less utilization of prior year net operating losses in that year. The change in the interest expense limitation pursuant to the CARES Act did not have an impact on the three or six months ended June 30, 2020 as it is not expected to impact our net deferred tax liability for 2020. As a result of the CARES Act, it is anticipated that we will fully deduct interest expense incurred in 2020 and may be able to deduct previously disallowed interest expense carrying forward from 2018.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w:t>
      </w: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utilize derivative instruments, including interest rate swap agreements and foreign currency hedging contracts, to manage our exposure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and foreign currency fluctuations. We only hold such instruments for economic hedging purposes, not for speculative or trading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instruments are transacted only with highly-rated institutions, which reduces our exposure to credit risk in the event of nonperformance.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the floating-rate Term Loan Facility. The swap agreements became effective on February 3, 2017 with an aggregate notional amount of $1.5 billion. Two swap agreements matured in 2018, one agreement matured during the six months ended June 30, 2019, and one agreement matured during the six months ended June 30, 2020. The remaining three swap agreements in effect as of June 30,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2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June 30, 2020, two swap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As of December 31, 2019, none of our interest rate swap agreements were designated as cash flow hedges of interest rate risk for accounting purposes, therefore, all changes in the fair value of the interest rate swap agreements were recorded to "Interest expense" in the Consolidated Statements of Comprehensive Income (Loss). On January 9, 2020, we designated certain of our swaps as cash flow hedges. On the designation date, the cash flow hedges were in a $39.9 million liability position ("off-market swap value"). The cash flow hedges were expected to be highly effective on the designation date and, on a quarterly basis, we perform retrospective and prospective assessments to determine whether the cash flow hedges continue to be highly effective, which we have deemed to be a dollar-offset ratio between 80% to 125%. As long as the cash flow hedges are highly effective, changes in fair value are recorded to "Accumulated other comprehensive income (loss)" in the Consolidated Balance Sheets and reclassified to "Interest expense" in the period when the underlying transaction affects earnings. The off-market swap value will be amortized as a reduction to "Interest expense" on a straight-line basis over the remaining term of each cash flow hedge.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June 30, 2020, all of our cash flow hedges were highly effective.</w:t>
      </w:r>
    </w:p>
    <w:p>
      <w:pPr>
        <w:spacing w:after="0" w:line="206"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Our interest rate swap agreements are recognized at fair value in the Consolidated Balance Sheets and are valued using pricing models that rely on market observable inputs such as yield curve data,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5"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214"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In March 2020, we entered into three foreign currency forward contracts to manage our exposure to movements in the British pound sterling, Euro, and Mexican peso. All three contracts settled on June 30, 2020, and we made a final net payment of $1.7 million resulting from the following:</w:t>
      </w:r>
    </w:p>
    <w:p>
      <w:pPr>
        <w:spacing w:after="0" w:line="173"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£32 million at a rate of 1.1902 British pound to U.S. dollar and received $38.1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€6 million at a rate of 1.0921 Euro to U.S. dollar and received $6.6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$2.1 million at a rate of 24.2040 U.S. dollar to Mexican peso and received Mex$50 million.</w:t>
      </w:r>
    </w:p>
    <w:p>
      <w:pPr>
        <w:spacing w:after="0" w:line="238"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In June 2020, we entered into three foreign currency forward contracts to manage our exposure to movements in the British pound sterling, Euro, and Mexican peso. All three contracts have a maturity date of September 30, 2020. On the maturity date, the following will occur:</w:t>
      </w:r>
    </w:p>
    <w:p>
      <w:pPr>
        <w:spacing w:after="0" w:line="173" w:lineRule="exact"/>
        <w:rPr>
          <w:sz w:val="20"/>
          <w:szCs w:val="20"/>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sell £32 million at a rate of 1.24095 British pound to U.S. dollar and receive $39.7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sell €6 million at a rate of 1.1241 Euro to U.S. dollar and receive $6.7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sell $2.2 million at a rate of 23.0330 U.S. dollar to Mexican peso and receive Mex$50 million.</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2019 and June 30, 2020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2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r>
      <w:tr>
        <w:trPr>
          <w:trHeight w:val="202"/>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w:t>
            </w:r>
          </w:p>
        </w:tc>
        <w:tc>
          <w:tcPr>
            <w:tcW w:w="25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560" w:type="dxa"/>
            <w:vAlign w:val="bottom"/>
          </w:tcPr>
          <w:p>
            <w:pPr>
              <w:ind w:left="14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10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50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5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0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25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2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25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3"/>
              </w:rPr>
              <w:t>Derivatives designated as hedging</w:t>
            </w:r>
          </w:p>
        </w:tc>
        <w:tc>
          <w:tcPr>
            <w:tcW w:w="2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Location</w:t>
            </w:r>
          </w:p>
        </w:tc>
        <w:tc>
          <w:tcPr>
            <w:tcW w:w="10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2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247"/>
        </w:trPr>
        <w:tc>
          <w:tcPr>
            <w:tcW w:w="2500" w:type="dxa"/>
            <w:vAlign w:val="bottom"/>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w:t>
            </w:r>
          </w:p>
        </w:tc>
      </w:tr>
      <w:tr>
        <w:trPr>
          <w:trHeight w:val="23"/>
        </w:trPr>
        <w:tc>
          <w:tcPr>
            <w:tcW w:w="2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December 31, 2019</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Effect of</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Effect of</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Amounts on</w:t>
            </w: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Counter-Party</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Amounts on</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Counter-Party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Netting</w:t>
            </w: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Amounts</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Balance Sheet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Netting</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400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
        </w:trPr>
        <w:tc>
          <w:tcPr>
            <w:tcW w:w="4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7"/>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Income (Loss)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 of our derivatives and their location on the Consolidated Statements of Comprehensive Income (Loss)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2020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0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2"/>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w w:val="89"/>
              </w:rPr>
              <w:t>Derivatives not designated as hedging</w:t>
            </w: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7"/>
              </w:rPr>
              <w:t>(3.2)</w:t>
            </w:r>
          </w:p>
        </w:tc>
      </w:tr>
      <w:tr>
        <w:trPr>
          <w:trHeight w:val="224"/>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4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679"/>
              <w:spacing w:after="0"/>
              <w:rPr>
                <w:sz w:val="20"/>
                <w:szCs w:val="20"/>
                <w:color w:val="auto"/>
              </w:rPr>
            </w:pPr>
            <w:r>
              <w:rPr>
                <w:rFonts w:ascii="Arial" w:cs="Arial" w:eastAsia="Arial" w:hAnsi="Arial"/>
                <w:sz w:val="16"/>
                <w:szCs w:val="16"/>
                <w:color w:val="auto"/>
                <w:w w:val="89"/>
              </w:rPr>
              <w:t>3.6</w:t>
            </w:r>
          </w:p>
        </w:tc>
      </w:tr>
      <w:tr>
        <w:trPr>
          <w:trHeight w:val="33"/>
        </w:trPr>
        <w:tc>
          <w:tcPr>
            <w:tcW w:w="2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94"/>
        </w:trPr>
        <w:tc>
          <w:tcPr>
            <w:tcW w:w="266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w w:val="99"/>
              </w:rPr>
              <w:t>Derivatives designated as hedging</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97"/>
              </w:rPr>
              <w:t>(1.7)</w:t>
            </w:r>
          </w:p>
        </w:tc>
      </w:tr>
      <w:tr>
        <w:trPr>
          <w:trHeight w:val="33"/>
        </w:trPr>
        <w:tc>
          <w:tcPr>
            <w:tcW w:w="26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Interest expense was $100.8 million and $68.9 million for the three months ended June 30, 2019 and 2020, respectively, and $189.8 million and $140.9 million for the six months ended June 30, 2019 and 2020, respectively. As of June 30, 2020, the amount of cash flow hedge losses included within "Accumulated other comprehensive income (loss)" that is expected to be reclassified as an increase to "Interest expense" over the next 12 months is approximately $18.4 million. See Note 14, "Accumulated Other Comprehensive Income (Loss)," for information regarding changes in fair value of our derivatives designated as hedging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June 30, 2020, our interest rate swap agreements with an aggregate fair value of $99.3 million were in a net liability position. However, if we were in default, our master netting arrangements with certain of our interest rate swap counterparties contain provisions which would result in net settlement of all outstanding agreements with an aggregate fair value of $97.5 million in a net liability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Divestitures</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On February 1, 2017, we completed the sale of assets of our Mailgun business for total consideration of $40.2 million, which was comprised of an initial cash payment of $20.5 million, a promissory note with a fair value of $14.8 million, and an equity interest in the new entity, Mailgun Technologies, Inc. ("Mailgun Technologies") with a fair value of $4.9 million.</w:t>
      </w:r>
    </w:p>
    <w:p>
      <w:pPr>
        <w:spacing w:after="0" w:line="21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March 2019, we received $18.0 million in cash from Mailgun Technologies as repayment for the promissory note balance of $15.9 million, which included accrued interest of $1.2 million. As such, we recorded a gain of $2.1 million, which is reflected within "Gain on sale" in the Consolidated Statements of Comprehensive Income (Loss) for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Onica</w:t>
      </w:r>
    </w:p>
    <w:p>
      <w:pPr>
        <w:spacing w:after="0" w:line="252"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On November 15, 2019, Rackspace Technology acquired 100% of Onica, an Amazon Web Services ("AWS") Partner Network ("APN") Premier Consulting Partner and AWS Managed Service Provider providing cloud-native consulting and managed services, including strategic advisory, architecture and engineering and application development services. Total consideration to acquire Onica was $323.4 million, net of cash acquired of $7.5 million, for a net purchase price of $315.9 million. Total consideration includes the purchase price adjustment resulting from the difference between net working capital on the date of acquisition compared to the estimated net working capital used to determine the closing consideration (the "Purchase Price Adjustment").</w:t>
      </w:r>
    </w:p>
    <w:p>
      <w:pPr>
        <w:spacing w:after="0" w:line="188"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The Onica acquisition was accounted for using the acquisition method of accounting, in accordance with the accounting guidance for business combinations. Accordingly, the purchase price has been preliminarily allocated (pending the final valuation of certain tangible and intangible assets acquired and liabilities assumed, including deferred taxes) to the acquired assets and liabilities based upon their estimated fair values at the date of acquisition.</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preliminary allocation of the purchase price as of the November 15, 2019 closing date (as adjusted through June 30, 2020, as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November 15, 2019</w:t>
            </w:r>
          </w:p>
        </w:tc>
        <w:tc>
          <w:tcPr>
            <w:tcW w:w="0" w:type="dxa"/>
            <w:vAlign w:val="bottom"/>
          </w:tcPr>
          <w:p>
            <w:pPr>
              <w:spacing w:after="0"/>
              <w:rPr>
                <w:sz w:val="1"/>
                <w:szCs w:val="1"/>
                <w:color w:val="auto"/>
              </w:rPr>
            </w:pPr>
          </w:p>
        </w:tc>
      </w:tr>
      <w:tr>
        <w:trPr>
          <w:trHeight w:val="27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7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4"/>
        </w:trPr>
        <w:tc>
          <w:tcPr>
            <w:tcW w:w="97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Liabilities assumed, net of other assets acquired</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7"/>
        </w:trPr>
        <w:tc>
          <w:tcPr>
            <w:tcW w:w="976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During the three and six months ended June 30, 2020, we recorded a measurement period adjustment to the preliminary amounts recorded as of November 15, 2019. We recorded a measurement period adjustment of $0.2 million to Onica Acquisition Consideration associated with the Purchase Price Adjustment, for a total net decrease to goodwill of $0.2 million. The Purchase Price Adjustment is included in "Other investing activities" in the Consolidated Statements of Cash Flows. The adjustment to the preliminary allocation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As Previously</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Measurement</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Determined</w:t>
            </w: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Period Adjustments</w:t>
            </w:r>
          </w:p>
        </w:tc>
        <w:tc>
          <w:tcPr>
            <w:tcW w:w="30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Revised</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r>
      <w:tr>
        <w:trPr>
          <w:trHeight w:val="33"/>
        </w:trPr>
        <w:tc>
          <w:tcPr>
            <w:tcW w:w="6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Accumulated Foreign</w:t>
            </w: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 Translation</w:t>
            </w:r>
          </w:p>
        </w:tc>
        <w:tc>
          <w:tcPr>
            <w:tcW w:w="2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1"/>
              </w:rPr>
              <w:t>Accumulated Gains (Losses)</w:t>
            </w:r>
          </w:p>
        </w:tc>
        <w:tc>
          <w:tcPr>
            <w:tcW w:w="180" w:type="dxa"/>
            <w:vAlign w:val="bottom"/>
          </w:tcPr>
          <w:p>
            <w:pPr>
              <w:spacing w:after="0"/>
              <w:rPr>
                <w:sz w:val="17"/>
                <w:szCs w:val="17"/>
                <w:color w:val="auto"/>
              </w:rPr>
            </w:pPr>
          </w:p>
        </w:tc>
        <w:tc>
          <w:tcPr>
            <w:tcW w:w="1960" w:type="dxa"/>
            <w:vAlign w:val="bottom"/>
          </w:tcPr>
          <w:p>
            <w:pPr>
              <w:jc w:val="right"/>
              <w:ind w:right="299"/>
              <w:spacing w:after="0"/>
              <w:rPr>
                <w:sz w:val="20"/>
                <w:szCs w:val="20"/>
                <w:color w:val="auto"/>
              </w:rPr>
            </w:pPr>
            <w:r>
              <w:rPr>
                <w:rFonts w:ascii="Arial" w:cs="Arial" w:eastAsia="Arial" w:hAnsi="Arial"/>
                <w:sz w:val="16"/>
                <w:szCs w:val="16"/>
                <w:b w:val="1"/>
                <w:bCs w:val="1"/>
                <w:color w:val="auto"/>
              </w:rPr>
              <w:t>Accumulated Other</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on 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5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4"/>
              </w:rPr>
              <w:t>Foreign currency translation adjustments, net of tax benefit of $0.9</w:t>
            </w: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20" w:type="dxa"/>
            <w:vAlign w:val="bottom"/>
          </w:tcPr>
          <w:p>
            <w:pPr>
              <w:jc w:val="center"/>
              <w:ind w:left="219"/>
              <w:spacing w:after="0"/>
              <w:rPr>
                <w:sz w:val="20"/>
                <w:szCs w:val="20"/>
                <w:color w:val="auto"/>
              </w:rPr>
            </w:pPr>
            <w:r>
              <w:rPr>
                <w:rFonts w:ascii="Arial" w:cs="Arial" w:eastAsia="Arial" w:hAnsi="Arial"/>
                <w:sz w:val="16"/>
                <w:szCs w:val="16"/>
                <w:b w:val="1"/>
                <w:bCs w:val="1"/>
                <w:color w:val="auto"/>
                <w:w w:val="90"/>
              </w:rPr>
              <w:t>Accumulated Foreign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820" w:type="dxa"/>
            <w:vAlign w:val="bottom"/>
          </w:tcPr>
          <w:p>
            <w:pPr>
              <w:jc w:val="center"/>
              <w:ind w:left="199"/>
              <w:spacing w:after="0"/>
              <w:rPr>
                <w:sz w:val="20"/>
                <w:szCs w:val="20"/>
                <w:color w:val="auto"/>
              </w:rPr>
            </w:pPr>
            <w:r>
              <w:rPr>
                <w:rFonts w:ascii="Arial" w:cs="Arial" w:eastAsia="Arial" w:hAnsi="Arial"/>
                <w:sz w:val="16"/>
                <w:szCs w:val="16"/>
                <w:b w:val="1"/>
                <w:bCs w:val="1"/>
                <w:color w:val="auto"/>
                <w:w w:val="93"/>
              </w:rPr>
              <w:t>Currency Translation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1"/>
              </w:rPr>
              <w:t>Accumulated Gains (Losses)</w:t>
            </w:r>
          </w:p>
        </w:tc>
        <w:tc>
          <w:tcPr>
            <w:tcW w:w="180" w:type="dxa"/>
            <w:vAlign w:val="bottom"/>
          </w:tcPr>
          <w:p>
            <w:pPr>
              <w:spacing w:after="0"/>
              <w:rPr>
                <w:sz w:val="17"/>
                <w:szCs w:val="17"/>
                <w:color w:val="auto"/>
              </w:rPr>
            </w:pPr>
          </w:p>
        </w:tc>
        <w:tc>
          <w:tcPr>
            <w:tcW w:w="1960" w:type="dxa"/>
            <w:vAlign w:val="bottom"/>
          </w:tcPr>
          <w:p>
            <w:pPr>
              <w:jc w:val="right"/>
              <w:ind w:right="299"/>
              <w:spacing w:after="0"/>
              <w:rPr>
                <w:sz w:val="20"/>
                <w:szCs w:val="20"/>
                <w:color w:val="auto"/>
              </w:rPr>
            </w:pPr>
            <w:r>
              <w:rPr>
                <w:rFonts w:ascii="Arial" w:cs="Arial" w:eastAsia="Arial" w:hAnsi="Arial"/>
                <w:sz w:val="16"/>
                <w:szCs w:val="16"/>
                <w:b w:val="1"/>
                <w:bCs w:val="1"/>
                <w:color w:val="auto"/>
              </w:rPr>
              <w:t>Accumulated Other</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20" w:type="dxa"/>
            <w:vAlign w:val="bottom"/>
          </w:tcPr>
          <w:p>
            <w:pPr>
              <w:jc w:val="center"/>
              <w:ind w:left="21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on 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r>
      <w:tr>
        <w:trPr>
          <w:trHeight w:val="33"/>
        </w:trPr>
        <w:tc>
          <w:tcPr>
            <w:tcW w:w="4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4"/>
              </w:rPr>
              <w:t>Foreign currency translation adjustments, net of tax benefit of $0.2</w:t>
            </w:r>
          </w:p>
        </w:tc>
        <w:tc>
          <w:tcPr>
            <w:tcW w:w="1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820" w:type="dxa"/>
            <w:vAlign w:val="bottom"/>
            <w:shd w:val="clear" w:color="auto" w:fill="CCEEFF"/>
          </w:tcPr>
          <w:p>
            <w:pPr>
              <w:jc w:val="right"/>
              <w:ind w:right="16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Accumulated Foreign</w:t>
            </w: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 Translation</w:t>
            </w:r>
          </w:p>
        </w:tc>
        <w:tc>
          <w:tcPr>
            <w:tcW w:w="180" w:type="dxa"/>
            <w:vAlign w:val="bottom"/>
          </w:tcPr>
          <w:p>
            <w:pPr>
              <w:spacing w:after="0"/>
              <w:rPr>
                <w:sz w:val="17"/>
                <w:szCs w:val="17"/>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Losses on</w:t>
            </w:r>
          </w:p>
        </w:tc>
        <w:tc>
          <w:tcPr>
            <w:tcW w:w="220" w:type="dxa"/>
            <w:vAlign w:val="bottom"/>
          </w:tcPr>
          <w:p>
            <w:pPr>
              <w:spacing w:after="0"/>
              <w:rPr>
                <w:sz w:val="17"/>
                <w:szCs w:val="17"/>
                <w:color w:val="auto"/>
              </w:rPr>
            </w:pP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220" w:type="dxa"/>
            <w:vAlign w:val="bottom"/>
          </w:tcPr>
          <w:p>
            <w:pPr>
              <w:spacing w:after="0"/>
              <w:rPr>
                <w:sz w:val="18"/>
                <w:szCs w:val="18"/>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Comprehensive Loss</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53"/>
        </w:trPr>
        <w:tc>
          <w:tcPr>
            <w:tcW w:w="4620" w:type="dxa"/>
            <w:vAlign w:val="bottom"/>
          </w:tcPr>
          <w:p>
            <w:pPr>
              <w:ind w:left="140"/>
              <w:spacing w:after="0"/>
              <w:rPr>
                <w:sz w:val="20"/>
                <w:szCs w:val="20"/>
                <w:color w:val="auto"/>
              </w:rPr>
            </w:pPr>
            <w:r>
              <w:rPr>
                <w:rFonts w:ascii="Arial" w:cs="Arial" w:eastAsia="Arial" w:hAnsi="Arial"/>
                <w:sz w:val="16"/>
                <w:szCs w:val="16"/>
                <w:color w:val="auto"/>
                <w:w w:val="94"/>
              </w:rPr>
              <w:t>Foreign currency translation adjustments, net of tax benefit of $0.2</w:t>
            </w:r>
          </w:p>
        </w:tc>
        <w:tc>
          <w:tcPr>
            <w:tcW w:w="2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6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Unrealized losses on derivative contracts, net of tax benefit of $2.3</w:t>
            </w:r>
          </w:p>
        </w:tc>
        <w:tc>
          <w:tcPr>
            <w:tcW w:w="2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6"/>
        </w:trPr>
        <w:tc>
          <w:tcPr>
            <w:tcW w:w="4620" w:type="dxa"/>
            <w:vAlign w:val="bottom"/>
          </w:tcPr>
          <w:p>
            <w:pPr>
              <w:ind w:left="14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2"/>
        </w:trPr>
        <w:tc>
          <w:tcPr>
            <w:tcW w:w="4620" w:type="dxa"/>
            <w:vAlign w:val="bottom"/>
          </w:tcPr>
          <w:p>
            <w:pPr>
              <w:ind w:left="480"/>
              <w:spacing w:after="0" w:line="213" w:lineRule="exact"/>
              <w:rPr>
                <w:sz w:val="20"/>
                <w:szCs w:val="20"/>
                <w:color w:val="auto"/>
              </w:rPr>
            </w:pPr>
            <w:r>
              <w:rPr>
                <w:rFonts w:ascii="Arial" w:cs="Arial" w:eastAsia="Arial" w:hAnsi="Arial"/>
                <w:sz w:val="16"/>
                <w:szCs w:val="16"/>
                <w:color w:val="auto"/>
              </w:rPr>
              <w:t xml:space="preserve">(loss) into earnings, net of tax benefit of $0.5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Includes Interest expense recognized of $3.7 million, partially offset by amortization of off-market swap value of $1.5 million for the </w:t>
      </w:r>
      <w:r>
        <w:rPr>
          <w:rFonts w:ascii="Arial" w:cs="Arial" w:eastAsia="Arial" w:hAnsi="Arial"/>
          <w:sz w:val="15"/>
          <w:szCs w:val="15"/>
          <w:color w:val="auto"/>
        </w:rPr>
        <w:t>three</w:t>
      </w:r>
      <w:r>
        <w:rPr>
          <w:rFonts w:ascii="Arial" w:cs="Arial" w:eastAsia="Arial" w:hAnsi="Arial"/>
          <w:sz w:val="14"/>
          <w:szCs w:val="14"/>
          <w:color w:val="auto"/>
        </w:rPr>
        <w:t xml:space="preserve"> months ended June 30, 2020.</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Accumulated Foreign</w:t>
            </w: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 Translation</w:t>
            </w:r>
          </w:p>
        </w:tc>
        <w:tc>
          <w:tcPr>
            <w:tcW w:w="180" w:type="dxa"/>
            <w:vAlign w:val="bottom"/>
          </w:tcPr>
          <w:p>
            <w:pPr>
              <w:spacing w:after="0"/>
              <w:rPr>
                <w:sz w:val="17"/>
                <w:szCs w:val="17"/>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Losses on</w:t>
            </w:r>
          </w:p>
        </w:tc>
        <w:tc>
          <w:tcPr>
            <w:tcW w:w="240" w:type="dxa"/>
            <w:vAlign w:val="bottom"/>
          </w:tcPr>
          <w:p>
            <w:pPr>
              <w:spacing w:after="0"/>
              <w:rPr>
                <w:sz w:val="17"/>
                <w:szCs w:val="17"/>
                <w:color w:val="auto"/>
              </w:rPr>
            </w:pPr>
          </w:p>
        </w:tc>
        <w:tc>
          <w:tcPr>
            <w:tcW w:w="1900" w:type="dxa"/>
            <w:vAlign w:val="bottom"/>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21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54"/>
        </w:trPr>
        <w:tc>
          <w:tcPr>
            <w:tcW w:w="4620" w:type="dxa"/>
            <w:vAlign w:val="bottom"/>
          </w:tcPr>
          <w:p>
            <w:pPr>
              <w:ind w:left="140"/>
              <w:spacing w:after="0"/>
              <w:rPr>
                <w:sz w:val="20"/>
                <w:szCs w:val="20"/>
                <w:color w:val="auto"/>
              </w:rPr>
            </w:pPr>
            <w:r>
              <w:rPr>
                <w:rFonts w:ascii="Arial" w:cs="Arial" w:eastAsia="Arial" w:hAnsi="Arial"/>
                <w:sz w:val="16"/>
                <w:szCs w:val="16"/>
                <w:color w:val="auto"/>
                <w:w w:val="94"/>
              </w:rPr>
              <w:t>Foreign currency translation adjustments, net of tax benefit of $1.4</w:t>
            </w:r>
          </w:p>
        </w:tc>
        <w:tc>
          <w:tcPr>
            <w:tcW w:w="2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5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Unrealized losses on derivative contracts, net of tax benefit of $16.3</w:t>
            </w:r>
          </w:p>
        </w:tc>
        <w:tc>
          <w:tcPr>
            <w:tcW w:w="2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66"/>
        </w:trPr>
        <w:tc>
          <w:tcPr>
            <w:tcW w:w="4620" w:type="dxa"/>
            <w:vAlign w:val="bottom"/>
          </w:tcPr>
          <w:p>
            <w:pPr>
              <w:ind w:left="14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4620" w:type="dxa"/>
            <w:vAlign w:val="bottom"/>
          </w:tcPr>
          <w:p>
            <w:pPr>
              <w:ind w:left="480"/>
              <w:spacing w:after="0" w:line="213" w:lineRule="exact"/>
              <w:rPr>
                <w:sz w:val="20"/>
                <w:szCs w:val="20"/>
                <w:color w:val="auto"/>
              </w:rPr>
            </w:pPr>
            <w:r>
              <w:rPr>
                <w:rFonts w:ascii="Arial" w:cs="Arial" w:eastAsia="Arial" w:hAnsi="Arial"/>
                <w:sz w:val="16"/>
                <w:szCs w:val="16"/>
                <w:color w:val="auto"/>
              </w:rPr>
              <w:t xml:space="preserve">(loss) into earnings, net of tax benefit of $0.4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Includes Interest expense recognized of $4.4 million, partially offset by amortization of off-market swap value of $2.7 million for the </w:t>
      </w:r>
      <w:r>
        <w:rPr>
          <w:rFonts w:ascii="Arial" w:cs="Arial" w:eastAsia="Arial" w:hAnsi="Arial"/>
          <w:sz w:val="16"/>
          <w:szCs w:val="16"/>
          <w:color w:val="auto"/>
        </w:rPr>
        <w:t>six</w:t>
      </w:r>
      <w:r>
        <w:rPr>
          <w:rFonts w:ascii="Arial" w:cs="Arial" w:eastAsia="Arial" w:hAnsi="Arial"/>
          <w:sz w:val="15"/>
          <w:szCs w:val="15"/>
          <w:color w:val="auto"/>
        </w:rPr>
        <w:t xml:space="preserve"> months ended June 30, 2020.</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9" w:lineRule="exact"/>
        <w:rPr>
          <w:rFonts w:ascii="Arial" w:cs="Arial" w:eastAsia="Arial" w:hAnsi="Arial"/>
          <w:sz w:val="15"/>
          <w:szCs w:val="15"/>
          <w:color w:val="auto"/>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On November 3, 2016, we entered into management consulting agreements with affiliates of Apollo and Searchlight and on November 15, 2017, in connection with the Datapipe acquisition, we entered into a management consulting agreement with ABRY. For the three and six months ended June 30, 2019, we recorded $3.0 million and $5.9 million, respectively, and for the three and six months ended June 30, 2020, we recorded $3.5 million and $7.1 million, respectively, of consulting fees within "Selling, general and administrative expenses" in the Consolidated Statements of Comprehensive Income (Loss).</w:t>
      </w:r>
    </w:p>
    <w:p>
      <w:pPr>
        <w:spacing w:after="0" w:line="21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June 30, 2020, the outstanding principal amount of the Term Loan Facility was $2,810.1 million, of which $38.1 million, or 1.4%, is due to ABRY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25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adjusted gross profit, which is a non-GAAP measure of profitability. For the calculation of adjusted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adjusted gross profit to total consolidated gross profit for the three and six months ended June 30, 2019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Revenue by segment: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Multi-Cloud Services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Apps &amp; Cross Platform</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OpenStack Public Cloud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consolidated revenue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Adjusted gross profit by segment: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Multi-Cloud Services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Apps &amp; Cross Platform</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OpenStack Public Cloud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Share-based compensation expense</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Purchase accounting impact on revenue </w:t>
      </w:r>
      <w:r>
        <w:rPr>
          <w:rFonts w:ascii="Arial" w:cs="Arial" w:eastAsia="Arial" w:hAnsi="Arial"/>
          <w:sz w:val="20"/>
          <w:szCs w:val="20"/>
          <w:color w:val="auto"/>
          <w:vertAlign w:val="superscript"/>
        </w:rPr>
        <w:t>(2)</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Purchase accounting impact on expense </w:t>
      </w:r>
      <w:r>
        <w:rPr>
          <w:rFonts w:ascii="Arial" w:cs="Arial" w:eastAsia="Arial" w:hAnsi="Arial"/>
          <w:sz w:val="20"/>
          <w:szCs w:val="20"/>
          <w:color w:val="auto"/>
          <w:vertAlign w:val="superscript"/>
        </w:rPr>
        <w:t>(2)</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Restructuring and transformation expenses </w:t>
      </w:r>
      <w:r>
        <w:rPr>
          <w:rFonts w:ascii="Arial" w:cs="Arial" w:eastAsia="Arial" w:hAnsi="Arial"/>
          <w:sz w:val="18"/>
          <w:szCs w:val="18"/>
          <w:color w:val="auto"/>
          <w:vertAlign w:val="superscript"/>
        </w:rPr>
        <w:t>(3)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consolidated gross profit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2020</w:t>
            </w:r>
          </w:p>
        </w:tc>
      </w:tr>
      <w:tr>
        <w:trPr>
          <w:trHeight w:val="33"/>
        </w:trPr>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4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902.4</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1,026.9</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161.4</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120.9</w:t>
            </w:r>
          </w:p>
        </w:tc>
      </w:tr>
      <w:tr>
        <w:trPr>
          <w:trHeight w:val="33"/>
        </w:trPr>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1,309.2</w:t>
            </w:r>
          </w:p>
        </w:tc>
      </w:tr>
      <w:tr>
        <w:trPr>
          <w:trHeight w:val="769"/>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378.9</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397.5</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56"/>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513"/>
        </w:trPr>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491.2</w:t>
            </w:r>
          </w:p>
        </w:tc>
      </w:tr>
      <w:tr>
        <w:trPr>
          <w:trHeight w:val="33"/>
        </w:trPr>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-2820035</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-2493645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-2167890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-1833880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-1508125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-1182370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-856615</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-530860</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-205105</wp:posOffset>
            </wp:positionV>
            <wp:extent cx="713232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180"/>
          </w:cols>
          <w:pgMar w:left="320" w:top="125" w:right="339" w:bottom="1440" w:gutter="0" w:footer="0" w:header="0"/>
          <w:type w:val="continuous"/>
        </w:sectPr>
      </w:pPr>
    </w:p>
    <w:p>
      <w:pPr>
        <w:spacing w:after="0" w:line="11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19"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Adjustment for the impact of business transformation and optimization activities, as well as associated severance, facility closure costs and lease termination expenses.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as of December 31, 2019, included in our Registration Statement on Form S-1 (File No. 333-239794), as amended, including the final prospectus, dated August 4, 2020, included therein (the "Prospectus"). References to “Rackspace Technology,” “we,” “our company,” “the company,” “us,” or “our” refer to Rackspace Technology, Inc. and its consolidated subsidiaries.</w:t>
      </w:r>
    </w:p>
    <w:p>
      <w:pPr>
        <w:spacing w:after="0" w:line="20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16,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1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month-to-month basis and can be canceled at any time without penalty.</w:t>
      </w:r>
    </w:p>
    <w:p>
      <w:pPr>
        <w:spacing w:after="0" w:line="191"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On November 15, 2019, we acquired 100% of Onica Holdings LLC ("Onica") as described in more detail in Item 1 of Part I, Financial Statements - Note 13, "Acquisitions." The preliminary estimate of fair values of Onica’s assets acquired and liabilities assumed, together with Onica’s results of operations subsequent to the November 15, 2019 acquisition date, are included in the unaudited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On August 7, 2020, we completed an initial public offering (the "IPO"). For a complete description of this transaction and other subsequent events, see Item 1 of Part I, Financial Statements - Note 1, "Company Overview, Basis of Presentation, and Summary of Significant 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recent outbreak of a novel strain of coronavirus, now referred to as COVID-19, has spread globally, including within the United States and resulted in The World Health Organization declaring the outbreak a "pandemic" in March 2020. The effects of COVID-19 are rapidly evolving, and the full impact and duration of the virus are unknown. Managing COVID-19 has severely impact healthcare systems and businesses worldwide. The effects of COVID-19 and the response to the virus have negatively impacted overall economic conditions. To date, COVID-19 has not adversely affected our results of operations or financial condition in any material respect;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If the pandemic or the resulting economic downturn continues to worsen, we could experience service disruption, loss of customers or higher levels of doubtful trade accounts receivable, which could have an adverse effect on our results of operations and cash flows. At this point, we are focused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In addition, our mitigation efforts, including offering our customers contract extensions in exchange for better payment terms and obtaining improved payment terms from our vendors, have generally</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been successful since the start of the pandemic. The full extent to which COVID-19 may impact our financial condition or results of operations over the medium to long term, however, remains uncertain. Due to our recurring revenue business model, the effect of COVID-19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Salesforce, SAP and VMWare. We believe we are unique in our ability to serve customers across major technology stacks and deployment options, all while delivering a Fanatical Experience. Annualized Recurring Revenue (“ARR”), which we believe is an important indicator of our market differentiation and future revenue opportunity from recurring customer contracts, was $2,355.8 million and $2,492.9 million for the three months ended June 30, 2019 and 2020, respectively. See “</w:t>
      </w:r>
      <w:r>
        <w:rPr>
          <w:rFonts w:ascii="Arial" w:cs="Arial" w:eastAsia="Arial" w:hAnsi="Arial"/>
          <w:sz w:val="17"/>
          <w:szCs w:val="17"/>
          <w:i w:val="1"/>
          <w:iCs w:val="1"/>
          <w:color w:val="auto"/>
        </w:rPr>
        <w:t>Key Operating Metrics</w:t>
      </w: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Service Blocks model provides for customizable services consumption, enabling us to deliver IT services in a recurring and scalable way.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 Our capital expenditures equaled 7% and 8% of our revenue for the three months ended June 30, 2019 and 2020, respectively, and 8% and 10% of our revenue for the six months ended June 30, 2019 and 2020, respectively. Our capital expenditures were slightly higher in the three and six months ended June 30, 2020 in part due to higher success-based spend to deploy customer environments and the refresh of certain data center equipment within our normal maintenance cycle. While there is some variability in capital expenditures from quarter to quarter due to timing of purchases, we continue to see a reduction in capital intensity over the longer term, with capital expenditures equal to 9% of our revenue for the twelve-month period ended June 30, 2020 compared to 10% for the twelve-month period ended June 30, 2019.</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34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37465</wp:posOffset>
            </wp:positionV>
            <wp:extent cx="2768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20"/>
                <w:szCs w:val="20"/>
                <w:color w:val="auto"/>
              </w:rPr>
            </w:pPr>
          </w:p>
        </w:tc>
      </w:tr>
      <w:tr>
        <w:trPr>
          <w:trHeight w:val="236"/>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7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880" w:type="dxa"/>
            <w:vAlign w:val="bottom"/>
          </w:tcPr>
          <w:p>
            <w:pPr>
              <w:ind w:left="20"/>
              <w:spacing w:after="0"/>
              <w:rPr>
                <w:sz w:val="20"/>
                <w:szCs w:val="20"/>
                <w:color w:val="auto"/>
              </w:rPr>
            </w:pPr>
            <w:r>
              <w:rPr>
                <w:rFonts w:ascii="Arial" w:cs="Arial" w:eastAsia="Arial" w:hAnsi="Arial"/>
                <w:sz w:val="16"/>
                <w:szCs w:val="16"/>
                <w:color w:val="auto"/>
              </w:rPr>
              <w:t>Annualized Recurring Revenue (ARR)</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2,355.8</w:t>
            </w:r>
          </w:p>
        </w:tc>
        <w:tc>
          <w:tcPr>
            <w:tcW w:w="78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2,492.9</w:t>
            </w:r>
          </w:p>
        </w:tc>
        <w:tc>
          <w:tcPr>
            <w:tcW w:w="180" w:type="dxa"/>
            <w:vAlign w:val="bottom"/>
          </w:tcPr>
          <w:p>
            <w:pPr>
              <w:spacing w:after="0"/>
              <w:rPr>
                <w:sz w:val="19"/>
                <w:szCs w:val="19"/>
                <w:color w:val="auto"/>
              </w:rPr>
            </w:pPr>
          </w:p>
        </w:tc>
      </w:tr>
      <w:tr>
        <w:trPr>
          <w:trHeight w:val="33"/>
        </w:trPr>
        <w:tc>
          <w:tcPr>
            <w:tcW w:w="6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 Quarterly Net Revenue Retention Rate</w:t>
            </w:r>
          </w:p>
        </w:tc>
        <w:tc>
          <w:tcPr>
            <w:tcW w:w="5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6880" w:type="dxa"/>
            <w:vAlign w:val="bottom"/>
          </w:tcPr>
          <w:p>
            <w:pPr>
              <w:ind w:left="20"/>
              <w:spacing w:after="0"/>
              <w:rPr>
                <w:sz w:val="20"/>
                <w:szCs w:val="20"/>
                <w:color w:val="auto"/>
              </w:rPr>
            </w:pPr>
            <w:r>
              <w:rPr>
                <w:rFonts w:ascii="Arial" w:cs="Arial" w:eastAsia="Arial" w:hAnsi="Arial"/>
                <w:sz w:val="16"/>
                <w:szCs w:val="16"/>
                <w:color w:val="auto"/>
              </w:rPr>
              <w:t>Quarterly Net Revenue Retention Rate</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1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Bookings increased $149.7 million to $288.5 million for the three months ended June 30, 2020 from $138.8 million for the three months ended June 30, 2019. The increase in Bookings was attributable to the execution of several initiatives focused on enhancing growth, including an investment in sales, an improvement in sales productivity, an increase in the number of enterprise customers and an increase in the number of new deals with large contract values.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239"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11"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Our calculation of ARR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ARR was $2,355.8 million and $2,492.9 million for the three months ended June 30, 2019 and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Net Revenue Retention Rate</w:t>
      </w:r>
    </w:p>
    <w:p>
      <w:pPr>
        <w:spacing w:after="0" w:line="239"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Quarterly Net Revenue Retention Rate, which we use to measure our success in retaining and growing revenue from our existing customers, compares sequential quarterly revenue from the same cohort of customers. We calculate our Quarterly Net Revenue Retention Rate for a given quarterly period as the revenue from the cohort of customers for the latest reported fiscal quarter (the numerator), divided by revenue from such customers for the immediately preceding fiscal quarter (denominator). Existing customer revenue for the earlier of the two fiscal quarters is calculated on a constant currency basis, applying the average exchange rate for the latest reported fiscal quarter to the immediately preceding fiscal quarter, to eliminate the effects of foreign currency fluctuations. The numerator and denominator only include revenue from customers that we served and from which we recognized revenue in the first month of the earliest of the two quarters being compared. Our calculation of Quarterly Net Revenue Retention Rate for any fiscal quarter includes the positive revenue impacts of selling new services to existing customers and the negative revenue impacts of attrition among this cohort of customers. Our calculation of Quarterly Net Revenue Retention Rate may differ from similarly titled metrics presented by other companies.</w:t>
      </w:r>
    </w:p>
    <w:p>
      <w:pPr>
        <w:spacing w:after="0" w:line="19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Throughout the MD&amp;A, we present our Quarterly Net Revenue Retention Rate on a consolidated basis and also on a Core basis, referred to as “Core Quarterly Net Revenue Retention Rate,” as well as by segment.</w:t>
      </w:r>
    </w:p>
    <w:p>
      <w:pPr>
        <w:spacing w:after="0" w:line="197"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Our Quarterly Net Revenue Retention Rate was 98% for each of the three-month periods ended June 30, 2019 and 2020 despite our continued shift away from OpenStack Public Cloud to our other service offerings. Accordingly, our Core Quarterly Net Revenue Retention Rate was 98% and 99% for the three-month periods ended June 30, 2019 and 2020, respectively, reflecting the stickiness of our subscription-based revenue model.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Cost of revenue consists primarily of depreciation of servers, software and other systems infrastructure and personnel costs (including salaries, bonuses, benefits and share-based compensation) for engineers, developers and other employees involved in the delivery of services to our customers. Cost of revenue also includes data center rent and other infrastructure maintenance and support costs, including usage charges for third-party infrastructure,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Research and development costs were $14 million and $10 million for the three months ended June 30, 2019 and 2020, respectively, and $32 million and $21 million for the six months ended June 30, 2019 and 2020, respectively. Advertising costs were $10 million and $8 million for the three months ended June 30, 2019 and 2020, respectively, and $20 million and $20 million for the six months ended June 30, 2019 and 2020.</w:t>
      </w:r>
    </w:p>
    <w:p>
      <w:pPr>
        <w:spacing w:after="0" w:line="20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our recurring SG&amp;A costs to increase on account of the expansion of accounting, legal, investor relations and other functions, incremental insurance coverage and other services needed to operate as a public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w w:val="97"/>
              </w:rPr>
              <w:t>Three Months Ended 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4"/>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3"/>
          </w:tcPr>
          <w:p>
            <w:pPr>
              <w:ind w:left="120"/>
              <w:spacing w:after="0"/>
              <w:rPr>
                <w:sz w:val="20"/>
                <w:szCs w:val="20"/>
                <w:color w:val="auto"/>
              </w:rPr>
            </w:pPr>
            <w:r>
              <w:rPr>
                <w:rFonts w:ascii="Arial" w:cs="Arial" w:eastAsia="Arial" w:hAnsi="Arial"/>
                <w:sz w:val="16"/>
                <w:szCs w:val="16"/>
                <w:b w:val="1"/>
                <w:bCs w:val="1"/>
                <w:color w:val="auto"/>
              </w:rPr>
              <w:t>Year-Over-Year Comparison</w:t>
            </w:r>
          </w:p>
        </w:tc>
      </w:tr>
      <w:tr>
        <w:trPr>
          <w:trHeight w:val="33"/>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Revenue</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Revenue</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24"/>
        </w:trPr>
        <w:tc>
          <w:tcPr>
            <w:tcW w:w="31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(58.2)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(414.6)</w:t>
            </w:r>
          </w:p>
        </w:tc>
        <w:tc>
          <w:tcPr>
            <w:tcW w:w="1480" w:type="dxa"/>
            <w:vAlign w:val="bottom"/>
            <w:gridSpan w:val="4"/>
          </w:tcPr>
          <w:p>
            <w:pPr>
              <w:jc w:val="right"/>
              <w:spacing w:after="0"/>
              <w:rPr>
                <w:sz w:val="20"/>
                <w:szCs w:val="20"/>
                <w:color w:val="auto"/>
              </w:rPr>
            </w:pPr>
            <w:r>
              <w:rPr>
                <w:rFonts w:ascii="Arial" w:cs="Arial" w:eastAsia="Arial" w:hAnsi="Arial"/>
                <w:sz w:val="16"/>
                <w:szCs w:val="16"/>
                <w:color w:val="auto"/>
              </w:rPr>
              <w:t>(63.2)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18.4 %</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(219.2)</w:t>
            </w:r>
          </w:p>
        </w:tc>
        <w:tc>
          <w:tcPr>
            <w:tcW w:w="1480" w:type="dxa"/>
            <w:vAlign w:val="bottom"/>
            <w:gridSpan w:val="4"/>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 %</w:t>
            </w:r>
          </w:p>
        </w:tc>
      </w:tr>
      <w:tr>
        <w:trPr>
          <w:trHeight w:val="224"/>
        </w:trPr>
        <w:tc>
          <w:tcPr>
            <w:tcW w:w="3180" w:type="dxa"/>
            <w:vAlign w:val="bottom"/>
          </w:tcPr>
          <w:p>
            <w:pPr>
              <w:ind w:left="120"/>
              <w:spacing w:after="0"/>
              <w:rPr>
                <w:sz w:val="20"/>
                <w:szCs w:val="20"/>
                <w:color w:val="auto"/>
              </w:rPr>
            </w:pPr>
            <w:r>
              <w:rPr>
                <w:rFonts w:ascii="Arial" w:cs="Arial" w:eastAsia="Arial" w:hAnsi="Arial"/>
                <w:sz w:val="16"/>
                <w:szCs w:val="16"/>
                <w:color w:val="auto"/>
              </w:rPr>
              <w:t>Gain on investments,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(99.3) %</w:t>
            </w:r>
          </w:p>
        </w:tc>
      </w:tr>
      <w:tr>
        <w:trPr>
          <w:trHeight w:val="33"/>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extinguishment of debt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23"/>
        </w:trPr>
        <w:tc>
          <w:tcPr>
            <w:tcW w:w="318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(82.4) %</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3180" w:type="dxa"/>
            <w:vAlign w:val="bottom"/>
          </w:tcPr>
          <w:p>
            <w:pPr>
              <w:ind w:left="3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47"/>
        </w:trPr>
        <w:tc>
          <w:tcPr>
            <w:tcW w:w="3180" w:type="dxa"/>
            <w:vAlign w:val="bottom"/>
          </w:tcPr>
          <w:p>
            <w:pPr>
              <w:ind w:left="46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Revenue increased $54 million, or 9.0%, to $657 million in the three months ended June 30, 2020 from $602 million in the three months ended June 30, 2019. Revenue was positively impacted by the acquisition of Onica in November 2019 as well as new customer acquisition and growing customer spend in our Multicloud Services and Apps &amp; Cross Platform segments, as discussed below. Our Quarterly Net Revenue Retention Rate was 98% in the three months ended June 30, 2020.</w:t>
      </w:r>
    </w:p>
    <w:p>
      <w:pPr>
        <w:spacing w:after="0" w:line="214" w:lineRule="exact"/>
        <w:rPr>
          <w:sz w:val="20"/>
          <w:szCs w:val="20"/>
          <w:color w:val="auto"/>
        </w:rPr>
      </w:pPr>
    </w:p>
    <w:p>
      <w:pPr>
        <w:ind w:right="240" w:firstLine="486"/>
        <w:spacing w:after="0" w:line="286" w:lineRule="auto"/>
        <w:rPr>
          <w:sz w:val="20"/>
          <w:szCs w:val="20"/>
          <w:color w:val="auto"/>
        </w:rPr>
      </w:pPr>
      <w:r>
        <w:rPr>
          <w:rFonts w:ascii="Arial" w:cs="Arial" w:eastAsia="Arial" w:hAnsi="Arial"/>
          <w:sz w:val="16"/>
          <w:szCs w:val="16"/>
          <w:color w:val="auto"/>
        </w:rPr>
        <w:t>After removing the impact of foreign currency fluctuations, on a constant currency basis, revenue increased 9.7% period-on-period. On a constant currency basis, assuming the Onica acquisition was consummated on January 1, 2019, we estimate that our constant currency revenue would have increased by 3.8% period-on-period. Although such estimate of constant currency revenue is based on assumptions that management believes are reasonable, it is not necessarily indicative of the constant currency revenue that would have been achieved had such acquisition occurred on January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 The following table presents revenue growth by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8"/>
              </w:rPr>
              <w:t>Three Months Ended June 30,</w:t>
            </w:r>
          </w:p>
        </w:tc>
        <w:tc>
          <w:tcPr>
            <w:tcW w:w="100" w:type="dxa"/>
            <w:vAlign w:val="bottom"/>
          </w:tcPr>
          <w:p>
            <w:pPr>
              <w:spacing w:after="0"/>
              <w:rPr>
                <w:sz w:val="18"/>
                <w:szCs w:val="18"/>
                <w:color w:val="auto"/>
              </w:rPr>
            </w:pPr>
          </w:p>
        </w:tc>
        <w:tc>
          <w:tcPr>
            <w:tcW w:w="306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5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Actual</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 xml:space="preserve">Constant Currency </w:t>
            </w:r>
            <w:r>
              <w:rPr>
                <w:rFonts w:ascii="Arial" w:cs="Arial" w:eastAsia="Arial" w:hAnsi="Arial"/>
                <w:sz w:val="21"/>
                <w:szCs w:val="21"/>
                <w:b w:val="1"/>
                <w:bCs w:val="1"/>
                <w:color w:val="auto"/>
                <w:w w:val="91"/>
                <w:vertAlign w:val="superscript"/>
              </w:rPr>
              <w:t>(1)</w:t>
            </w:r>
          </w:p>
        </w:tc>
      </w:tr>
      <w:tr>
        <w:trPr>
          <w:trHeight w:val="23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49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30"/>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490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57.6</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(22.0) %</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(21.3) %</w:t>
            </w:r>
          </w:p>
        </w:tc>
      </w:tr>
      <w:tr>
        <w:trPr>
          <w:trHeight w:val="33"/>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72"/>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60" w:firstLine="486"/>
        <w:spacing w:after="0" w:line="279" w:lineRule="auto"/>
        <w:rPr>
          <w:sz w:val="20"/>
          <w:szCs w:val="20"/>
          <w:color w:val="auto"/>
        </w:rPr>
      </w:pPr>
      <w:r>
        <w:rPr>
          <w:rFonts w:ascii="Arial" w:cs="Arial" w:eastAsia="Arial" w:hAnsi="Arial"/>
          <w:sz w:val="17"/>
          <w:szCs w:val="17"/>
          <w:color w:val="auto"/>
        </w:rPr>
        <w:t>Multicloud Services revenue in the three months ended June 30, 2020 increased 15%, or 16% on a constant currency basis, from the three months ended June 30, 2019, reflecting the positive impact of the November 2019 acquisition of Onica. Underlying growth was driven by both the acquisition of new customers and increased spend by existing customers, partially offset by cancellations by existing customers. The Quarterly Net Revenue Retention Rate for our Multicloud Services segment was 100% in the three months ended June 30, 2020</w:t>
      </w:r>
      <w:r>
        <w:rPr>
          <w:rFonts w:ascii="Arial" w:cs="Arial" w:eastAsia="Arial" w:hAnsi="Arial"/>
          <w:sz w:val="17"/>
          <w:szCs w:val="17"/>
          <w:b w:val="1"/>
          <w:bCs w:val="1"/>
          <w:i w:val="1"/>
          <w:iCs w:val="1"/>
          <w:color w:val="auto"/>
        </w:rPr>
        <w:t>.</w:t>
      </w:r>
    </w:p>
    <w:p>
      <w:pPr>
        <w:spacing w:after="0" w:line="19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Apps &amp; Cross Platform revenue in the three months ended June 30, 2020 increased 1%, or 2% on a constant currency basis, from the three months ended June 30, 2019, due to growth in our offerings for managed security and management of productivity and collaboration applications, partially offset by timing of professional services. The Quarterly Net Revenue Retention Rate for our Apps &amp; Cross Platform segment was 98% in the three months ended June 30, 2020.</w:t>
      </w:r>
    </w:p>
    <w:p>
      <w:pPr>
        <w:spacing w:after="0" w:line="21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OpenStack Public Cloud revenue in the three months ended June 30, 2020 decreased 22%, or 21% on a constant currency basis, from the three months ended June 30, 2019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Cost of revenue increased $64 million, or 18%, to $415 million in the three months ended June 30, 2020 from $350 million in the three months ended June 30, 2019, primarily due to a $66 million increase in usage charges for third-party infrastructure associated with growth in these offerings and the impact of an increased volume of larger, multi-year customer contracts which typically have a larger infrastructure component and lower margins. Personnel costs increased $12 million, primarily due to the addition of former Onica employees. These increases were partially offset by a $9 million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We also had year-over-year expense reductions as a result of initiatives to lower our cost structure, including the consolidation of data center facilities and reviewing and optimizing our vendor license spending.</w:t>
      </w:r>
    </w:p>
    <w:p>
      <w:pPr>
        <w:spacing w:after="0" w:line="20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As a percentage of revenue, cost of revenue increased 500 basis points in the three months ended June 30, 2020 to 63.2% from 58.2% in the three months ended June 30, 2019, driven by a 930 basis point increase in infrastructure expenses and a 60 basis point increase in personnel costs, partially offset by a 220 basis point reduction in depreciation expense and a 230 basis point decrease related to data center and license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23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consolidated gross profit was $242 million in the three months ended June 30, 2020, a decrease of $10 million from $252 million in the three months ended June 30, 2019. Our Adjusted Consolidated Gross Profit was $251 million in the three months ended June 30, 2020, a decrease of $5 million from $256 million in the three months ended June 30, 2019. Adjusted Consolidated Gross Profit is a non-GAAP financial measure. See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below for more information. Our consolidated gross margin was 36.8% in the three months ended June 30, 2020, a decrease of 500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from 41.8% in the three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gross profit by segment: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Multicloud Services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Apps &amp; Cross Platform</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OpenStack Public Cloud</w:t>
      </w:r>
    </w:p>
    <w:p>
      <w:pPr>
        <w:spacing w:after="0" w:line="86" w:lineRule="exact"/>
        <w:rPr>
          <w:sz w:val="20"/>
          <w:szCs w:val="20"/>
          <w:color w:val="auto"/>
        </w:rPr>
      </w:pPr>
    </w:p>
    <w:p>
      <w:pPr>
        <w:ind w:left="20" w:right="840" w:firstLine="103"/>
        <w:spacing w:after="0" w:line="334" w:lineRule="auto"/>
        <w:rPr>
          <w:sz w:val="20"/>
          <w:szCs w:val="20"/>
          <w:color w:val="auto"/>
        </w:rPr>
      </w:pPr>
      <w:r>
        <w:rPr>
          <w:rFonts w:ascii="Arial" w:cs="Arial" w:eastAsia="Arial" w:hAnsi="Arial"/>
          <w:sz w:val="16"/>
          <w:szCs w:val="16"/>
          <w:color w:val="auto"/>
        </w:rPr>
        <w:t>Adjusted Consolidated Gross Profit Less: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expense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Purchase accounting impact on revenue </w:t>
      </w:r>
      <w:r>
        <w:rPr>
          <w:rFonts w:ascii="Arial" w:cs="Arial" w:eastAsia="Arial" w:hAnsi="Arial"/>
          <w:sz w:val="20"/>
          <w:szCs w:val="20"/>
          <w:color w:val="auto"/>
          <w:vertAlign w:val="superscript"/>
        </w:rPr>
        <w:t>(2)</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Purchase accounting impact on expense </w:t>
      </w:r>
      <w:r>
        <w:rPr>
          <w:rFonts w:ascii="Arial" w:cs="Arial" w:eastAsia="Arial" w:hAnsi="Arial"/>
          <w:sz w:val="20"/>
          <w:szCs w:val="20"/>
          <w:color w:val="auto"/>
          <w:vertAlign w:val="superscript"/>
        </w:rPr>
        <w:t>(2)</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Restructuring and transformation expenses </w:t>
      </w:r>
      <w:r>
        <w:rPr>
          <w:rFonts w:ascii="Arial" w:cs="Arial" w:eastAsia="Arial" w:hAnsi="Arial"/>
          <w:sz w:val="18"/>
          <w:szCs w:val="18"/>
          <w:color w:val="auto"/>
          <w:vertAlign w:val="superscript"/>
        </w:rPr>
        <w:t>(3)</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consolidated gross profit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gridSpan w:val="3"/>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9"/>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 of Segment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 of Segment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189.5</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5.9 %</w:t>
            </w:r>
          </w:p>
        </w:tc>
      </w:tr>
      <w:tr>
        <w:trPr>
          <w:trHeight w:val="257"/>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256"/>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38.5</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(38.4) %</w:t>
            </w: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513"/>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-1851025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-1516380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-1182370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-856615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-530860</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-205105</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280" w:space="700"/>
            <w:col w:w="7260"/>
          </w:cols>
          <w:pgMar w:left="320" w:top="125" w:right="339" w:bottom="1440" w:gutter="0" w:footer="0" w:header="0"/>
          <w:type w:val="continuous"/>
        </w:sectPr>
      </w:pPr>
    </w:p>
    <w:p>
      <w:pPr>
        <w:ind w:left="480" w:hanging="454"/>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59" w:lineRule="exact"/>
        <w:rPr>
          <w:rFonts w:ascii="Arial" w:cs="Arial" w:eastAsia="Arial" w:hAnsi="Arial"/>
          <w:sz w:val="16"/>
          <w:szCs w:val="16"/>
          <w:color w:val="auto"/>
        </w:rPr>
      </w:pPr>
    </w:p>
    <w:p>
      <w:pPr>
        <w:ind w:left="480" w:hanging="454"/>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86" w:lineRule="exact"/>
        <w:rPr>
          <w:rFonts w:ascii="Arial" w:cs="Arial" w:eastAsia="Arial" w:hAnsi="Arial"/>
          <w:sz w:val="16"/>
          <w:szCs w:val="16"/>
          <w:color w:val="auto"/>
        </w:rPr>
      </w:pPr>
    </w:p>
    <w:p>
      <w:pPr>
        <w:ind w:left="480" w:right="600" w:hanging="454"/>
        <w:spacing w:after="0" w:line="293"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2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Multicloud Services adjusted gross profit increased by 6% in the three months ended June 30, 2020 from the three months ended June 30, 2019. Segment adjusted gross profit as a percentage of segment revenue decreased by 340 basis points, reflecting a 22% increase in segment cost of revenue and a 15%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19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Apps &amp; Cross Platform adjusted gross profit decreased 4% in the three months ended June 30, 2020 from the three months ended June 30, 2019. Segment adjusted gross profit as a percentage of segment revenue decreased by 190 basis points, reflecting a 4% increase in segment cost of revenue and a 1% increase in segment revenue. The increase in cost of revenue was driven by the segment’s higher business volume as well as investments to support more service-oriented offerings and higher third-party infrastructure costs.</w:t>
      </w:r>
    </w:p>
    <w:p>
      <w:pPr>
        <w:spacing w:after="0" w:line="214"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OpenStack Public Cloud adjusted gross profit decreased 38% in the three months ended June 30, 2020 from the three months ended June 30, 2019 due to customer churn. Segment adjusted gross profit as a percentage of segment revenue decreased by 1,110 basis points, reflecting a 22% decrease in segment revenue, partially offset by a 4% decrease in segment cost of revenue.</w:t>
      </w:r>
    </w:p>
    <w:p>
      <w:pPr>
        <w:spacing w:after="0" w:line="21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aggregate amount of costs reflected in consolidated gross profit but excluded from segment adjusted gross profit was $9.5 million in the three months ended June 30, 2020, an increase of $5.4 million from $4.1 million in the three months ended June 30, 2019, reflecting higher restructuring and transformation expenses and share-based compensation, partially offset by lower purchase accounting adjustments. For more information about our segment adjusted gross profit, see Item 1 of Part I, Financial Statements - Note 16, "Segment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Selling, general and administrative expenses decreased $7 million, or 3%, to $219 million in the three months ended June 30, 2020 from $227 million in the three months ended June 30, 2019, primarily due to a $7 million decrease in personnel costs, including higher severance expense during the prior year period related to business optimization initiatives, partially offset by an increase in commissions expense driven by bookings growth, including the impact of the Onica acquisition. Also contributing to the decrease in SG&amp;A expenses was a $4 million reduction in travel costs resulting from COVID-19 travel restrictions. These decreases were partially offset by an increase in expenses related to business transformation initiatives and integrating Onica.</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decreased 420 basis points, to 33.4% in the three months ended June 30, 2020 from 37.6% in the three months ended June 30, 2019, for the reasons discussed above, and further impacted by our revenue growth compared to aggregate decreases in other SG&amp;A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Interest expense decreased $32 million to $69 million in the three months ended June 30, 2020 from $101 million in the three months ended June 30, 2019, primarily due to the January 2020 designation of certain of our interest rate swap agreements as cash flow hedges, as further discussed in Item 1 of Part I, Financial Statements - Note 11, "Derivatives." In the three months ended June 30, 2019, we recorded $30 million of interest expense related to the change in the fair value of interest rate swaps compared to $2 million recorded to interest expense in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39"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Gain on investments was $1 million in the three months ended June 30, 2020 compared to $143 million in the three months ended June 30, 2019, driven by the unrealized gain on our CrowdStrike investment of $141 million, as further discussed in Item 1 of Part I, Financial Statements - Note 6,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23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recorded a $5 million gain on debt extinguishment in the three months ended June 30, 2019 related to the repurchase of $46 million principal amount of our 8.625% Senior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39"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Other income decreased $1 million primarily related to changes in the fair value of foreign currency derivatives, as further discussed in Item 1 of Part I, Financial Statements - Note 11, "Derivatives," partially offset by a decrease in foreign currency transaction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had an income tax benefit of $12 million in the three months ended June 30, 2020 compared to a provision for income taxes of $12 million in the three months ended June 30, 2019, primarily driven by the tax impact of the unrealized gain on our CrowdStrike investment, as further discussed in Item 1 of Part I, Financial Statements - Note 6, "Investments." Our effective tax rate increased from 16.4% in the three months ended June 30, 2019 to 27.4% in the three months ended June 30, 2020. The increase in the effective tax rate year-over-year and the difference between the effective tax rate for the three months ended June 30, 2020 and the statutory rate are primarily due to the geographic distribution of profits.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33"/>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Revenue</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Revenue</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(58.4)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15.8 %</w:t>
            </w:r>
          </w:p>
        </w:tc>
      </w:tr>
      <w:tr>
        <w:trPr>
          <w:trHeight w:val="33"/>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7"/>
        </w:trPr>
        <w:tc>
          <w:tcPr>
            <w:tcW w:w="316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(5.8) %</w:t>
            </w:r>
          </w:p>
        </w:tc>
      </w:tr>
      <w:tr>
        <w:trPr>
          <w:trHeight w:val="3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316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(25.8) %</w:t>
            </w:r>
          </w:p>
        </w:tc>
      </w:tr>
      <w:tr>
        <w:trPr>
          <w:trHeight w:val="3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investments, net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(99.4) %</w:t>
            </w:r>
          </w:p>
        </w:tc>
      </w:tr>
      <w:tr>
        <w:trPr>
          <w:trHeight w:val="224"/>
        </w:trPr>
        <w:tc>
          <w:tcPr>
            <w:tcW w:w="3160" w:type="dxa"/>
            <w:vAlign w:val="bottom"/>
          </w:tcPr>
          <w:p>
            <w:pPr>
              <w:ind w:left="120"/>
              <w:spacing w:after="0"/>
              <w:rPr>
                <w:sz w:val="20"/>
                <w:szCs w:val="20"/>
                <w:color w:val="auto"/>
              </w:rPr>
            </w:pPr>
            <w:r>
              <w:rPr>
                <w:rFonts w:ascii="Arial" w:cs="Arial" w:eastAsia="Arial" w:hAnsi="Arial"/>
                <w:sz w:val="16"/>
                <w:szCs w:val="16"/>
                <w:color w:val="auto"/>
              </w:rPr>
              <w:t>Gain on extinguishment of debt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(87.0) %</w:t>
            </w:r>
          </w:p>
        </w:tc>
      </w:tr>
      <w:tr>
        <w:trPr>
          <w:trHeight w:val="217"/>
        </w:trPr>
        <w:tc>
          <w:tcPr>
            <w:tcW w:w="3160" w:type="dxa"/>
            <w:vAlign w:val="bottom"/>
          </w:tcPr>
          <w:p>
            <w:pPr>
              <w:ind w:left="22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2"/>
        </w:trPr>
        <w:tc>
          <w:tcPr>
            <w:tcW w:w="3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Revenue increased $100 million, or 8.3%, to $1,309 million in the six months ended June 30, 2020 from $1,209 million in the six months ended June 30, 2019. Revenue was positively impacted by the acquisition of Onica in November 2019 as well as new customer acquisition and growing customer spend in our Multicloud Services and Apps &amp; Cross Platform segments, as discussed below.</w:t>
      </w:r>
    </w:p>
    <w:p>
      <w:pPr>
        <w:spacing w:after="0" w:line="21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After removing the impact from foreign currency fluctuations, on a constant currency basis, revenue increased 8.7% period-on-period. On a constant currency basis, assuming the Onica acquisition was consummated on January 1, 2019, we estimate that our constant currency revenue would have increased by 3.4% period-on-period. Although such estimate of constant currency revenue is based on assumptions that management believes are reasonable, it is not necessarily indicative of the constant currency revenue that would have been achieved had such acquisition occurred on January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 The following table presents revenue growth by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c>
          <w:tcPr>
            <w:tcW w:w="306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5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Actual</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 xml:space="preserve">Constant Currency </w:t>
            </w:r>
            <w:r>
              <w:rPr>
                <w:rFonts w:ascii="Arial" w:cs="Arial" w:eastAsia="Arial" w:hAnsi="Arial"/>
                <w:sz w:val="21"/>
                <w:szCs w:val="21"/>
                <w:b w:val="1"/>
                <w:bCs w:val="1"/>
                <w:color w:val="auto"/>
                <w:w w:val="91"/>
                <w:vertAlign w:val="superscript"/>
              </w:rPr>
              <w:t>(1)</w:t>
            </w:r>
          </w:p>
        </w:tc>
      </w:tr>
      <w:tr>
        <w:trPr>
          <w:trHeight w:val="23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30"/>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120.9</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(19.0) %</w:t>
            </w:r>
          </w:p>
        </w:tc>
      </w:tr>
      <w:tr>
        <w:trPr>
          <w:trHeight w:val="33"/>
        </w:trPr>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72"/>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44"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Multicloud Services revenue in the six months ended June 30, 2020 increased 14%, on an actual and constant currency basis, from the six months ended June 30, 2019, reflecting the positive impact of the November 2019 acquisition of Onica. Underlying growth was driven by both the acquisition of new customers and increased spend by existing customers, partially offset by cancellations by existing customers.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Apps &amp; Cross Platform revenue in the six months ended June 30, 2020 increased 3%, on an actual and constant currency basis, from the six months ended June 30, 2019, due to growth in our offerings for managed security, professional services, and management of productivity and collaboration applications.</w:t>
      </w:r>
    </w:p>
    <w:p>
      <w:pPr>
        <w:spacing w:after="0" w:line="21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OpenStack Public Cloud revenue in the six months ended June 30, 2020 decreased 19%, on an actual and constant currency basis, from the six months ended June 30, 2019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Cost of revenue increased $112 million, or 16%, to $818 million in the six months ended June 30, 2020 from $706 million in the six months ended June 30, 2019, primarily due to a $122 million increase in usage charges for third-party infrastructure associated with growth in these offerings and the impact of an increased volume of larger, multi-year customer contracts which typically have a larger infrastructure component and lower margins. Personnel costs increased $22 million, primarily due to the addition of former Onica employees. These increases were partially offset by a $21 million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We also had year-over-year expense reductions as a result of initiatives to lower our cost structure, including the consolidation of data center facilities and reviewing and optimizing our vendor license spending.</w:t>
      </w:r>
    </w:p>
    <w:p>
      <w:pPr>
        <w:spacing w:after="0" w:line="20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a percentage of revenue, cost of revenue increased 410 basis points in the six months ended June 30, 2020 to 62.5% from 58.4% in the six months ended June 30, 2019, driven by an 860 basis point increase in infrastructure expenses, partially offset by a 250 basis point reduction in depreciation expense and a 220 basis point decrease related to data center and license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252"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Our consolidated gross profit was $491 million in the six months ended June 30, 2020, a decrease of $12 million from $503 million in the six months ended June 30, 2019. Our Adjusted Consolidated Gross Profit was $508 million in the six months ended June 30, 2020, a decrease of $7 million from $514 million in the six months ended June 30, 2019. Adjusted Consolidated Gross Profit is a non-GAAP financial measure. See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below for more information. Our consolidated gross margin was 37.5% in the six months ended June 30, 2020, a decrease of 410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from 41.6% in the six months ended June 30, 2019.</w:t>
      </w:r>
    </w:p>
    <w:p>
      <w:pPr>
        <w:spacing w:after="0" w:line="21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gross profit by segment: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Multicloud Services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Apps &amp; Cross Platform</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OpenStack Public Cloud</w:t>
      </w:r>
    </w:p>
    <w:p>
      <w:pPr>
        <w:spacing w:after="0" w:line="86" w:lineRule="exact"/>
        <w:rPr>
          <w:sz w:val="20"/>
          <w:szCs w:val="20"/>
          <w:color w:val="auto"/>
        </w:rPr>
      </w:pPr>
    </w:p>
    <w:p>
      <w:pPr>
        <w:ind w:left="20" w:right="840" w:firstLine="103"/>
        <w:spacing w:after="0" w:line="343" w:lineRule="auto"/>
        <w:rPr>
          <w:sz w:val="20"/>
          <w:szCs w:val="20"/>
          <w:color w:val="auto"/>
        </w:rPr>
      </w:pPr>
      <w:r>
        <w:rPr>
          <w:rFonts w:ascii="Arial" w:cs="Arial" w:eastAsia="Arial" w:hAnsi="Arial"/>
          <w:sz w:val="16"/>
          <w:szCs w:val="16"/>
          <w:color w:val="auto"/>
        </w:rPr>
        <w:t>Adjusted Consolidated Gross Profit Less: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expense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Purchase accounting impact on revenue </w:t>
      </w:r>
      <w:r>
        <w:rPr>
          <w:rFonts w:ascii="Arial" w:cs="Arial" w:eastAsia="Arial" w:hAnsi="Arial"/>
          <w:sz w:val="20"/>
          <w:szCs w:val="20"/>
          <w:color w:val="auto"/>
          <w:vertAlign w:val="superscript"/>
        </w:rPr>
        <w:t>(2)</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Purchase accounting impact on expense </w:t>
      </w:r>
      <w:r>
        <w:rPr>
          <w:rFonts w:ascii="Arial" w:cs="Arial" w:eastAsia="Arial" w:hAnsi="Arial"/>
          <w:sz w:val="20"/>
          <w:szCs w:val="20"/>
          <w:color w:val="auto"/>
          <w:vertAlign w:val="superscript"/>
        </w:rPr>
        <w:t>(2)</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Restructuring and transformation expenses </w:t>
      </w:r>
      <w:r>
        <w:rPr>
          <w:rFonts w:ascii="Arial" w:cs="Arial" w:eastAsia="Arial" w:hAnsi="Arial"/>
          <w:sz w:val="18"/>
          <w:szCs w:val="18"/>
          <w:color w:val="auto"/>
          <w:vertAlign w:val="superscript"/>
        </w:rPr>
        <w:t>(3)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consolidated gross profit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ind w:left="300"/>
              <w:spacing w:after="0"/>
              <w:rPr>
                <w:sz w:val="20"/>
                <w:szCs w:val="20"/>
                <w:color w:val="auto"/>
              </w:rPr>
            </w:pPr>
            <w:r>
              <w:rPr>
                <w:rFonts w:ascii="Arial" w:cs="Arial" w:eastAsia="Arial" w:hAnsi="Arial"/>
                <w:sz w:val="16"/>
                <w:szCs w:val="16"/>
                <w:b w:val="1"/>
                <w:bCs w:val="1"/>
                <w:color w:val="auto"/>
                <w:w w:val="95"/>
              </w:rPr>
              <w:t>Six Months Ended 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gridSpan w:val="3"/>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w w:val="89"/>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r>
      <w:tr>
        <w:trPr>
          <w:trHeight w:val="33"/>
        </w:trPr>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b w:val="1"/>
                <w:bCs w:val="1"/>
                <w:color w:val="auto"/>
              </w:rPr>
              <w:t>% of Segment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 of Segment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300"/>
              <w:spacing w:after="0"/>
              <w:rPr>
                <w:sz w:val="20"/>
                <w:szCs w:val="20"/>
                <w:color w:val="auto"/>
              </w:rPr>
            </w:pPr>
            <w:r>
              <w:rPr>
                <w:rFonts w:ascii="Arial" w:cs="Arial" w:eastAsia="Arial" w:hAnsi="Arial"/>
                <w:sz w:val="16"/>
                <w:szCs w:val="16"/>
                <w:b w:val="1"/>
                <w:bCs w:val="1"/>
                <w:color w:val="auto"/>
              </w:rPr>
              <w:t>Revenue</w:t>
            </w: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99"/>
              <w:spacing w:after="0"/>
              <w:rPr>
                <w:sz w:val="20"/>
                <w:szCs w:val="20"/>
                <w:color w:val="auto"/>
              </w:rPr>
            </w:pPr>
            <w:r>
              <w:rPr>
                <w:rFonts w:ascii="Arial" w:cs="Arial" w:eastAsia="Arial" w:hAnsi="Arial"/>
                <w:sz w:val="16"/>
                <w:szCs w:val="16"/>
                <w:b w:val="1"/>
                <w:bCs w:val="1"/>
                <w:color w:val="auto"/>
                <w:w w:val="89"/>
              </w:rPr>
              <w:t>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378.9</w:t>
            </w:r>
          </w:p>
        </w:tc>
        <w:tc>
          <w:tcPr>
            <w:tcW w:w="1640" w:type="dxa"/>
            <w:vAlign w:val="bottom"/>
            <w:gridSpan w:val="5"/>
          </w:tcPr>
          <w:p>
            <w:pPr>
              <w:ind w:left="860"/>
              <w:spacing w:after="0"/>
              <w:rPr>
                <w:sz w:val="20"/>
                <w:szCs w:val="20"/>
                <w:color w:val="auto"/>
              </w:rPr>
            </w:pPr>
            <w:r>
              <w:rPr>
                <w:rFonts w:ascii="Arial" w:cs="Arial" w:eastAsia="Arial" w:hAnsi="Arial"/>
                <w:sz w:val="16"/>
                <w:szCs w:val="16"/>
                <w:color w:val="auto"/>
              </w:rPr>
              <w:t>42.0 %  $</w:t>
            </w:r>
          </w:p>
        </w:tc>
        <w:tc>
          <w:tcPr>
            <w:tcW w:w="840" w:type="dxa"/>
            <w:vAlign w:val="bottom"/>
          </w:tcPr>
          <w:p>
            <w:pPr>
              <w:jc w:val="right"/>
              <w:spacing w:after="0"/>
              <w:rPr>
                <w:sz w:val="20"/>
                <w:szCs w:val="20"/>
                <w:color w:val="auto"/>
              </w:rPr>
            </w:pPr>
            <w:r>
              <w:rPr>
                <w:rFonts w:ascii="Arial" w:cs="Arial" w:eastAsia="Arial" w:hAnsi="Arial"/>
                <w:sz w:val="16"/>
                <w:szCs w:val="16"/>
                <w:color w:val="auto"/>
              </w:rPr>
              <w:t>397.5</w:t>
            </w:r>
          </w:p>
        </w:tc>
        <w:tc>
          <w:tcPr>
            <w:tcW w:w="1180" w:type="dxa"/>
            <w:vAlign w:val="bottom"/>
            <w:gridSpan w:val="3"/>
          </w:tcPr>
          <w:p>
            <w:pPr>
              <w:ind w:left="860"/>
              <w:spacing w:after="0"/>
              <w:rPr>
                <w:sz w:val="20"/>
                <w:szCs w:val="20"/>
                <w:color w:val="auto"/>
              </w:rPr>
            </w:pPr>
            <w:r>
              <w:rPr>
                <w:rFonts w:ascii="Arial" w:cs="Arial" w:eastAsia="Arial" w:hAnsi="Arial"/>
                <w:sz w:val="16"/>
                <w:szCs w:val="16"/>
                <w:color w:val="auto"/>
                <w:w w:val="96"/>
              </w:rPr>
              <w:t>38.7</w:t>
            </w:r>
          </w:p>
        </w:tc>
        <w:tc>
          <w:tcPr>
            <w:tcW w:w="42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4.9 %</w:t>
            </w:r>
          </w:p>
        </w:tc>
      </w:tr>
      <w:tr>
        <w:trPr>
          <w:trHeight w:val="257"/>
        </w:trPr>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57.1</w:t>
            </w:r>
          </w:p>
        </w:tc>
        <w:tc>
          <w:tcPr>
            <w:tcW w:w="1360" w:type="dxa"/>
            <w:vAlign w:val="bottom"/>
            <w:gridSpan w:val="3"/>
          </w:tcPr>
          <w:p>
            <w:pPr>
              <w:ind w:left="860"/>
              <w:spacing w:after="0"/>
              <w:rPr>
                <w:sz w:val="20"/>
                <w:szCs w:val="20"/>
                <w:color w:val="auto"/>
              </w:rPr>
            </w:pPr>
            <w:r>
              <w:rPr>
                <w:rFonts w:ascii="Arial" w:cs="Arial" w:eastAsia="Arial" w:hAnsi="Arial"/>
                <w:sz w:val="16"/>
                <w:szCs w:val="16"/>
                <w:color w:val="auto"/>
                <w:w w:val="96"/>
              </w:rPr>
              <w:t>36.3 %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w:t>
            </w:r>
          </w:p>
        </w:tc>
        <w:tc>
          <w:tcPr>
            <w:tcW w:w="1360" w:type="dxa"/>
            <w:vAlign w:val="bottom"/>
            <w:gridSpan w:val="4"/>
          </w:tcPr>
          <w:p>
            <w:pPr>
              <w:ind w:left="860"/>
              <w:spacing w:after="0"/>
              <w:rPr>
                <w:sz w:val="20"/>
                <w:szCs w:val="20"/>
                <w:color w:val="auto"/>
              </w:rPr>
            </w:pPr>
            <w:r>
              <w:rPr>
                <w:rFonts w:ascii="Arial" w:cs="Arial" w:eastAsia="Arial" w:hAnsi="Arial"/>
                <w:sz w:val="16"/>
                <w:szCs w:val="16"/>
                <w:color w:val="auto"/>
                <w:w w:val="96"/>
              </w:rPr>
              <w:t>35.4 %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6"/>
        </w:trPr>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w:t>
            </w:r>
          </w:p>
        </w:tc>
        <w:tc>
          <w:tcPr>
            <w:tcW w:w="1360" w:type="dxa"/>
            <w:vAlign w:val="bottom"/>
            <w:gridSpan w:val="3"/>
          </w:tcPr>
          <w:p>
            <w:pPr>
              <w:ind w:left="860"/>
              <w:spacing w:after="0"/>
              <w:rPr>
                <w:sz w:val="20"/>
                <w:szCs w:val="20"/>
                <w:color w:val="auto"/>
              </w:rPr>
            </w:pPr>
            <w:r>
              <w:rPr>
                <w:rFonts w:ascii="Arial" w:cs="Arial" w:eastAsia="Arial" w:hAnsi="Arial"/>
                <w:sz w:val="16"/>
                <w:szCs w:val="16"/>
                <w:color w:val="auto"/>
                <w:w w:val="96"/>
              </w:rPr>
              <w:t>52.3 %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53.0</w:t>
            </w:r>
          </w:p>
        </w:tc>
        <w:tc>
          <w:tcPr>
            <w:tcW w:w="1180" w:type="dxa"/>
            <w:vAlign w:val="bottom"/>
            <w:gridSpan w:val="3"/>
          </w:tcPr>
          <w:p>
            <w:pPr>
              <w:ind w:left="860"/>
              <w:spacing w:after="0"/>
              <w:rPr>
                <w:sz w:val="20"/>
                <w:szCs w:val="20"/>
                <w:color w:val="auto"/>
              </w:rPr>
            </w:pPr>
            <w:r>
              <w:rPr>
                <w:rFonts w:ascii="Arial" w:cs="Arial" w:eastAsia="Arial" w:hAnsi="Arial"/>
                <w:sz w:val="16"/>
                <w:szCs w:val="16"/>
                <w:color w:val="auto"/>
                <w:w w:val="96"/>
              </w:rPr>
              <w:t>43.8</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(32.3) %</w:t>
            </w:r>
          </w:p>
        </w:tc>
      </w:tr>
      <w:tr>
        <w:trPr>
          <w:trHeight w:val="33"/>
        </w:trPr>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-647065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-312420</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20955</wp:posOffset>
            </wp:positionV>
            <wp:extent cx="713232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w:t>
            </w: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503.0</w:t>
            </w:r>
          </w:p>
        </w:tc>
        <w:tc>
          <w:tcPr>
            <w:tcW w:w="14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491.2</w:t>
            </w:r>
          </w:p>
        </w:tc>
      </w:tr>
      <w:tr>
        <w:trPr>
          <w:trHeight w:val="33"/>
        </w:trPr>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-890905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-548005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-205105</wp:posOffset>
            </wp:positionV>
            <wp:extent cx="71323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280" w:space="700"/>
            <w:col w:w="7260"/>
          </w:cols>
          <w:pgMar w:left="320" w:top="125" w:right="339" w:bottom="1440" w:gutter="0" w:footer="0" w:header="0"/>
          <w:type w:val="continuous"/>
        </w:sectPr>
      </w:pPr>
    </w:p>
    <w:p>
      <w:pPr>
        <w:ind w:left="480" w:hanging="45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59" w:lineRule="exact"/>
        <w:rPr>
          <w:rFonts w:ascii="Arial" w:cs="Arial" w:eastAsia="Arial" w:hAnsi="Arial"/>
          <w:sz w:val="16"/>
          <w:szCs w:val="16"/>
          <w:color w:val="auto"/>
        </w:rPr>
      </w:pPr>
    </w:p>
    <w:p>
      <w:pPr>
        <w:ind w:left="480" w:hanging="45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86" w:lineRule="exact"/>
        <w:rPr>
          <w:rFonts w:ascii="Arial" w:cs="Arial" w:eastAsia="Arial" w:hAnsi="Arial"/>
          <w:sz w:val="16"/>
          <w:szCs w:val="16"/>
          <w:color w:val="auto"/>
        </w:rPr>
      </w:pPr>
    </w:p>
    <w:p>
      <w:pPr>
        <w:ind w:left="480" w:right="600" w:hanging="454"/>
        <w:spacing w:after="0" w:line="293"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Multicloud Services adjusted gross profit increased by 5% in the six months ended June 30, 2020 from the six months ended June 30, 2019. Segment adjusted gross profit as a percentage of segment revenue decreased by 330 basis points, reflecting a 20% increase in segment cost of revenue and a 14%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198"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Apps &amp; Cross Platform adjusted gross profit was consistent with the prior year period. Segment adjusted gross profit as a percentage of segment revenue decreased by 90 basis points, reflecting a 4% increase in segment cost of revenue and a 3% increase in segment revenue. The increase in cost of revenue was driven by the segment’s higher business volume.</w:t>
      </w:r>
    </w:p>
    <w:p>
      <w:pPr>
        <w:spacing w:after="0" w:line="21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OpenStack Public Cloud adjusted gross profit decreased 32% in the six months ended June 30, 2020 from the six months ended June 30, 2019 due to customer churn. Segment adjusted gross profit as a percentage of segment revenue decreased by 850 basis points, reflecting a 19% decrease in segment revenue, partially offset by a 5% decrease in segment cost of revenue.</w:t>
      </w:r>
    </w:p>
    <w:p>
      <w:pPr>
        <w:spacing w:after="0" w:line="21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The aggregate amount of costs reflected in consolidated gross profit but excluded from segment adjusted gross profit was $16.4 million in the six months ended June 30, 2020, an increase of $5.1 million from $11.3 million in the six months ended June 30, 2019, reflecting higher restructuring and transformation expenses, retention bonuses, and share-based compensation, partially offset by lower purchase accounting adjustments. For more information about our segment adjusted gross profit, see Item 1 of Part I, Financial Statements - Note 16, "Segment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Selling, general and administrative expenses decreased $11 million, or 2%, to $447 million in the six months ended June 30, 2020 from $458 million in the six months ended June 30, 2019, primarily due to a $16 million decrease in personnel costs, including higher severance expense during the prior year period related to business optimization initiatives, a reduction in employee count, driven, in part, by outsourcing initiatives, and lower expense related to our obligations to settle share-based awards in connection with the Rackspace Acquisition, partially offset by an increase in commissions expense driven by bookings growth, including the impact of the Onica acquisition. Also contributing to the decrease in SG&amp;A expenses was a $4 million reduction in travel costs resulting from COVID-19 travel restrictions. These decreases were partially offset by an increase in expenses related to business transformation initiatives and integrating Onica.</w:t>
      </w:r>
    </w:p>
    <w:p>
      <w:pPr>
        <w:spacing w:after="0" w:line="22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decreased 380 basis points, to 34.1% in the six months ended June 30, 2020 from 37.9% in the six months ended June 30, 2019, for the reasons discussed above, and further impacted by our revenue growth while other SG&amp;A expenses remained flat.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March 2019, we recorded a $2 million gain related to the payment of a promissory note receivable that was issued in conjunction with the sale of our Mailgun business in February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Interest expense decreased $49 million to $141 in the six months ended June 30, 2020 from $190 million in the six months ended June 30, 2019, primarily due to the January 2020 designation of certain of our interest rate swap agreements as cash flow hedges, as further discussed in Item 1 of Part I, Financial Statements - Note 11, "Derivatives." In the six months ended June 30, 2019, we recorded $49 million of interest expense related to the change in the fair value of interest rate swaps compared to $5 million recorded to interest expense in the six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5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Gain on investments was $1 million in the six months ended June 30, 2020 compared to $143 million in the six months ended June 30, 2019, driven by the unrealized gain on our CrowdStrike investment of $141 million, as further discussed in Item 1 of Part I, Financial Statements - Note 6,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25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recorded a $10 million gain on debt extinguishment in the six months ended June 30, 2019 related to repurchases of $74 million principal amount of 8.625% Senior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Other expense decreased $2 million primarily related to changes in the fair value of foreign currency derivatives, as further discussed in Item 1 of Part I, Financial Statements - Note 11, "Derivatives," partially offset by an increase in foreign currency transaction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5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had an income tax benefit of $15 million in the six months ended June 30, 2020 compared to a provision for income taxes of $3 million in the six months ended June 30, 2019, primarily driven by the tax impact of the unrealized gain on our CrowdStrike investment, as further discussed in Item 1 of Part I, Financial Statements - Note 6, "Investments." Our effective tax rate decreased from 34.8% in the six months ended June 30, 2019 to 15.9% in the six months ended June 30, 2020. The decrease in the effective tax rate year-over-year and the difference between the effective tax rate for the six months ended June 30, 2020 and the statutory rate are primarily due to the geographic distribution of profits.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Adjusted Consolidated Gross Profit, Adjusted Net Income (Loss), Adjusted EBIT, Adjusted EBITDA and Adjusted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Three Months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Ended June 30,</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40" w:type="dxa"/>
            <w:vAlign w:val="bottom"/>
            <w:gridSpan w:val="7"/>
          </w:tcPr>
          <w:p>
            <w:pPr>
              <w:jc w:val="center"/>
              <w:ind w:right="159"/>
              <w:spacing w:after="0"/>
              <w:rPr>
                <w:sz w:val="20"/>
                <w:szCs w:val="20"/>
                <w:color w:val="auto"/>
              </w:rPr>
            </w:pPr>
            <w:r>
              <w:rPr>
                <w:rFonts w:ascii="Arial" w:cs="Arial" w:eastAsia="Arial" w:hAnsi="Arial"/>
                <w:sz w:val="16"/>
                <w:szCs w:val="16"/>
                <w:b w:val="1"/>
                <w:bCs w:val="1"/>
                <w:color w:val="auto"/>
                <w:w w:val="92"/>
              </w:rPr>
              <w:t>Three Months Ended June 30, 2020</w:t>
            </w:r>
          </w:p>
        </w:tc>
        <w:tc>
          <w:tcPr>
            <w:tcW w:w="100" w:type="dxa"/>
            <w:vAlign w:val="bottom"/>
          </w:tcPr>
          <w:p>
            <w:pPr>
              <w:spacing w:after="0"/>
              <w:rPr>
                <w:sz w:val="18"/>
                <w:szCs w:val="18"/>
                <w:color w:val="auto"/>
              </w:rPr>
            </w:pPr>
          </w:p>
        </w:tc>
        <w:tc>
          <w:tcPr>
            <w:tcW w:w="296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Foreign Currency</w:t>
            </w:r>
          </w:p>
        </w:tc>
        <w:tc>
          <w:tcPr>
            <w:tcW w:w="220" w:type="dxa"/>
            <w:vAlign w:val="bottom"/>
          </w:tcPr>
          <w:p>
            <w:pPr>
              <w:spacing w:after="0"/>
              <w:rPr>
                <w:sz w:val="20"/>
                <w:szCs w:val="20"/>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20"/>
                <w:szCs w:val="20"/>
                <w:color w:val="auto"/>
              </w:rPr>
            </w:pPr>
          </w:p>
        </w:tc>
        <w:tc>
          <w:tcPr>
            <w:tcW w:w="13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47"/>
        </w:trPr>
        <w:tc>
          <w:tcPr>
            <w:tcW w:w="212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602.4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660.6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212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2019</w:t>
            </w:r>
          </w:p>
        </w:tc>
        <w:tc>
          <w:tcPr>
            <w:tcW w:w="240" w:type="dxa"/>
            <w:vAlign w:val="bottom"/>
          </w:tcPr>
          <w:p>
            <w:pPr>
              <w:spacing w:after="0"/>
              <w:rPr>
                <w:sz w:val="18"/>
                <w:szCs w:val="18"/>
                <w:color w:val="auto"/>
              </w:rPr>
            </w:pPr>
          </w:p>
        </w:tc>
        <w:tc>
          <w:tcPr>
            <w:tcW w:w="4140" w:type="dxa"/>
            <w:vAlign w:val="bottom"/>
            <w:gridSpan w:val="7"/>
          </w:tcPr>
          <w:p>
            <w:pPr>
              <w:jc w:val="center"/>
              <w:ind w:right="159"/>
              <w:spacing w:after="0"/>
              <w:rPr>
                <w:sz w:val="20"/>
                <w:szCs w:val="20"/>
                <w:color w:val="auto"/>
              </w:rPr>
            </w:pPr>
            <w:r>
              <w:rPr>
                <w:rFonts w:ascii="Arial" w:cs="Arial" w:eastAsia="Arial" w:hAnsi="Arial"/>
                <w:sz w:val="16"/>
                <w:szCs w:val="16"/>
                <w:b w:val="1"/>
                <w:bCs w:val="1"/>
                <w:color w:val="auto"/>
                <w:w w:val="91"/>
              </w:rPr>
              <w:t>Six Months Ended June 30, 2020</w:t>
            </w:r>
          </w:p>
        </w:tc>
        <w:tc>
          <w:tcPr>
            <w:tcW w:w="100" w:type="dxa"/>
            <w:vAlign w:val="bottom"/>
          </w:tcPr>
          <w:p>
            <w:pPr>
              <w:spacing w:after="0"/>
              <w:rPr>
                <w:sz w:val="18"/>
                <w:szCs w:val="18"/>
                <w:color w:val="auto"/>
              </w:rPr>
            </w:pPr>
          </w:p>
        </w:tc>
        <w:tc>
          <w:tcPr>
            <w:tcW w:w="296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Foreign Currency</w:t>
            </w:r>
          </w:p>
        </w:tc>
        <w:tc>
          <w:tcPr>
            <w:tcW w:w="220" w:type="dxa"/>
            <w:vAlign w:val="bottom"/>
          </w:tcPr>
          <w:p>
            <w:pPr>
              <w:spacing w:after="0"/>
              <w:rPr>
                <w:sz w:val="20"/>
                <w:szCs w:val="20"/>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20"/>
                <w:szCs w:val="20"/>
                <w:color w:val="auto"/>
              </w:rPr>
            </w:pPr>
          </w:p>
        </w:tc>
        <w:tc>
          <w:tcPr>
            <w:tcW w:w="13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47"/>
        </w:trPr>
        <w:tc>
          <w:tcPr>
            <w:tcW w:w="212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Consolidated Gross Profit</w:t>
      </w:r>
    </w:p>
    <w:p>
      <w:pPr>
        <w:spacing w:after="0" w:line="23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principal measure of segment profitability is segment adjusted gross profit. We also present Adjusted Consolidated Gross Profit in this MD&amp;A, which is the aggregate of segment adjusted gross profit, because we believe the measure is useful in analyzing trends in our underlying, recurring gross margins. We define Adjusted Consolidated Gross Profit as our consolidated gross profit, adjusted to exclude the impact of share-based compensation expense and other non-recurring or unusual compensation items, purchase accounting-related effects, and certain business transformation-related costs. For a reconciliation of our Adjusted Consolidated Gross Profit to our total consolidated gross profit, see “G</w:t>
      </w:r>
      <w:r>
        <w:rPr>
          <w:rFonts w:ascii="Arial" w:cs="Arial" w:eastAsia="Arial" w:hAnsi="Arial"/>
          <w:sz w:val="18"/>
          <w:szCs w:val="18"/>
          <w:i w:val="1"/>
          <w:iCs w:val="1"/>
          <w:color w:val="auto"/>
        </w:rPr>
        <w:t>ross Profit and Adjusted Consolidated and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Gross Profit</w:t>
      </w:r>
      <w:r>
        <w:rPr>
          <w:rFonts w:ascii="Arial" w:cs="Arial" w:eastAsia="Arial" w:hAnsi="Arial"/>
          <w:sz w:val="18"/>
          <w:szCs w:val="18"/>
          <w:color w:val="auto"/>
        </w:rPr>
        <w:t>” above.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Adjusted EBIT and Adjusted EBITDA</w:t>
      </w:r>
    </w:p>
    <w:p>
      <w:pPr>
        <w:spacing w:after="0" w:line="239"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present Adjusted Net Income (Loss), Adjusted EBIT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are also may not be indicative of, or related to, our core operating results.</w:t>
      </w:r>
    </w:p>
    <w:p>
      <w:pPr>
        <w:spacing w:after="0" w:line="19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define Adjusted Net Income (Loss) as net income (loss)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1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define Adjusted EBIT as net income (loss), plus interest expense and income taxes, further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define Adjusted EBITDA as Adjusted EBIT plus depreciation and amortization.</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Adjusted EBIT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21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Adjusted Net Income (Loss), Adjusted EBIT or Adjusted EBITDA. Our presentation of Adjusted Net Income (Loss), Adjusted EBIT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following table presents a reconciliation of Adjusted Net Income (Loss), Adjusted EBIT and Adjusted EBITDA to our net income (loss) for the periods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 expense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Cash settled equity and special bonuses </w:t>
      </w:r>
      <w:r>
        <w:rPr>
          <w:rFonts w:ascii="Arial" w:cs="Arial" w:eastAsia="Arial" w:hAnsi="Arial"/>
          <w:sz w:val="20"/>
          <w:szCs w:val="20"/>
          <w:color w:val="auto"/>
          <w:vertAlign w:val="superscript"/>
        </w:rPr>
        <w:t>(a)</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Restructuring and transformation expenses </w:t>
      </w:r>
      <w:r>
        <w:rPr>
          <w:rFonts w:ascii="Arial" w:cs="Arial" w:eastAsia="Arial" w:hAnsi="Arial"/>
          <w:sz w:val="18"/>
          <w:szCs w:val="18"/>
          <w:color w:val="auto"/>
          <w:vertAlign w:val="superscript"/>
        </w:rPr>
        <w:t>(c)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Net gain on divestiture and investments </w:t>
      </w:r>
      <w:r>
        <w:rPr>
          <w:rFonts w:ascii="Arial" w:cs="Arial" w:eastAsia="Arial" w:hAnsi="Arial"/>
          <w:sz w:val="20"/>
          <w:szCs w:val="20"/>
          <w:color w:val="auto"/>
          <w:vertAlign w:val="superscript"/>
        </w:rPr>
        <w: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Net gain on extinguishment of debt </w:t>
      </w:r>
      <w:r>
        <w:rPr>
          <w:rFonts w:ascii="Arial" w:cs="Arial" w:eastAsia="Arial" w:hAnsi="Arial"/>
          <w:sz w:val="21"/>
          <w:szCs w:val="21"/>
          <w:color w:val="auto"/>
          <w:vertAlign w:val="superscript"/>
        </w:rPr>
        <w:t>(f)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Other (income) expense </w:t>
      </w:r>
      <w:r>
        <w:rPr>
          <w:rFonts w:ascii="Arial" w:cs="Arial" w:eastAsia="Arial" w:hAnsi="Arial"/>
          <w:sz w:val="21"/>
          <w:szCs w:val="21"/>
          <w:color w:val="auto"/>
          <w:vertAlign w:val="superscript"/>
        </w:rPr>
        <w:t>(g)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Net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(benefit) for income taxes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EBIT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8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56"/>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56"/>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56"/>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237.6</w:t>
            </w:r>
          </w:p>
        </w:tc>
      </w:tr>
      <w:tr>
        <w:trPr>
          <w:trHeight w:val="257"/>
        </w:trPr>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33"/>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-3162300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-2828290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-2502535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-2176780</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-1851025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-1525270</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-1191260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-864870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1323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320" w:space="720"/>
            <w:col w:w="6200"/>
          </w:cols>
          <w:pgMar w:left="320" w:top="125" w:right="339" w:bottom="1440" w:gutter="0" w:footer="0" w:header="0"/>
          <w:type w:val="continuous"/>
        </w:sectPr>
      </w:pPr>
    </w:p>
    <w:p>
      <w:pPr>
        <w:ind w:left="480" w:right="80" w:hanging="339"/>
        <w:spacing w:after="0" w:line="24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expense related to the cash settlement of unvested equity awards that were outstanding at the consummation of the Rackspace Acquisition (amounting to $3 million for the six months ended June 30, 2019 and zero for all other periods presented), retention bonuses, mainly relating to restructuring and integration projects, and, beginning in the second quarter of 2019, senior executive signing bonuses and relocation costs.</w:t>
      </w:r>
    </w:p>
    <w:p>
      <w:pPr>
        <w:spacing w:after="0" w:line="21" w:lineRule="exact"/>
        <w:rPr>
          <w:rFonts w:ascii="Arial" w:cs="Arial" w:eastAsia="Arial" w:hAnsi="Arial"/>
          <w:sz w:val="16"/>
          <w:szCs w:val="16"/>
          <w:color w:val="auto"/>
        </w:rPr>
      </w:pPr>
    </w:p>
    <w:p>
      <w:pPr>
        <w:ind w:left="480" w:right="40" w:hanging="344"/>
        <w:spacing w:after="0" w:line="24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the acquisition of Onica in the fourth quarter of 2019,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21" w:lineRule="exact"/>
        <w:rPr>
          <w:rFonts w:ascii="Arial" w:cs="Arial" w:eastAsia="Arial" w:hAnsi="Arial"/>
          <w:sz w:val="16"/>
          <w:szCs w:val="16"/>
          <w:color w:val="auto"/>
        </w:rPr>
      </w:pPr>
    </w:p>
    <w:p>
      <w:pPr>
        <w:ind w:left="480" w:right="300" w:hanging="339"/>
        <w:spacing w:after="0" w:line="24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spacing w:after="0" w:line="21" w:lineRule="exact"/>
        <w:rPr>
          <w:rFonts w:ascii="Arial" w:cs="Arial" w:eastAsia="Arial" w:hAnsi="Arial"/>
          <w:sz w:val="16"/>
          <w:szCs w:val="16"/>
          <w:color w:val="auto"/>
        </w:rPr>
      </w:pPr>
    </w:p>
    <w:p>
      <w:pPr>
        <w:ind w:left="480" w:right="60" w:hanging="344"/>
        <w:spacing w:after="0" w:line="25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9" w:lineRule="exact"/>
        <w:rPr>
          <w:rFonts w:ascii="Arial" w:cs="Arial" w:eastAsia="Arial" w:hAnsi="Arial"/>
          <w:sz w:val="16"/>
          <w:szCs w:val="16"/>
          <w:color w:val="auto"/>
        </w:rPr>
      </w:pPr>
    </w:p>
    <w:p>
      <w:pPr>
        <w:ind w:left="480" w:hanging="339"/>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 including our investment in CrowdStrike.</w:t>
      </w:r>
    </w:p>
    <w:p>
      <w:pPr>
        <w:spacing w:after="0" w:line="72" w:lineRule="exact"/>
        <w:rPr>
          <w:rFonts w:ascii="Arial" w:cs="Arial" w:eastAsia="Arial" w:hAnsi="Arial"/>
          <w:sz w:val="16"/>
          <w:szCs w:val="16"/>
          <w:color w:val="auto"/>
        </w:rPr>
      </w:pPr>
    </w:p>
    <w:p>
      <w:pPr>
        <w:ind w:left="480" w:hanging="33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gains on our repurchases of 8.625% Senior Notes in 2019.</w:t>
      </w:r>
    </w:p>
    <w:p>
      <w:pPr>
        <w:spacing w:after="0" w:line="72"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72"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73" w:lineRule="exact"/>
        <w:rPr>
          <w:sz w:val="20"/>
          <w:szCs w:val="20"/>
          <w:color w:val="auto"/>
        </w:rPr>
      </w:pPr>
    </w:p>
    <w:p>
      <w:pPr>
        <w:ind w:left="480" w:right="120" w:hanging="326"/>
        <w:spacing w:after="0" w:line="272"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2019 and the 2020 interim period, we based it on an average of the 2019 and estimated 2020 tax rates, recomputed to remove the tax effect of non-GAAP pre-tax adjustments and non-recurring tax adjustments, resulting in a structural non-GAAP tax rate of 26%.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00" w:lineRule="exact"/>
        <w:rPr>
          <w:rFonts w:ascii="Arial" w:cs="Arial" w:eastAsia="Arial" w:hAnsi="Arial"/>
          <w:sz w:val="14"/>
          <w:szCs w:val="14"/>
          <w:color w:val="auto"/>
        </w:rPr>
      </w:pPr>
    </w:p>
    <w:p>
      <w:pPr>
        <w:spacing w:after="0" w:line="381" w:lineRule="exact"/>
        <w:rPr>
          <w:rFonts w:ascii="Arial" w:cs="Arial" w:eastAsia="Arial" w:hAnsi="Arial"/>
          <w:sz w:val="14"/>
          <w:szCs w:val="14"/>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Per Share (EPS)</w:t>
      </w:r>
    </w:p>
    <w:p>
      <w:pPr>
        <w:spacing w:after="0" w:line="252"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define Adjusted EPS as Adjusted Net Income (Loss) divided by our GAAP average number of shares outstanding for the period on a diluted basis, after giving effect to the twelve-for-one stock split that was approved and effected on July 20, 2020 (the "Stock Split"), and further adjusted for the average number of shares associated with securities which are anti-dilutive to GAAP earnings per share but dilutive to Adjusted EPS. Management uses Adjusted EPS to evaluate the performance of our business on a comparable basis from period to period, including by adjusting for the impact of the issuance of shares that would be dilutive to Adjusted EPS. The following table reconciles Adjusted EPS to our GAAP net loss per share on a diluted basis: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Three Months Ended June</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whole dollars)</w:t>
            </w: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30, 2020</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3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net loss per share diluted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center"/>
              <w:ind w:left="1059"/>
              <w:spacing w:after="0"/>
              <w:rPr>
                <w:sz w:val="20"/>
                <w:szCs w:val="20"/>
                <w:color w:val="auto"/>
              </w:rPr>
            </w:pPr>
            <w:r>
              <w:rPr>
                <w:rFonts w:ascii="Arial" w:cs="Arial" w:eastAsia="Arial" w:hAnsi="Arial"/>
                <w:sz w:val="16"/>
                <w:szCs w:val="16"/>
                <w:color w:val="auto"/>
                <w:w w:val="90"/>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center"/>
              <w:ind w:left="999"/>
              <w:spacing w:after="0"/>
              <w:rPr>
                <w:sz w:val="20"/>
                <w:szCs w:val="20"/>
                <w:color w:val="auto"/>
              </w:rPr>
            </w:pPr>
            <w:r>
              <w:rPr>
                <w:rFonts w:ascii="Arial" w:cs="Arial" w:eastAsia="Arial" w:hAnsi="Arial"/>
                <w:sz w:val="16"/>
                <w:szCs w:val="16"/>
                <w:color w:val="auto"/>
                <w:w w:val="95"/>
              </w:rPr>
              <w:t>(0.49)</w:t>
            </w:r>
          </w:p>
        </w:tc>
      </w:tr>
      <w:tr>
        <w:trPr>
          <w:trHeight w:val="257"/>
        </w:trPr>
        <w:tc>
          <w:tcPr>
            <w:tcW w:w="7080" w:type="dxa"/>
            <w:vAlign w:val="bottom"/>
          </w:tcPr>
          <w:p>
            <w:pPr>
              <w:ind w:left="20"/>
              <w:spacing w:after="0"/>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(a)</w:t>
            </w:r>
          </w:p>
        </w:tc>
        <w:tc>
          <w:tcPr>
            <w:tcW w:w="420" w:type="dxa"/>
            <w:vAlign w:val="bottom"/>
          </w:tcPr>
          <w:p>
            <w:pPr>
              <w:spacing w:after="0"/>
              <w:rPr>
                <w:sz w:val="22"/>
                <w:szCs w:val="22"/>
                <w:color w:val="auto"/>
              </w:rPr>
            </w:pPr>
          </w:p>
        </w:tc>
        <w:tc>
          <w:tcPr>
            <w:tcW w:w="1600" w:type="dxa"/>
            <w:vAlign w:val="bottom"/>
          </w:tcPr>
          <w:p>
            <w:pPr>
              <w:jc w:val="center"/>
              <w:ind w:left="1079"/>
              <w:spacing w:after="0"/>
              <w:rPr>
                <w:sz w:val="20"/>
                <w:szCs w:val="20"/>
                <w:color w:val="auto"/>
              </w:rPr>
            </w:pPr>
            <w:r>
              <w:rPr>
                <w:rFonts w:ascii="Arial" w:cs="Arial" w:eastAsia="Arial" w:hAnsi="Arial"/>
                <w:sz w:val="16"/>
                <w:szCs w:val="16"/>
                <w:color w:val="auto"/>
                <w:w w:val="89"/>
              </w:rPr>
              <w:t>0.41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center"/>
              <w:ind w:left="1039"/>
              <w:spacing w:after="0"/>
              <w:rPr>
                <w:sz w:val="20"/>
                <w:szCs w:val="20"/>
                <w:color w:val="auto"/>
              </w:rPr>
            </w:pPr>
            <w:r>
              <w:rPr>
                <w:rFonts w:ascii="Arial" w:cs="Arial" w:eastAsia="Arial" w:hAnsi="Arial"/>
                <w:sz w:val="16"/>
                <w:szCs w:val="16"/>
                <w:color w:val="auto"/>
                <w:w w:val="89"/>
              </w:rPr>
              <w:t>0.86</w:t>
            </w:r>
          </w:p>
        </w:tc>
      </w:tr>
      <w:tr>
        <w:trPr>
          <w:trHeight w:val="25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shares dilutive after adjustments to net loss</w:t>
            </w:r>
            <w:r>
              <w:rPr>
                <w:rFonts w:ascii="Arial" w:cs="Arial" w:eastAsia="Arial" w:hAnsi="Arial"/>
                <w:sz w:val="21"/>
                <w:szCs w:val="21"/>
                <w:color w:val="auto"/>
                <w:vertAlign w:val="superscript"/>
              </w:rPr>
              <w:t>(b)</w:t>
            </w:r>
          </w:p>
        </w:tc>
        <w:tc>
          <w:tcPr>
            <w:tcW w:w="4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center"/>
              <w:ind w:left="1059"/>
              <w:spacing w:after="0"/>
              <w:rPr>
                <w:sz w:val="20"/>
                <w:szCs w:val="20"/>
                <w:color w:val="auto"/>
              </w:rPr>
            </w:pPr>
            <w:r>
              <w:rPr>
                <w:rFonts w:ascii="Arial" w:cs="Arial" w:eastAsia="Arial" w:hAnsi="Arial"/>
                <w:sz w:val="16"/>
                <w:szCs w:val="16"/>
                <w:color w:val="auto"/>
                <w:w w:val="90"/>
              </w:rPr>
              <w:t>(0.00)</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center"/>
              <w:ind w:left="999"/>
              <w:spacing w:after="0"/>
              <w:rPr>
                <w:sz w:val="20"/>
                <w:szCs w:val="20"/>
                <w:color w:val="auto"/>
              </w:rPr>
            </w:pPr>
            <w:r>
              <w:rPr>
                <w:rFonts w:ascii="Arial" w:cs="Arial" w:eastAsia="Arial" w:hAnsi="Arial"/>
                <w:sz w:val="16"/>
                <w:szCs w:val="16"/>
                <w:color w:val="auto"/>
                <w:w w:val="95"/>
              </w:rPr>
              <w:t>(0.00)</w:t>
            </w:r>
          </w:p>
        </w:tc>
      </w:tr>
      <w:tr>
        <w:trPr>
          <w:trHeight w:val="247"/>
        </w:trPr>
        <w:tc>
          <w:tcPr>
            <w:tcW w:w="7080" w:type="dxa"/>
            <w:vAlign w:val="bottom"/>
          </w:tcPr>
          <w:p>
            <w:pPr>
              <w:ind w:left="220"/>
              <w:spacing w:after="0"/>
              <w:rPr>
                <w:sz w:val="20"/>
                <w:szCs w:val="20"/>
                <w:color w:val="auto"/>
              </w:rPr>
            </w:pPr>
            <w:r>
              <w:rPr>
                <w:rFonts w:ascii="Arial" w:cs="Arial" w:eastAsia="Arial" w:hAnsi="Arial"/>
                <w:sz w:val="16"/>
                <w:szCs w:val="16"/>
                <w:color w:val="auto"/>
              </w:rPr>
              <w:t>Adjusted EPS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center"/>
              <w:ind w:left="1079"/>
              <w:spacing w:after="0"/>
              <w:rPr>
                <w:sz w:val="20"/>
                <w:szCs w:val="20"/>
                <w:color w:val="auto"/>
              </w:rPr>
            </w:pPr>
            <w:r>
              <w:rPr>
                <w:rFonts w:ascii="Arial" w:cs="Arial" w:eastAsia="Arial" w:hAnsi="Arial"/>
                <w:sz w:val="16"/>
                <w:szCs w:val="16"/>
                <w:color w:val="auto"/>
                <w:w w:val="89"/>
              </w:rPr>
              <w:t>0.21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89"/>
              </w:rPr>
              <w:t>0.37</w:t>
            </w:r>
          </w:p>
        </w:tc>
      </w:tr>
      <w:tr>
        <w:trPr>
          <w:trHeight w:val="23"/>
        </w:trPr>
        <w:tc>
          <w:tcPr>
            <w:tcW w:w="7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left="480" w:right="160" w:hanging="454"/>
        <w:spacing w:after="0" w:line="25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Adjusted Net Income (Loss) to our net loss, as noted in the above table, divided by the GAAP diluted number of shares outstanding for the relevant period, as adjusted for the Stock Split.</w:t>
      </w:r>
    </w:p>
    <w:p>
      <w:pPr>
        <w:spacing w:after="0" w:line="9" w:lineRule="exact"/>
        <w:rPr>
          <w:rFonts w:ascii="Arial" w:cs="Arial" w:eastAsia="Arial" w:hAnsi="Arial"/>
          <w:sz w:val="16"/>
          <w:szCs w:val="16"/>
          <w:color w:val="auto"/>
        </w:rPr>
      </w:pPr>
    </w:p>
    <w:p>
      <w:pPr>
        <w:ind w:left="480" w:right="120" w:hanging="454"/>
        <w:spacing w:after="0" w:line="23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impact of 1,874,474 and 1,377,162 shares of common stock relating to equity awards for the three and six months ended June 30, 2020, respectively, which, due to rounding, did not have an impact on Adjusted EPS for the periods presented. These awards would have been anti-dilutive to GAAP net loss per share, and are therefore not included in the calculation of GAAP EPS, but would be dilutive to Adjusted EPS and are therefore included in the share count for purposes of presenting this non-GAAP measure.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if necessary, borrowings under the Revolving Credit Facility, borrowings under our Receivables Financing Facility, and other sources of financing as described below. As of June 30, 2020, the Revolving Credit Facility provided for up to $225 million of borrowings, none of which was drawn as of June 30, 2020. The available borrowing capacity under the Revolving Credit Facility increased to $375 million on August 7, 2020. As of June 30, 2020. the Receivables Financing Facility had a total borrowing capacity of $93 million, and $65 million was borrowed and outstanding as of June 30, 2020.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the Receivables Financing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and 8.625% Senior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if applicable), for cash or other consideration. In connection with our completed IPO on August 7, 2020, further discussed below, we expected to use a portion of the net proceeds from the offering to redeem, retire or repurchase $600 million aggregate principal amount of our outstanding 8.625% Senior Notes and to pay related premiums, fees and expenses. On August 12, 2020, Rackspace Technology Global commenced a tender offer to purchase for cash up to $600 million aggregate principal amount of the 8.625% Senior Notes. As of the end of the day, 12:00 midnight, New York City time, on August 25, 2020, the early tender time, holders of the 8.625% Senior Notes had validly tendered $508 million aggregate principal amount of the 8.625% Senior Notes. On August 27, 2020, Rackspace Technology Global purchased $508 million aggregate principal amount of the 8.625% Senior Notes for aggregate cash of approximately $549 million, which reflected a price of 105.75% of the principal amount thereof, plus accrued and unpaid interest to, but not including, August 27, 2020, and canceled $508 million of the 8.625% Senior Notes following the purchase. The tender offer is scheduled to expire at the end of the day, 12:00 midnight, New York City time, on Wednesday, September 9, 2020, unless extended or earlier terminated by Rackspace Technology Global.</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8.625% Senior Notes</w:t>
      </w:r>
      <w:r>
        <w:rPr>
          <w:rFonts w:ascii="Arial" w:cs="Arial" w:eastAsia="Arial" w:hAnsi="Arial"/>
          <w:sz w:val="18"/>
          <w:szCs w:val="18"/>
          <w:color w:val="auto"/>
        </w:rPr>
        <w:t>” below for more information on repurchases of debt completed during the six months ended June 30, 2019.</w:t>
      </w:r>
    </w:p>
    <w:p>
      <w:pPr>
        <w:spacing w:after="0" w:line="23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At June 30, 2020, we held $161 million in cash and cash equivalents (not including $3 million in restricted cash, which is included in "Other non-current assets"), of which $71 million was held by foreign entities.</w:t>
      </w:r>
    </w:p>
    <w:p>
      <w:pPr>
        <w:spacing w:after="0" w:line="19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$150 million outstanding with respect to these arrangements as of June 30, 2020. We may choose to utilize these various sources of funding in future periods.</w:t>
      </w:r>
    </w:p>
    <w:p>
      <w:pPr>
        <w:spacing w:after="0" w:line="21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also lease certain equipment and real estate under operating and finance lease agreements. In June 2020, we entered into lease amendments for two of our data centers to, among other items, extend the lease term. Both lease amendments were deemed a lease modification, which resulted in a change of classification from operating leases to finance leases of $220 million. We had $526 million outstanding with respect to operating and finance lease agreements as of June 30, 2020. We may choose to utilize such leasing arrangements in future periods.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June 30, 2020, we had $3,930 million aggregate principal amount outstanding under our Term Loan Facility and 8.625% Senior Notes, with $225 million of borrowing capacity available under the Revolving Credit Facility. Additionally, at June 30, 2020, we had $65 million principal outstanding with $28 million in incremental borrowing capacity under the Receivables Financing Facility. Our liquidity requirements are significant, primarily due to debt service requirements.</w:t>
      </w:r>
    </w:p>
    <w:p>
      <w:pPr>
        <w:spacing w:after="0" w:line="214"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proceeds of $667 million from sales of shares in the IPO, after deducting underwriters' discounts and commissions of $37 million, but before deducting offering expenses of approximately $8 million. As noted above, we used a portion of the net proceeds from the IPO to repurchase $508 million aggregate principal amount of our outstanding 8.625% Senior Notes. We may repurchase up to an additional $92 million aggregate principal amount of our outstanding 8.625% Senior Notes under the tender offer expiring at the end of the day, 12:00 midnight, New York City time, on Wednesday, September 9, 2020. The remainder of the net proceeds will be used for general corporate purposes. Our management team will retain broad discretion to allocate the net proceeds of this offering for general corporate purposes. Pending use as described above, we may invest the net proceeds from this offering in short-term, investment-grade, interest-bearing securities, such as money market accounts, certificates of deposit, commercial paper and guaranteed obligations of the U.S. government or repay any outstanding borrowings under the Revolving Credit Facility or the Receivables Financing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Our First Lien Credit Agreement governed the Term Loan Facility and the Revolving Credit Facility (together, the Senior Facilities). The Term Loan Facility matures on November 3, 2023 and the Revolving Credit Facility was originally set to mature on November 3, 2021. On August 7, 2020, we increased the size of the Revolving Credit Facility to $375 million and extended the maturity date of the Revolving Credit Facility to August 7, 2025.</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June 30, 2020, the interest rate on the Term Loan Facility was 4.00%, and the outstanding principal balance was $2,810 million. We are required to make quarterly amortization payments of $7 million per quarter, with the balance due at maturity. We have entered into interest rate swap agreements to manage the interest rate risk associated with interest payments on the Term Loan Facility that result from fluctuations in the LIBOR rate. See Item 1 of Part I, Financial Statements - Note 11, "Derivatives" for more information on the interest rate swap agreements.</w:t>
      </w:r>
    </w:p>
    <w:p>
      <w:pPr>
        <w:spacing w:after="0" w:line="19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Revolving Credit Facility has historically had an applicable margin of 4.00% for LIBOR loans and 3.00% for base rate loans and is subject to step-downs based on the net first lien leverage ratio. In connection with the amendment to the First Lien Credit Agreement on August 7, 2020, we reduced the applicable margin for the Revolving Credit Facility to 3.00% for LIBOR loans and 2.00% for base rate loans, with a 1.00% LIBOR “floor” applicable to LIBOR loans. The Revolving Credit Facility also includes a commitment fee equal to 0.50% per annum in respect of the unused commitments that is due quarterly. This fee is subject to one step-down based on the net first lien leverage ratio.</w:t>
      </w:r>
    </w:p>
    <w:p>
      <w:pPr>
        <w:spacing w:after="0" w:line="203"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subject to customary breakage costs.</w:t>
      </w:r>
    </w:p>
    <w:p>
      <w:pPr>
        <w:spacing w:after="0" w:line="21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Over the course of the six months ended June 30, 2020, we borrowed and repaid an aggregate $245 million under the Revolving Credit Facility. As of June 30, 2020, we had no outstanding borrowings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w:t>
      </w:r>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8.625% Senior Notes will mature on November 15, 2024 and bear interest at a fixed rate of 8.625% per year, payable semi-annually on each May 15 and November 15 through maturity. The 8.625% Senior Notes are not subject to registration rights.</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Rackspace Technology Global is the issuer of the 8.625% Senior Notes, and obligations under the 8.625% Senior Notes are guaranteed on a senior unsecured basis by all of Rackspace Technology Global’s wholly-owned domestic restricted subsidiaries (as subsidiary guarantors) that guarantee the Senior Facilities. The 8.625% Senior Notes are effectively junior to the indebtedness under the Senior Facilities, to the extent of the collateral securing the Senior Facilities. The Indenture describes certain terms and conditions under which other current and future domestic subsidiaries are required to become guarantors of the 8.625% Senior Notes.</w:t>
      </w:r>
    </w:p>
    <w:p>
      <w:pPr>
        <w:spacing w:after="0" w:line="215"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Rackspace Technology Global may redeem the 8.625% Senior Notes at its option, in whole at any time or in part from time to time, at the following redemption prices: prior to November 15, 2020, at a redemption price equal to 106.469% of the principal amount, plus accrued and unpaid interest, if any, to but excluding the redemption date; from November 15, 2020 to November 15, 2021, at a redemption price equal to 104.313% of the principal amount, plus accrued and unpaid interest, if any, to but excluding the redemption date; from November 15, 2021 to November 15, 2022, at a redemption price equal to 102.156% of the principal amount, plus accrued and unpaid interest, if any, to but excluding the redemption date; and from November 15, 2022 and thereafter, at a redemption price equal to 100.000% of the principal amount, plus accrued and unpaid interest, if any, to but excluding the redemption date.</w:t>
      </w:r>
    </w:p>
    <w:p>
      <w:pPr>
        <w:spacing w:after="0" w:line="191"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During the six months ended June 30, 2019, we repurchased and surrendered for cancellation $74 million aggregate principal amount of 8.625% Senior Notes for $64 million, including accrued interest of $1 million and excluding related fees and expenses. The outstanding principal balance of the 8.625% Senior Notes was $1,120 million as of June 30, 2020.</w:t>
      </w:r>
    </w:p>
    <w:p>
      <w:pPr>
        <w:spacing w:after="0" w:line="21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On August 12, 2020, Rackspace Technology Global commenced a tender offer to purchase for cash up to $600 million aggregate principal amount of the 8.625% Senior Notes. As of the end of the day, 12:00 midnight, New York City time, on August 25, 2020, the early tender time, holders of the 8.625% Senior Notes had validly tendered $508 million aggregate principal amount of the 8.625% Senior Notes. On August 27, 2020, Rackspace Technology Global purchased $508 million aggregate principal amount of the 8.625% Senior Notes for aggregate cash of $549 million, which reflected a price of 105.75% of the principal amount thereof, plus accrued and unpaid interest to, but not including, August 27, 2020, and canceled $508 million of the 8.625% Senior Notes following the purchase. The tender offer is scheduled to expire at the end of the day, 12:00 midnight, New York City time, on Wednesday, September 9, 2020, unless extended or earlier terminated by Rackspace Technology Global.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Term Loan Facility is not subject to a financial maintenance covenant. As of June 30, 2020, our Revolving Credit Facility included a financial maintenance covenant that limits the borrower’s net first lien leverage ratio to a maximum of 3.50 to 1.00. This ratio was modified to 5.00 to 1.00 on August 7, 2020 in the amendment of the First Lien Credit Agreement.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Indenture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we were in compliance with all covenants under the Senior Facilities and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Financing Facility</w:t>
      </w:r>
    </w:p>
    <w:p>
      <w:pPr>
        <w:spacing w:after="0" w:line="25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 March 19, 2020, Rackspace US, Inc. (“Rackspace US”), a Delaware corporation and our wholly-owned indirect subsidiary, entered into the Receivables Financing Facility. Under the Receivables Financing Facility, (i) certain of our subsidiaries sell or otherwise convey certain trade receivables and related rights (the “Conveyed Receivables”) to Rackspace US and (ii) Rackspace US then sells, contributes or otherwise conveys certain Conveyed Receivables to our wholly owned bankruptcy-remote subsidiary (the “SPV”).</w:t>
      </w:r>
    </w:p>
    <w:p>
      <w:pPr>
        <w:spacing w:after="0" w:line="214"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SPV may thereafter make borrowings from the lenders under the Receivables Financing Facility, which borrowings will be secured by the Conveyed Receivables. An affiliate of the administrative agent under the Receivables Financing Facility, in its capacity as a lender, has committed an amount up to $100 million under the Receivables Financing Facility. Rackspace US services and administers the Conveyed Receivables on behalf of the SPV. Rackspace Technology Global provides a performance guaranty to the administrative agent on behalf of the secured parties in respect of the obligations of the subsidiaries originating the receivables and Rackspace US, as servicer, including, without limitation, obligations to pay the purchase price and indemnity obligations.</w:t>
      </w:r>
    </w:p>
    <w:p>
      <w:pPr>
        <w:spacing w:after="0" w:line="21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scheduled termination date of the Receivables Financing Facility is March 21, 2022, subject to earlier termination due to a termination event described in the agreement governing the Receivables Financing Facility.</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Advances bear interest based on an index rate plus a margin. As of June 30, 2020, the interest rate on borrowings under the Receivables Financing Facility was 3.01%. The SPV is also required to pay a monthly commitment fee to each lender based on the amount of such lender’s outstanding commitment. The Receivables Financing Facility contains representations and warranties, affirmative and negative covenants and events of default that are customary for financings of this type.</w:t>
      </w:r>
    </w:p>
    <w:p>
      <w:pPr>
        <w:spacing w:after="0" w:line="214"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of June 30, 2020, our total borrowing capacity under the Receivables Financing Facility was $93 million and $65 million was borrowed and outstanding. The Receivables Financing Facility requires us to comply with a leverage ratio and an interest coverage ratio. We were in compliance with all applicable covenants under the Receivables Financing Facility as of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5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37465</wp:posOffset>
            </wp:positionV>
            <wp:extent cx="1954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7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6"/>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Customer gear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23"/>
        </w:trPr>
        <w:tc>
          <w:tcPr>
            <w:tcW w:w="7940" w:type="dxa"/>
            <w:vAlign w:val="bottom"/>
          </w:tcPr>
          <w:p>
            <w:pPr>
              <w:ind w:left="120"/>
              <w:spacing w:after="0"/>
              <w:rPr>
                <w:sz w:val="20"/>
                <w:szCs w:val="20"/>
                <w:color w:val="auto"/>
              </w:rPr>
            </w:pPr>
            <w:r>
              <w:rPr>
                <w:rFonts w:ascii="Arial" w:cs="Arial" w:eastAsia="Arial" w:hAnsi="Arial"/>
                <w:sz w:val="16"/>
                <w:szCs w:val="16"/>
                <w:color w:val="auto"/>
              </w:rPr>
              <w:t>Data center build outs</w:t>
            </w: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 build outs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7940" w:type="dxa"/>
            <w:vAlign w:val="bottom"/>
          </w:tcPr>
          <w:p>
            <w:pPr>
              <w:ind w:left="120"/>
              <w:spacing w:after="0"/>
              <w:rPr>
                <w:sz w:val="20"/>
                <w:szCs w:val="20"/>
                <w:color w:val="auto"/>
              </w:rPr>
            </w:pPr>
            <w:r>
              <w:rPr>
                <w:rFonts w:ascii="Arial" w:cs="Arial" w:eastAsia="Arial" w:hAnsi="Arial"/>
                <w:sz w:val="16"/>
                <w:szCs w:val="16"/>
                <w:color w:val="auto"/>
              </w:rPr>
              <w:t>Capitalized software and other projects</w:t>
            </w: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33"/>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capital expenditures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r>
      <w:tr>
        <w:trPr>
          <w:trHeight w:val="33"/>
        </w:trPr>
        <w:tc>
          <w:tcPr>
            <w:tcW w:w="7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Capital expenditures were $126 million in the six months ended June 30, 2020, compared to $97 million in the six months ended June 30, 2019, an increase of $30 million. The majority of the increase is due to higher success-based spend to deploy customer environments and the refresh of certain data center equipment within our normal maintenance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58"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37465</wp:posOffset>
            </wp:positionV>
            <wp:extent cx="1954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89"/>
              </w:rPr>
              <w:t>98.8</w:t>
            </w:r>
          </w:p>
        </w:tc>
      </w:tr>
      <w:tr>
        <w:trPr>
          <w:trHeight w:val="224"/>
        </w:trPr>
        <w:tc>
          <w:tcPr>
            <w:tcW w:w="81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579"/>
              <w:spacing w:after="0"/>
              <w:rPr>
                <w:sz w:val="20"/>
                <w:szCs w:val="20"/>
                <w:color w:val="auto"/>
              </w:rPr>
            </w:pPr>
            <w:r>
              <w:rPr>
                <w:rFonts w:ascii="Arial" w:cs="Arial" w:eastAsia="Arial" w:hAnsi="Arial"/>
                <w:sz w:val="16"/>
                <w:szCs w:val="16"/>
                <w:color w:val="auto"/>
                <w:w w:val="95"/>
              </w:rPr>
              <w:t>(62.8)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89"/>
              </w:rPr>
              <w:t>43.3</w:t>
            </w:r>
          </w:p>
        </w:tc>
      </w:tr>
      <w:tr>
        <w:trPr>
          <w:trHeight w:val="33"/>
        </w:trPr>
        <w:tc>
          <w:tcPr>
            <w:tcW w:w="8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Net cash provided by operating activities decreased $14 million, or 12%, from the first six months of 2019 compared to the first six months of 2020. This decrease was largely driven by higher operating expense payments, largely for third-party infrastructure costs, and employee-related payments of $128 million and $19 million, respectively, mainly due to the acquisition of Onica. These variances were partially offset by higher cash collections of $114 million, primarily reflecting higher revenue levels resulting from the acquisition of Onica, and a $19 million decrease in obligations to settle share-based awards in connection with the Rackspace Acquisition, as the final payment was made during the three months ended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Net cash used in investing activities decreased $31 million, or 33%, from the first six months of 2019 compared to the first six months of 2020. This change was mainly due to a $48 million decrease in cash purchases of property, equipment and software, as we increased our usage of financing arrangements in place of upfront cash payments to procure capital assets. The impact of this decrease was partially offset by the receipt of $17 million in proceeds during the first six months of 2019 related to the repayment of a promissory note receivable in conjunction with the 2017 sale of our Mailgun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Net cash used in financing activities was $100 million for the first six months of 2019 and net cash provided by financing activities was $43 million for first six months of 2020. The change was primarily driven by net borrowings of $65 million during the six months ended June 30, 2020, which remained outstanding under the Receivables Financing Facility at June 30, 2020. Debt repayment activity for the six months ended June 30, 2019 included a $63 million cash outflow for the repurchase and cancellation of a portion of our 8.625% Senior Notes.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During the six months ended June 30, 2020, we entered into contractual obligations totaling $290 million, of which $204 million is due to operating and finance lease obligations and financing obligations related to the purchase of equipment; and $65 million is due to borrowings under our Receivables Financing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Prospectus,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5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are a large consumer of power. In the six months ended June 30, 2020, we expensed approximately $20 million that was paid to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and London areas that allow us to procure power either on a fixed price or on a variable price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are exposed to interest rate risk associated with fluctuations in interest rates on our floating-rate debt under our Senior Facilities, which includes our $225 million Revolving Credit Facility (which increased to $375 million on August 7, 2020) and $2,810 million outstanding under the Term Loan Facility, and under our $93 million Receivables Financing Facility. As of June 30, 2020, there were no outstanding borrowings under the Revolving Credit Facility and therefore our only variable-rate debt outstanding was the $2,810 million outstanding under the Term Loan Facility and $65 million outstanding under the Receivables Financing Facility. As of June 30, 2020, assuming the Revolving Credit Facility and Receivables Financing Facility were fully drawn, each 0.125% change in assumed blended interest rates would result in a $4 million change in annual interest expense on indebtedness under the Senior Facilities and the Receivables Financing Facility.</w:t>
      </w:r>
    </w:p>
    <w:p>
      <w:pPr>
        <w:spacing w:after="0" w:line="22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our floating-rate Term Loan Facility. The remaining three swap agreements in effect as of June 30,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1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June 30, 2020, two swaps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6"/>
          <w:szCs w:val="16"/>
          <w:i w:val="1"/>
          <w:iCs w:val="1"/>
          <w:color w:val="auto"/>
        </w:rPr>
        <w:t>Constant Currency Revenue</w:t>
      </w:r>
      <w:r>
        <w:rPr>
          <w:rFonts w:ascii="Arial" w:cs="Arial" w:eastAsia="Arial" w:hAnsi="Arial"/>
          <w:sz w:val="16"/>
          <w:szCs w:val="16"/>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2020, we recognized foreign currency transaction losses of $4.3 million within “Other income (expense), net” in our Consolidated Statements of Comprehensive Income (Loss). As we grow our international operations, our exposure to foreign currency translation and transaction risk could become more significant.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64"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214"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In March 2020, we entered into three foreign currency forward contracts to manage our exposure to movements in the British pound sterling, Euro, and Mexican peso. All three contracts settled on June 30, 2020, and we made a final net payment of $1.7 million resulting from the following:</w:t>
      </w:r>
    </w:p>
    <w:p>
      <w:pPr>
        <w:spacing w:after="0" w:line="173" w:lineRule="exact"/>
        <w:rPr>
          <w:sz w:val="20"/>
          <w:szCs w:val="20"/>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sold £32 million at a rate of 1.1902 British pound to U.S. dollar and received $38.1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sold €6 million at a rate of 1.0921 Euro to U.S. dollar and received $6.6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sold $2.1 million at a rate of 24.2040 U.S. dollar to Mexican peso and received Mex$50 million.</w:t>
      </w:r>
    </w:p>
    <w:p>
      <w:pPr>
        <w:spacing w:after="0" w:line="238"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In June 2020, we entered into three foreign currency forward contracts to manage our exposure to movements in the British pound sterling, Euro, and Mexican peso. All three contracts have a maturity date of September 30, 2020. On the maturity date, the following will occur:</w:t>
      </w:r>
    </w:p>
    <w:p>
      <w:pPr>
        <w:spacing w:after="0" w:line="173"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sell £32 million at a rate of 1.24095 British pound to U.S. dollar and receive $39.7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sell €6 million at a rate of 1.1241 Euro to U.S. dollar and receive $6.7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sell $2.2 million at a rate of 23.0330 U.S. dollar to Mexican peso and receive Mex$50 million.</w:t>
      </w:r>
    </w:p>
    <w:p>
      <w:pPr>
        <w:spacing w:after="0" w:line="238" w:lineRule="exact"/>
        <w:rPr>
          <w:sz w:val="20"/>
          <w:szCs w:val="20"/>
          <w:color w:val="auto"/>
        </w:rPr>
      </w:pPr>
    </w:p>
    <w:p>
      <w:pPr>
        <w:ind w:right="560" w:firstLine="486"/>
        <w:spacing w:after="0" w:line="261" w:lineRule="auto"/>
        <w:rPr>
          <w:sz w:val="20"/>
          <w:szCs w:val="20"/>
          <w:color w:val="auto"/>
        </w:rPr>
      </w:pPr>
      <w:r>
        <w:rPr>
          <w:rFonts w:ascii="Arial" w:cs="Arial" w:eastAsia="Arial" w:hAnsi="Arial"/>
          <w:sz w:val="18"/>
          <w:szCs w:val="18"/>
          <w:color w:val="auto"/>
        </w:rPr>
        <w:t>See Item 1 of Part I, Financial Statements - Note 11, "Derivatives," for more information on interest rate swaps and foreign currency hedging contracts.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58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cannot predict the impact, if any, that any of the matters described above may have on our business, results of operations, financial position, or cash flows. Because of the inherent uncertainties of such matters, including the early stage and lack of specific damage claims in many of them, we cannot estimate the range of possible losses from them.</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disclosed under the heading “Risk Factors” in our Registration Statement on Form S-1 (File No. 333-239794 ), as amended, the risk factors which materially affect our business, financial condition or results of operations. There have been no material changes from the risk factors previously disclosed.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1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January 1, 2020 through August 5, 2020 (the date of the filing of our Registration Statement on Form S-8, File No. 333-240498):</w:t>
      </w:r>
    </w:p>
    <w:p>
      <w:pPr>
        <w:spacing w:after="0" w:line="252" w:lineRule="exact"/>
        <w:rPr>
          <w:sz w:val="20"/>
          <w:szCs w:val="20"/>
          <w:color w:val="auto"/>
        </w:rPr>
      </w:pPr>
    </w:p>
    <w:p>
      <w:pPr>
        <w:ind w:left="660" w:right="240" w:hanging="166"/>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granted to our directors, officers, employees, consultants, and other service providers options to purchase 8,162,772, shares of our common stock with per share exercise prices ranging from $11.41 to $13.62 under the Rackspace Technology, Inc. Equity Incentive Plan (the “2017 Incentive Plan”).</w:t>
      </w:r>
    </w:p>
    <w:p>
      <w:pPr>
        <w:spacing w:after="0" w:line="210" w:lineRule="exact"/>
        <w:rPr>
          <w:rFonts w:ascii="Arial" w:cs="Arial" w:eastAsia="Arial" w:hAnsi="Arial"/>
          <w:sz w:val="18"/>
          <w:szCs w:val="18"/>
          <w:color w:val="auto"/>
        </w:rPr>
      </w:pPr>
    </w:p>
    <w:p>
      <w:pPr>
        <w:ind w:left="660" w:right="160" w:hanging="166"/>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issued to our directors, employees, consultants and other service providers an aggregate of 72,768 shares of our common stock at a per share purchase price ranging from $8.33 to $15.54 pursuant to exercises of options granted under the 2017 Incentive Plan.</w:t>
      </w:r>
    </w:p>
    <w:p>
      <w:pPr>
        <w:spacing w:after="0" w:line="173" w:lineRule="exact"/>
        <w:rPr>
          <w:rFonts w:ascii="Arial" w:cs="Arial" w:eastAsia="Arial" w:hAnsi="Arial"/>
          <w:sz w:val="17"/>
          <w:szCs w:val="17"/>
          <w:color w:val="auto"/>
        </w:rPr>
      </w:pPr>
    </w:p>
    <w:p>
      <w:pPr>
        <w:ind w:left="660" w:right="140" w:hanging="166"/>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granted to our directors and employees restricted stock units (“RSUs”) for an aggregate of 6,564 shares of our common stock under the 2017 Incentive Plan.</w:t>
      </w:r>
    </w:p>
    <w:p>
      <w:pPr>
        <w:spacing w:after="0" w:line="197" w:lineRule="exact"/>
        <w:rPr>
          <w:rFonts w:ascii="Arial" w:cs="Arial" w:eastAsia="Arial" w:hAnsi="Arial"/>
          <w:sz w:val="18"/>
          <w:szCs w:val="18"/>
          <w:color w:val="auto"/>
        </w:rPr>
      </w:pPr>
    </w:p>
    <w:p>
      <w:pPr>
        <w:ind w:left="660" w:right="320" w:hanging="166"/>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directors and employees received an aggregate of 86,364 shares of our common stock upon the vesting of RSUs under the 2017 Incentive Plan.</w:t>
      </w:r>
    </w:p>
    <w:p>
      <w:pPr>
        <w:spacing w:after="0" w:line="19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granted to our directors restricted stock awards (“RSAs”) for an aggregate of 27,492 shares of our common stock under the 2017 Incentive Plan.</w:t>
      </w:r>
    </w:p>
    <w:p>
      <w:pPr>
        <w:spacing w:after="0" w:line="19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directors received an aggregate of 17,460 shares of our common stock upon the vesting of RSAs under the 2017 Incentive Plan.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offers, sales and issuances of the securities described in the immediately preceding section were deemed to be exempt from registration either under Rule 701 promulgated under the Securities Act, in that the transactions were under compensatory benefit plans and contracts relating to compensation, or under Section 4(a)(2) in that the transactions were by an issuer and did not involve any public offering within the meaning of Section 4(a)</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(2). The recipients of such securities were our employees, directors, consultants or other service providers and received the securities under the 2017 Incentive Plan.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Stock Split on July 20, 2020, we issued approximately 151,760,933 shares of common stock.</w:t>
      </w:r>
    </w:p>
    <w:p>
      <w:pPr>
        <w:spacing w:after="0" w:line="252"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All recipients had adequate access, through their relationships with us, to information about us. The offers, sales and issuances of these securities were made without any general solicitation or advertising.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On August 7, 2020, we completed the IPO, in which we issued and sold 33,500,000 shares of our common stock at a public offering price of $21.00 per share, for an aggregate offering price of $703.5 million. The underwriters may exercise their option to purchase up to an additional 5,025,000 shares at $21.00 per share for 30 days after the pricing of the IPO on August 4, 2020. All shares in the IPO were registered under the Securities Act pursuant to a Registration Statement on Form S-1 (File No. 333-239794), which was declared effective by the SEC on August 4, 2020. The managing underwriters of our IPO were Goldman Sachs &amp; Co. LLC, Citigroup Global Markets Inc. and J.P. Morgan Securities LLC. We incurred underwriting discounts and commissions of approximately $36.9 million and estimate our offering expenses to be $8.4 million. Thus, our net offering proceeds, after deducting underwriting discounts and commissions and other offering costs, were approximately $658.1 million. No payments were made to our directors or officers or their associates, holders of 10% or more of any class of our equity securities or any affiliates.</w:t>
      </w:r>
    </w:p>
    <w:p>
      <w:pPr>
        <w:spacing w:after="0" w:line="20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net proceeds from the IPO were contributed by us as capital contributions indirectly through our subsidiaries to Rackspace Technology Global. We used a portion of the net proceeds from the IPO to repurchase and cancel $507.6 million aggregate principal amount of our outstanding 8.625% Senior Notes. We may repurchase up to an additional $92.4 million aggregate principal amount of our outstanding 8.625% Senior Notes under the tender offer expiring at the end of the day, 12:00 midnight, New York City time, on Wednesday, September 9, 2020. The remainder of the net proceeds will be used for general corporate purposes. Our management team will retain broad discretion to allocate the net proceeds of this offering for general corporate purposes. Pending use as described above, we may invest the net proceeds from this offering in short-term, investment-grade, interest-bearing securities, such as money market accounts, certificates of deposit, commercial paper and guaranteed obligations of the U.S. government or repay any outstanding borrowings under the Revolving Credit Facility or the Receivables Financing Facility.</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rFonts w:ascii="Arial" w:cs="Arial" w:eastAsia="Arial" w:hAnsi="Arial"/>
                <w:sz w:val="18"/>
                <w:szCs w:val="18"/>
                <w:u w:val="single" w:color="auto"/>
                <w:color w:val="0000FF"/>
                <w:w w:val="90"/>
              </w:rPr>
            </w:pPr>
            <w:hyperlink w:anchor="page2">
              <w:r>
                <w:rPr>
                  <w:rFonts w:ascii="Arial" w:cs="Arial" w:eastAsia="Arial" w:hAnsi="Arial"/>
                  <w:sz w:val="18"/>
                  <w:szCs w:val="18"/>
                  <w:u w:val="single" w:color="auto"/>
                  <w:color w:val="0000FF"/>
                  <w:w w:val="90"/>
                </w:rPr>
                <w:t>Table of Contents</w:t>
              </w:r>
            </w:hyperlink>
          </w:p>
        </w:tc>
        <w:tc>
          <w:tcPr>
            <w:tcW w:w="69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810"/>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3"/>
          </w:tcPr>
          <w:p>
            <w:pPr>
              <w:ind w:left="3500"/>
              <w:spacing w:after="0"/>
              <w:rPr>
                <w:sz w:val="20"/>
                <w:szCs w:val="20"/>
                <w:color w:val="auto"/>
              </w:rPr>
            </w:pPr>
            <w:r>
              <w:rPr>
                <w:rFonts w:ascii="Arial" w:cs="Arial" w:eastAsia="Arial" w:hAnsi="Arial"/>
                <w:sz w:val="18"/>
                <w:szCs w:val="18"/>
                <w:b w:val="1"/>
                <w:bCs w:val="1"/>
                <w:color w:val="auto"/>
              </w:rPr>
              <w:t>ITEM 6 – EXHIBITS</w:t>
            </w:r>
          </w:p>
        </w:tc>
      </w:tr>
      <w:tr>
        <w:trPr>
          <w:trHeight w:val="495"/>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6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940" w:type="dxa"/>
            <w:vAlign w:val="bottom"/>
            <w:gridSpan w:val="3"/>
          </w:tcPr>
          <w:p>
            <w:pPr>
              <w:ind w:left="42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6"/>
        </w:trPr>
        <w:tc>
          <w:tcPr>
            <w:tcW w:w="13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8"/>
              </w:rPr>
              <w:t>10.1†</w:t>
            </w:r>
          </w:p>
        </w:tc>
        <w:tc>
          <w:tcPr>
            <w:tcW w:w="9940" w:type="dxa"/>
            <w:vAlign w:val="bottom"/>
            <w:gridSpan w:val="3"/>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u w:val="single" w:color="auto"/>
                  <w:color w:val="0000FF"/>
                  <w:w w:val="92"/>
                </w:rPr>
                <w:t>Retention Agreement, between Rackspace US, Inc. and Dustin Semach, dated as of May 5, 2020</w:t>
              </w:r>
              <w:r>
                <w:rPr>
                  <w:rFonts w:ascii="Arial" w:cs="Arial" w:eastAsia="Arial" w:hAnsi="Arial"/>
                  <w:sz w:val="18"/>
                  <w:szCs w:val="18"/>
                  <w:color w:val="0000FF"/>
                  <w:w w:val="92"/>
                </w:rPr>
                <w:t xml:space="preserve"> (incorporated by reference to Exhibit</w:t>
              </w:r>
            </w:hyperlink>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2"/>
          </w:tcPr>
          <w:p>
            <w:pPr>
              <w:spacing w:after="0" w:line="195" w:lineRule="exact"/>
              <w:rPr>
                <w:rFonts w:ascii="Arial" w:cs="Arial" w:eastAsia="Arial" w:hAnsi="Arial"/>
                <w:sz w:val="18"/>
                <w:szCs w:val="18"/>
                <w:u w:val="single" w:color="auto"/>
                <w:color w:val="0000FF"/>
                <w:w w:val="91"/>
              </w:rPr>
            </w:pPr>
            <w:hyperlink r:id="rId113">
              <w:r>
                <w:rPr>
                  <w:rFonts w:ascii="Arial" w:cs="Arial" w:eastAsia="Arial" w:hAnsi="Arial"/>
                  <w:sz w:val="18"/>
                  <w:szCs w:val="18"/>
                  <w:u w:val="single" w:color="auto"/>
                  <w:color w:val="0000FF"/>
                  <w:w w:val="91"/>
                </w:rPr>
                <w:t>10.33 to Amendment No.1 to the Registration Statement filed with the SEC by Rackspace Technology, Inc. on July 20, 2020 (File No.</w:t>
              </w:r>
            </w:hyperlink>
          </w:p>
        </w:tc>
        <w:tc>
          <w:tcPr>
            <w:tcW w:w="260" w:type="dxa"/>
            <w:vAlign w:val="bottom"/>
          </w:tcPr>
          <w:p>
            <w:pPr>
              <w:spacing w:after="0"/>
              <w:rPr>
                <w:sz w:val="16"/>
                <w:szCs w:val="16"/>
                <w:color w:val="auto"/>
              </w:rPr>
            </w:pP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333-239794))</w:t>
              </w:r>
            </w:hyperlink>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3"/>
                <w:szCs w:val="23"/>
                <w:color w:val="auto"/>
              </w:rPr>
            </w:pPr>
          </w:p>
        </w:tc>
        <w:tc>
          <w:tcPr>
            <w:tcW w:w="9940" w:type="dxa"/>
            <w:vAlign w:val="bottom"/>
            <w:gridSpan w:val="3"/>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the Chief Executive Officer pursuant to Section 302 of the Sarbanes-Oxley Act of 2002</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3"/>
                <w:szCs w:val="23"/>
                <w:color w:val="auto"/>
              </w:rPr>
            </w:pPr>
          </w:p>
        </w:tc>
        <w:tc>
          <w:tcPr>
            <w:tcW w:w="994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the Chief Financial Officer pursuant to Section 302 of the Sarbanes-Oxley Act of 2002</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940" w:type="dxa"/>
            <w:vAlign w:val="bottom"/>
            <w:gridSpan w:val="3"/>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of the Chief Executive Officer pursuant to Section 906 of the Sarbanes-Oxley Act of 2002</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940" w:type="dxa"/>
            <w:vAlign w:val="bottom"/>
            <w:gridSpan w:val="3"/>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the Chief Financial Officer pursuant to Section 906 of the Sarbanes-Oxley Act of 2002</w:t>
              </w:r>
            </w:hyperlink>
          </w:p>
        </w:tc>
      </w:tr>
      <w:tr>
        <w:trPr>
          <w:trHeight w:val="242"/>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101.INS*</w:t>
            </w:r>
          </w:p>
        </w:tc>
        <w:tc>
          <w:tcPr>
            <w:tcW w:w="9940" w:type="dxa"/>
            <w:vAlign w:val="bottom"/>
            <w:gridSpan w:val="3"/>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99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23"/>
                <w:szCs w:val="23"/>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25" w:lineRule="exact"/>
        <w:rPr>
          <w:sz w:val="20"/>
          <w:szCs w:val="20"/>
          <w:color w:val="auto"/>
        </w:rPr>
      </w:pPr>
    </w:p>
    <w:p>
      <w:pPr>
        <w:ind w:left="300" w:hanging="130"/>
        <w:spacing w:after="0"/>
        <w:tabs>
          <w:tab w:leader="none" w:pos="3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Furnished herewith.</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RACKSPACE TECHNOLOGY,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120" w:val="left"/>
          <w:tab w:leader="none" w:pos="6360" w:val="left"/>
          <w:tab w:leader="none" w:pos="7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Dustin Semach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31750</wp:posOffset>
            </wp:positionV>
            <wp:extent cx="2743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31750</wp:posOffset>
            </wp:positionV>
            <wp:extent cx="1911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Dustin Semach</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60"/>
          </w:cols>
          <w:pgMar w:left="320" w:top="125" w:right="7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200" w:val="left"/>
          <w:tab w:leader="none" w:pos="60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6369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Kevin Jones</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 Director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6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Dustin Semach, certify that:</w:t>
      </w:r>
    </w:p>
    <w:p>
      <w:pPr>
        <w:spacing w:after="0" w:line="252" w:lineRule="exact"/>
        <w:rPr>
          <w:sz w:val="20"/>
          <w:szCs w:val="20"/>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200" w:val="left"/>
          <w:tab w:leader="none" w:pos="60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Dustin Semach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6369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Dustin Semach</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200" w:val="left"/>
          <w:tab w:leader="none" w:pos="60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6369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Kevin Jones</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 Director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6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Dustin Semach,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200" w:val="left"/>
          <w:tab w:leader="none" w:pos="60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Dustin Semach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6369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Dustin Semach</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lvl w:ilvl="1">
      <w:lvlJc w:val="left"/>
      <w:lvlText w:val="-"/>
      <w:numFmt w:val="bullet"/>
      <w:start w:val="1"/>
    </w:lvl>
  </w:abstractNum>
  <w:abstractNum w:abstractNumId="6">
    <w:nsid w:val="DED7263"/>
    <w:multiLevelType w:val="hybridMultilevel"/>
    <w:lvl w:ilvl="0">
      <w:lvlJc w:val="left"/>
      <w:lvlText w:val="(%1)"/>
      <w:numFmt w:val="decimal"/>
      <w:start w:val="1"/>
    </w:lvl>
    <w:lvl w:ilvl="1">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Roman"/>
      <w:start w:val="1"/>
    </w:lvl>
    <w:lvl w:ilvl="1">
      <w:lvlJc w:val="left"/>
      <w:lvlText w:val="-"/>
      <w:numFmt w:val="bullet"/>
      <w:start w:val="1"/>
    </w:lvl>
  </w:abstractNum>
  <w:abstractNum w:abstractNumId="12">
    <w:nsid w:val="25E45D32"/>
    <w:multiLevelType w:val="hybridMultilevel"/>
    <w:lvl w:ilvl="0">
      <w:lvlJc w:val="left"/>
      <w:lvlText w:val="(%1)"/>
      <w:numFmt w:val="lowerLetter"/>
      <w:start w:val="1"/>
    </w:lvl>
    <w:lvl w:ilvl="1">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13" Type="http://schemas.openxmlformats.org/officeDocument/2006/relationships/hyperlink" Target="https://www.sec.gov/Archives/edgar/data/1810019/000119312520195206/d915709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2020-08-31T16:03:22Z</dcterms:created>
  <dcterms:modified xsi:type="dcterms:W3CDTF">2020-08-31T16:03:22Z</dcterms:modified>
</cp:coreProperties>
</file>