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Date of Report (Date of earliest event reported):</w:t>
      </w:r>
      <w:r>
        <w:rPr>
          <w:color w:val="000000"/>
          <w:shd w:fill="FFFFFF" w:val="clear"/>
        </w:rPr>
        <w:t xml:space="preserve"> </w:t>
      </w:r>
      <w:r>
        <w:rPr>
          <w:rFonts w:ascii="Times New Roman;serif" w:hAnsi="Times New Roman;serif"/>
          <w:b/>
          <w:color w:val="000000"/>
          <w:sz w:val="24"/>
        </w:rPr>
        <w:t>June 18, 2026</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RACKSPACE TECHNOLOGY, INC.</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7628" w:type="dxa"/>
        <w:jc w:val="center"/>
        <w:tblInd w:w="0" w:type="dxa"/>
        <w:tblLayout w:type="fixed"/>
        <w:tblCellMar>
          <w:top w:w="28" w:type="dxa"/>
          <w:left w:w="28" w:type="dxa"/>
          <w:bottom w:w="28" w:type="dxa"/>
          <w:right w:w="28" w:type="dxa"/>
        </w:tblCellMar>
      </w:tblPr>
      <w:tblGrid>
        <w:gridCol w:w="262"/>
        <w:gridCol w:w="230"/>
        <w:gridCol w:w="230"/>
        <w:gridCol w:w="230"/>
        <w:gridCol w:w="230"/>
        <w:gridCol w:w="230"/>
        <w:gridCol w:w="230"/>
        <w:gridCol w:w="230"/>
        <w:gridCol w:w="238"/>
        <w:gridCol w:w="792"/>
        <w:gridCol w:w="792"/>
        <w:gridCol w:w="800"/>
        <w:gridCol w:w="915"/>
        <w:gridCol w:w="915"/>
        <w:gridCol w:w="1304"/>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211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001-39420</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81-3369925</w:t>
            </w:r>
          </w:p>
        </w:tc>
      </w:tr>
      <w:tr>
        <w:trPr/>
        <w:tc>
          <w:tcPr>
            <w:tcW w:w="211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(State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before="10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19122 US Highway 281N, Suite 127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Antonio, Texas 78258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1-800-961-4454 </w:t>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638" w:type="dxa"/>
        <w:jc w:val="left"/>
        <w:tblInd w:w="0" w:type="dxa"/>
        <w:tblLayout w:type="fixed"/>
        <w:tblCellMar>
          <w:top w:w="28" w:type="dxa"/>
          <w:left w:w="28" w:type="dxa"/>
          <w:bottom w:w="28" w:type="dxa"/>
          <w:right w:w="28" w:type="dxa"/>
        </w:tblCellMar>
      </w:tblPr>
      <w:tblGrid>
        <w:gridCol w:w="1252"/>
        <w:gridCol w:w="1100"/>
        <w:gridCol w:w="1113"/>
        <w:gridCol w:w="109"/>
        <w:gridCol w:w="109"/>
        <w:gridCol w:w="109"/>
        <w:gridCol w:w="564"/>
        <w:gridCol w:w="564"/>
        <w:gridCol w:w="56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pPr>
      <w:r>
        <w:rPr/>
      </w:r>
    </w:p>
    <w:p>
      <w:pPr>
        <w:pStyle w:val="TextBody"/>
        <w:bidi w:val="0"/>
        <w:spacing w:lineRule="auto" w:line="288" w:before="0" w:after="0"/>
        <w:ind w:left="0" w:right="0" w:firstLine="720"/>
        <w:jc w:val="right"/>
        <w:rPr/>
      </w:pPr>
      <w:r>
        <w:rPr>
          <w:rFonts w:ascii="Times New Roman;serif" w:hAnsi="Times New Roman;serif"/>
          <w:b w:val="false"/>
          <w:color w:val="231F2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18, 2026, Rackspace Technology, Inc. (the "Company") held its annual meeting of stockholders (the "2026 Annual Meeting"). The close of business on April 21, 2026 was previously established as the record date for the determination of stockholders entitled to notice of and to vote at the 2026 Annual Meeting (the "Record Date"). As of the Record Date, there were 249,222,499 shares of common stock of the Company outstanding (the "Shares"), with each Share being entitled to one vote. The holders of a total of 204,090,027 Shares, representing 81.89% of the total Shares outstanding, were present in person or by proxy at the 2026 Annual Meeting, constituting a quorum.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final voting results for each of the proposals submitted to a vote of stockholders during the 2026 Annual Meeting are set forth below. A more complete description of each proposal is set forth in the Company’s definitive proxy statement filed with the Securities and Exchange Commission on April 30, 2026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Proposal 1.</w:t>
      </w:r>
      <w:r>
        <w:rPr>
          <w:color w:val="000000"/>
        </w:rPr>
        <w:t xml:space="preserve"> </w:t>
      </w:r>
      <w:r>
        <w:rPr>
          <w:rFonts w:ascii="Times New Roman;serif" w:hAnsi="Times New Roman;serif"/>
          <w:b w:val="false"/>
          <w:color w:val="000000"/>
          <w:sz w:val="20"/>
        </w:rPr>
        <w:t>To elect Gajen Kandiah and Michael Weston to the Board of Directors of the Company as Class III Directors, in each case, for a term of three years expiring at the annual meeting of stockholders to be held in 2029.</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stockholders duly elected Gajen Kandiah and Michael Weston, by at least a plurality of the votes cast, to serve as Class III Directors until the 2029 annual meeting of stockholders and until a successor is elected and qualified, subject, however, to such director's earlier death, resignation, retirement, removal or disqualification. The results of the voting were as follows:</w:t>
      </w:r>
    </w:p>
    <w:p>
      <w:pPr>
        <w:pStyle w:val="TextBody"/>
        <w:bidi w:val="0"/>
        <w:spacing w:before="0" w:after="0"/>
        <w:jc w:val="left"/>
        <w:rPr/>
      </w:pPr>
      <w:r>
        <w:rPr/>
      </w:r>
    </w:p>
    <w:tbl>
      <w:tblPr>
        <w:tblW w:w="7848"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479"/>
        <w:gridCol w:w="479"/>
        <w:gridCol w:w="481"/>
        <w:gridCol w:w="109"/>
        <w:gridCol w:w="109"/>
        <w:gridCol w:w="109"/>
        <w:gridCol w:w="379"/>
        <w:gridCol w:w="379"/>
        <w:gridCol w:w="383"/>
        <w:gridCol w:w="109"/>
        <w:gridCol w:w="109"/>
        <w:gridCol w:w="109"/>
        <w:gridCol w:w="464"/>
        <w:gridCol w:w="464"/>
        <w:gridCol w:w="466"/>
        <w:gridCol w:w="109"/>
        <w:gridCol w:w="109"/>
        <w:gridCol w:w="109"/>
        <w:gridCol w:w="492"/>
        <w:gridCol w:w="492"/>
        <w:gridCol w:w="696"/>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Proposal</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Nominee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Withheld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1a</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Gajen Kandiah</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146,814,807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1,268,776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56,006,444</w:t>
            </w:r>
          </w:p>
        </w:tc>
      </w:tr>
      <w:tr>
        <w:trPr/>
        <w:tc>
          <w:tcPr>
            <w:tcW w:w="8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1b</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Michael Weston</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146,868,686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1,214,897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56,006,444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0"/>
        </w:rPr>
        <w:t>Proposal 2.</w:t>
      </w:r>
      <w:r>
        <w:rPr>
          <w:color w:val="000000"/>
        </w:rPr>
        <w:t xml:space="preserve"> </w:t>
      </w:r>
      <w:r>
        <w:rPr>
          <w:rFonts w:ascii="Times New Roman;serif" w:hAnsi="Times New Roman;serif"/>
          <w:b w:val="false"/>
          <w:color w:val="000000"/>
          <w:sz w:val="20"/>
        </w:rPr>
        <w:t>To ratify the appointment of KPMG LLP as the Company’s independent registered public accounting firm for the fiscal year ending December 31,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stockholders ratified the appointment of KPMG LLP as the Company’s independent registered public accounting firm for the fiscal year ending December 31, 2026. The results of the voting were as follows:</w:t>
      </w:r>
    </w:p>
    <w:p>
      <w:pPr>
        <w:pStyle w:val="TextBody"/>
        <w:bidi w:val="0"/>
        <w:spacing w:before="0" w:after="0"/>
        <w:jc w:val="left"/>
        <w:rPr/>
      </w:pPr>
      <w:r>
        <w:rPr/>
      </w:r>
    </w:p>
    <w:tbl>
      <w:tblPr>
        <w:tblW w:w="4195" w:type="dxa"/>
        <w:jc w:val="left"/>
        <w:tblInd w:w="0" w:type="dxa"/>
        <w:tblLayout w:type="fixed"/>
        <w:tblCellMar>
          <w:top w:w="28" w:type="dxa"/>
          <w:left w:w="28" w:type="dxa"/>
          <w:bottom w:w="28" w:type="dxa"/>
          <w:right w:w="28" w:type="dxa"/>
        </w:tblCellMar>
      </w:tblPr>
      <w:tblGrid>
        <w:gridCol w:w="418"/>
        <w:gridCol w:w="366"/>
        <w:gridCol w:w="372"/>
        <w:gridCol w:w="109"/>
        <w:gridCol w:w="109"/>
        <w:gridCol w:w="109"/>
        <w:gridCol w:w="419"/>
        <w:gridCol w:w="419"/>
        <w:gridCol w:w="421"/>
        <w:gridCol w:w="109"/>
        <w:gridCol w:w="109"/>
        <w:gridCol w:w="109"/>
        <w:gridCol w:w="329"/>
        <w:gridCol w:w="329"/>
        <w:gridCol w:w="468"/>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r>
      <w:tr>
        <w:trPr/>
        <w:tc>
          <w:tcPr>
            <w:tcW w:w="11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202,999,489</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558,042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532,496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Proposal 3.</w:t>
      </w:r>
      <w:r>
        <w:rPr>
          <w:color w:val="000000"/>
        </w:rPr>
        <w:t xml:space="preserve"> </w:t>
      </w:r>
      <w:r>
        <w:rPr>
          <w:rFonts w:ascii="Times New Roman;serif" w:hAnsi="Times New Roman;serif"/>
          <w:b w:val="false"/>
          <w:color w:val="000000"/>
          <w:sz w:val="20"/>
        </w:rPr>
        <w:t>To conduct an advisory vote to approve the compensation of the Company’s named executive officers, as further described in the Proxy Statement (a "say-on-pay" vote).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stockholders approved, on a non-binding, advisory basis, the executive compensation of the Company’s named executive officers. The results of the voting were as follows:</w:t>
      </w:r>
    </w:p>
    <w:p>
      <w:pPr>
        <w:pStyle w:val="TextBody"/>
        <w:bidi w:val="0"/>
        <w:spacing w:before="0" w:after="0"/>
        <w:jc w:val="left"/>
        <w:rPr/>
      </w:pPr>
      <w:r>
        <w:rPr/>
      </w:r>
    </w:p>
    <w:tbl>
      <w:tblPr>
        <w:tblW w:w="6157" w:type="dxa"/>
        <w:jc w:val="left"/>
        <w:tblInd w:w="0" w:type="dxa"/>
        <w:tblLayout w:type="fixed"/>
        <w:tblCellMar>
          <w:top w:w="28" w:type="dxa"/>
          <w:left w:w="28" w:type="dxa"/>
          <w:bottom w:w="28" w:type="dxa"/>
          <w:right w:w="28" w:type="dxa"/>
        </w:tblCellMar>
      </w:tblPr>
      <w:tblGrid>
        <w:gridCol w:w="418"/>
        <w:gridCol w:w="366"/>
        <w:gridCol w:w="372"/>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145,815,357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2,184,886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83,340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56,006,444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Proposal 4.</w:t>
      </w:r>
      <w:r>
        <w:rPr>
          <w:color w:val="000000"/>
        </w:rPr>
        <w:t xml:space="preserve"> </w:t>
      </w:r>
      <w:r>
        <w:rPr>
          <w:rFonts w:ascii="Times New Roman;serif" w:hAnsi="Times New Roman;serif"/>
          <w:b w:val="false"/>
          <w:color w:val="000000"/>
          <w:sz w:val="20"/>
        </w:rPr>
        <w:t>To approve an amendment to the Company’s 2020 Equity Incentive Plan (the "2020 Incentive Plan") to increase the number of shares of the Company’s Common Stock authorized to be issued under the plan.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stockholders voted to approve the amendment to the 2020 Incentive Plan. The results of the voting were as follows:</w:t>
      </w:r>
    </w:p>
    <w:p>
      <w:pPr>
        <w:pStyle w:val="TextBody"/>
        <w:bidi w:val="0"/>
        <w:spacing w:before="0" w:after="0"/>
        <w:jc w:val="left"/>
        <w:rPr/>
      </w:pPr>
      <w:r>
        <w:rPr/>
      </w:r>
    </w:p>
    <w:tbl>
      <w:tblPr>
        <w:tblW w:w="6157" w:type="dxa"/>
        <w:jc w:val="left"/>
        <w:tblInd w:w="0" w:type="dxa"/>
        <w:tblLayout w:type="fixed"/>
        <w:tblCellMar>
          <w:top w:w="28" w:type="dxa"/>
          <w:left w:w="28" w:type="dxa"/>
          <w:bottom w:w="28" w:type="dxa"/>
          <w:right w:w="28" w:type="dxa"/>
        </w:tblCellMar>
      </w:tblPr>
      <w:tblGrid>
        <w:gridCol w:w="418"/>
        <w:gridCol w:w="366"/>
        <w:gridCol w:w="372"/>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136,479,067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11,505,559</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98,957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56,006,444</w:t>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ind w:left="0" w:right="0" w:firstLine="540"/>
        <w:jc w:val="left"/>
        <w:rPr/>
      </w:pPr>
      <w:r>
        <w:rPr/>
      </w:r>
    </w:p>
    <w:tbl>
      <w:tblPr>
        <w:tblW w:w="8904"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484"/>
        <w:gridCol w:w="484"/>
        <w:gridCol w:w="484"/>
        <w:gridCol w:w="1560"/>
        <w:gridCol w:w="1560"/>
        <w:gridCol w:w="220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TECHNOLOGY,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Alexander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Alexander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Deputy General Counsel and Assistant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847</Words>
  <Characters>4638</Characters>
  <CharactersWithSpaces>5398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