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shd w:fill="FFFFFF" w:val="clear"/>
        </w:rPr>
        <w:t xml:space="preserve"> </w:t>
      </w:r>
      <w:r>
        <w:rPr>
          <w:rFonts w:ascii="Times New Roman;serif" w:hAnsi="Times New Roman;serif"/>
          <w:b/>
          <w:color w:val="000000"/>
          <w:sz w:val="24"/>
        </w:rPr>
        <w:t>July 2, 2026</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RACKSPACE TECHNOLOGY, INC.</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628" w:type="dxa"/>
        <w:jc w:val="center"/>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238"/>
        <w:gridCol w:w="792"/>
        <w:gridCol w:w="792"/>
        <w:gridCol w:w="800"/>
        <w:gridCol w:w="915"/>
        <w:gridCol w:w="915"/>
        <w:gridCol w:w="130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001-39420</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1-800-961-4454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3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At-the-Market Offering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July 9, 2026, Rackspace Technology, Inc. (the “Company”) entered into an Equity Distribution Agreement (the “Agreement”) with Goldman Sachs &amp; Co. LLC, in its capacity as sales agent (the “Manager”), with respect to an at-the-market offering program under which the Company may offer and sell, from time to time at its sole discretion, shares of its common stock, par value $0.01 per share (“Common Stock”), having an aggregate offering price of up to $250,000,000 (the “Shares”) through the Manager, acting as sales agent, or directly to the Manager acting as principal for its own accounts at a price and on terms agreed upon in a separate written agreement. The issuance and sale, if any, of the Shares by the Company under the Agreement will be made pursuant to a prospectus supplement, dated July 9, 2026, and a base prospectus, filed with the Securities and Exchange Commission (the “SEC”) on July 9, 2026, relating to the Company’s effective shelf registration statement on Form S-3ASR (File No. 333-</w:t>
      </w:r>
      <w:r>
        <w:rPr>
          <w:rFonts w:ascii="Aptos;sans-serif" w:hAnsi="Aptos;sans-serif"/>
          <w:b w:val="false"/>
          <w:color w:val="000000"/>
          <w:sz w:val="20"/>
        </w:rPr>
        <w:t>297332</w:t>
      </w:r>
      <w:r>
        <w:rPr>
          <w:rFonts w:ascii="Times New Roman;serif" w:hAnsi="Times New Roman;serif"/>
          <w:b w:val="false"/>
          <w:color w:val="000000"/>
          <w:sz w:val="20"/>
        </w:rPr>
        <w:t>) (the “Registration Statement”).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Company’s delivery of a placement notice and subject to the terms and conditions of the Agreement, the Manager may sell the Shares by any method permitted by law deemed to be an “at the market offering” as defined in Rule 415(a)(4) promulgated under the Securities Act of 1933, as amended, or by any other method. The Manager will use its reasonable efforts consistent with its normal trading and sales practices and applicable state and federal law, rules and regulations and the rules of the Nasdaq Stock Market LLC to sell the Shares from time to time, based upon instructions from the Company (including any price, time or size limits or other customary parameters or conditions the Company may impose). The Manager will be entitled to compensation at a commission rate of 1.5% of the gross proceeds from each sale of the Shares. The Company has provided the Manager with customary indemnification and contribution rights.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not obligated to make any sales, and the Manager is not obligated to buy and sell, any of the Shares under the Agreement. The Company or the Manager may suspend or terminate the offering of the Shares upon notice to the other party and subject to other conditions.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Agreement does not purport to be complete and is qualified in its entirety by reference to the full text of the Agreement, a copy of which is filed as Exhibit 1.1 to this Current Report on Form 8-K and is incorporated herein by reference. The legal opinion of Paul, Weiss, Rifkind, Wharton &amp; Garrison, LLP, relating to the validity of the Shares being offered pursuant to the Agreement, is filed as Exhibit 5.1 to this Current Report on Form 8-K and is incorporated herein by reference.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shall not constitute an offer to sell or the solicitation of an offer to buy any Shares under the Agreement nor shall there be any sale of such Shares in any state in which such offer, solicitation or sale would be unlawful prior to registration or qualification under the securities laws of any such state.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Accounts Receivable Securitization Facility Extension Amendment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 2026, Rackspace Receivables II LLC (the "Seller"), Rackspace Receivables Canada Limited, certain subsidiaries of Rackspace Technology, Inc. serving as originators and servicers, PNC Bank, National Association, as administrative agent and purchaser, and PNC Capital Markets LLC, as structuring agent, entered into an Omnibus Amendment and Waiver (the "Amendment") to the Receivables Purchase Agreement, dated September 29, 2023, and certain related transaction documents governing the Company's receivables purchase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other things, the Amendment (i) extends the Scheduled Termination Date from September 29, 2026 to July 2, 2029 and revises the early termination provisions to reference the earliest scheduled maturity of the revolving facilities under the Company's first lien credit agreement (or any revolving credit facility that refinances or replaces such revolving facility), (ii) permits the Facility Limit to be increased by up to $50 million, from $300 million to a maximum of $350 million, subject to the terms and conditions of the Receivables Purchase Agreement, and (iii) makes various conforming, administrative and other amendments to the transaction documents.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Amendment does not purport to be complete and is qualified in its entirety by reference to the full text of the Amendment, a copy of which is filed as Exhibit 10.1 to this Current Report on Form 8-K and is incorporated herein by reference. </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n July 9, 2026,</w:t>
      </w:r>
      <w:r>
        <w:rPr>
          <w:color w:val="000000"/>
        </w:rPr>
        <w:t xml:space="preserve"> </w:t>
      </w:r>
      <w:r>
        <w:rPr>
          <w:rFonts w:ascii="Times New Roman;serif" w:hAnsi="Times New Roman;serif"/>
          <w:b w:val="false"/>
          <w:color w:val="000000"/>
          <w:sz w:val="20"/>
        </w:rPr>
        <w:t>the Company issued a press release announcing preliminary financial results for the fiscal quarter ended June 30, 2026</w:t>
      </w:r>
      <w:r>
        <w:rPr>
          <w:color w:val="000000"/>
        </w:rPr>
        <w:t xml:space="preserve"> </w:t>
      </w:r>
      <w:r>
        <w:rPr>
          <w:rFonts w:ascii="Times New Roman;serif" w:hAnsi="Times New Roman;serif"/>
          <w:b w:val="false"/>
          <w:color w:val="000000"/>
          <w:sz w:val="20"/>
        </w:rPr>
        <w:t>and updates to its fiscal year 2026 outlook. A copy of the press release is attached hereto as Exhibit 99.1 and incorporated by reference herein.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pStyle w:val="TextBody"/>
        <w:bidi w:val="0"/>
        <w:spacing w:before="0" w:after="0"/>
        <w:ind w:left="0" w:right="0" w:firstLine="54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of this Current Report on Form 8-K under the heading "Accounts Receivable Securitization Facility Extension Amendment" is incorporated by reference into this Item 2.03.</w:t>
      </w:r>
    </w:p>
    <w:p>
      <w:pPr>
        <w:pStyle w:val="TextBody"/>
        <w:bidi w:val="0"/>
        <w:spacing w:before="0" w:after="0"/>
        <w:ind w:left="0" w:right="0" w:firstLine="54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9, 2026, the Company announced the following preliminary financial results for the second quarter of 2026:</w:t>
      </w:r>
    </w:p>
    <w:p>
      <w:pPr>
        <w:pStyle w:val="TextBody"/>
        <w:bidi w:val="0"/>
        <w:spacing w:before="0" w:after="0"/>
        <w:jc w:val="left"/>
        <w:rPr/>
      </w:pPr>
      <w:r>
        <w:rPr/>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Revenue is expected to be in the range of $641 to $649 million, including Private Cloud revenue between $242 to $246 million and Public Cloud revenue between $399 to $403 million.</w:t>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GAAP Net Loss is expected to be in the range of $(91) to $(62) million, and GAAP net loss per diluted share is expected to be in the range of $(0.36) to $(0.25)</w:t>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GAAP Loss from Operations is expected to be in the range of $(53) million to $(33) million.</w:t>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Non-GAAP Operating Profit is expected to be in the range of $19 to $23 million.</w:t>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Non-GAAP Loss Per Share is expected to be $(0.11) to $(0.08).</w:t>
      </w:r>
    </w:p>
    <w:p>
      <w:pPr>
        <w:pStyle w:val="TextBody"/>
        <w:bidi w:val="0"/>
        <w:spacing w:lineRule="auto" w:line="268" w:before="0" w:after="0"/>
        <w:ind w:left="0" w:right="0" w:hanging="450"/>
        <w:jc w:val="left"/>
        <w:rPr/>
      </w:pPr>
      <w:r>
        <w:rPr>
          <w:color w:val="000000"/>
        </w:rPr>
        <w:t xml:space="preserve">– </w:t>
      </w:r>
      <w:r>
        <w:rPr>
          <w:rFonts w:ascii="Times New Roman;serif" w:hAnsi="Times New Roman;serif"/>
          <w:b w:val="false"/>
          <w:color w:val="000000"/>
          <w:sz w:val="20"/>
        </w:rPr>
        <w:t>Non-GAAP Adjusted EBITDA is expected to be between $58 to $62 million.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preliminary results are based on information available to management as of the date of this Current Report on Form 8-K and are subject to the completion of the Company’s financial closing procedures, quarter-end review processes and other developments that may arise between now and the time the Company’s financial results for the quarter are finalized. These preliminary results are not a comprehensive statement of the Company’s financial results for the second quarter and should not be viewed as a substitute for full financial statements prepared in accordance with GAAP. These preliminary results are inherently uncertain and may differ, including materially, from the financial results that will be reported in the Company’s Quarterly Report on Form 10-Q for the quarter ended June 30, 2026. KPMG LLP, our independent registered public accounting firm, has not audited, reviewed, examined, compiled, nor applied agreed-upon procedures with respect to the preliminary results for the second quarter of 2026. Accordingly, KPMG LLP does not express an opinion or any other form of assurance with respect thereto.</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preliminary financial results include non-GAAP financial measures such as Non-GAAP Net Income (Loss), Non-GAAP Operating Profit, Adjusted EBITDA and Non-GAAP Earnings (Loss) Per Share. These non-GAAP financial measures exclude the impact of certain costs, losses and gains that are required to be included in the Company’s profit and loss measures under GAAP. Although the Company believes these measures are useful to investors and analysts for the same reasons they are useful to management, as described below, these measures are not a substitute for, or superior to, GAAP financial measures or disclosures. Other companies may calculate similarly-titled non-GAAP measures differently, limiting their usefulness as comparative measures. The Company has reconciled each of these non-GAAP measures to the applicable most comparable GAAP measure below.</w:t>
      </w:r>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Net loss reconciliation to Non-GAAP Net Loss</w:t>
      </w:r>
    </w:p>
    <w:tbl>
      <w:tblPr>
        <w:tblW w:w="8759" w:type="dxa"/>
        <w:jc w:val="left"/>
        <w:tblInd w:w="0" w:type="dxa"/>
        <w:tblLayout w:type="fixed"/>
        <w:tblCellMar>
          <w:top w:w="28" w:type="dxa"/>
          <w:left w:w="28" w:type="dxa"/>
          <w:bottom w:w="28" w:type="dxa"/>
          <w:right w:w="28" w:type="dxa"/>
        </w:tblCellMar>
      </w:tblPr>
      <w:tblGrid>
        <w:gridCol w:w="1946"/>
        <w:gridCol w:w="1706"/>
        <w:gridCol w:w="1718"/>
        <w:gridCol w:w="384"/>
        <w:gridCol w:w="797"/>
        <w:gridCol w:w="213"/>
        <w:gridCol w:w="175"/>
        <w:gridCol w:w="175"/>
        <w:gridCol w:w="175"/>
        <w:gridCol w:w="381"/>
        <w:gridCol w:w="790"/>
        <w:gridCol w:w="299"/>
      </w:tblGrid>
      <w:tr>
        <w:trPr/>
        <w:tc>
          <w:tcPr>
            <w:tcW w:w="19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 (Estimated)</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 (Estimated)</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loss on divestiture and investments</w:t>
            </w:r>
            <w:r>
              <w:rPr>
                <w:color w:val="000000"/>
              </w:rPr>
              <w:t xml:space="preserve"> </w:t>
            </w:r>
            <w:r>
              <w:rPr>
                <w:rFonts w:ascii="Times New Roman;serif" w:hAnsi="Times New Roman;serif"/>
                <w:b w:val="false"/>
                <w:color w:val="000000"/>
                <w:sz w:val="12"/>
              </w:rPr>
              <w:t>(c)</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(d)</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(g)</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3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from operations reconciliation to Non-GAAP Operating Profit</w:t>
      </w:r>
    </w:p>
    <w:tbl>
      <w:tblPr>
        <w:tblW w:w="6734" w:type="dxa"/>
        <w:jc w:val="left"/>
        <w:tblInd w:w="0" w:type="dxa"/>
        <w:tblLayout w:type="fixed"/>
        <w:tblCellMar>
          <w:top w:w="28" w:type="dxa"/>
          <w:left w:w="28" w:type="dxa"/>
          <w:bottom w:w="28" w:type="dxa"/>
          <w:right w:w="28" w:type="dxa"/>
        </w:tblCellMar>
      </w:tblPr>
      <w:tblGrid>
        <w:gridCol w:w="1213"/>
        <w:gridCol w:w="1064"/>
        <w:gridCol w:w="1068"/>
        <w:gridCol w:w="384"/>
        <w:gridCol w:w="797"/>
        <w:gridCol w:w="213"/>
        <w:gridCol w:w="175"/>
        <w:gridCol w:w="175"/>
        <w:gridCol w:w="175"/>
        <w:gridCol w:w="381"/>
        <w:gridCol w:w="790"/>
        <w:gridCol w:w="299"/>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 (Estimated)</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 (Estimated)</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3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reconciliation to Adjusted EBITDA</w:t>
      </w:r>
    </w:p>
    <w:tbl>
      <w:tblPr>
        <w:tblW w:w="6959" w:type="dxa"/>
        <w:jc w:val="left"/>
        <w:tblInd w:w="0" w:type="dxa"/>
        <w:tblLayout w:type="fixed"/>
        <w:tblCellMar>
          <w:top w:w="28" w:type="dxa"/>
          <w:left w:w="28" w:type="dxa"/>
          <w:bottom w:w="28" w:type="dxa"/>
          <w:right w:w="28" w:type="dxa"/>
        </w:tblCellMar>
      </w:tblPr>
      <w:tblGrid>
        <w:gridCol w:w="1294"/>
        <w:gridCol w:w="1134"/>
        <w:gridCol w:w="1142"/>
        <w:gridCol w:w="384"/>
        <w:gridCol w:w="797"/>
        <w:gridCol w:w="213"/>
        <w:gridCol w:w="175"/>
        <w:gridCol w:w="175"/>
        <w:gridCol w:w="175"/>
        <w:gridCol w:w="381"/>
        <w:gridCol w:w="790"/>
        <w:gridCol w:w="299"/>
      </w:tblGrid>
      <w:tr>
        <w:trPr/>
        <w:tc>
          <w:tcPr>
            <w:tcW w:w="129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 (Estimated)</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 (Estimated)</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loss on divestiture and investments</w:t>
            </w:r>
            <w:r>
              <w:rPr>
                <w:color w:val="000000"/>
              </w:rPr>
              <w:t xml:space="preserve"> </w:t>
            </w:r>
            <w:r>
              <w:rPr>
                <w:rFonts w:ascii="Times New Roman;serif" w:hAnsi="Times New Roman;serif"/>
                <w:b w:val="false"/>
                <w:color w:val="000000"/>
                <w:sz w:val="12"/>
              </w:rPr>
              <w:t>(c)</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(h)</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(i)</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November 2016 merger.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2026 interim periods, we based it on an average of the 2025 and estimated 2026 tax rates, recomputed to remove the tax effect of non-GAAP pre-tax adjustments and non-recurring tax adjustments, resulting in a structural non-GAAP tax rate of 26%.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accounts receivable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Statements in this Current Report on Form 8-K and the exhibits attached hereto about future expectations, plans and prospects, as well as any other statements regarding matters that are not historical facts, may constitute “forward-looking statements” within the meaning of The Private Securities Litigation Reform Act of 1995. These statements include, but are not limited to, statements relating to anticipated financial performance, management's plans and objectives for future operations, business prospects, expected Public Cloud and Private Cloud performance, and our expectations regarding future operating and financial performance, the at-the-market offering of the Shares, and other matters.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the other factors discussed in the “Risk Factors” section of the Company’s Annual Report on Form 10-K filed with the SEC on March 6, 2026 and the risks described in other filings that the Company may make from time to time with the SEC. Any forward-looking statements contained in this Current Report on Form 8-K speak only as of the date hereof, and the Company specifically disclaims any obligation to update any forward-looking statement, whether as a result of new information, future events or otherwise, except as required by law.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50"/>
        <w:gridCol w:w="307"/>
        <w:gridCol w:w="308"/>
        <w:gridCol w:w="109"/>
        <w:gridCol w:w="109"/>
        <w:gridCol w:w="109"/>
        <w:gridCol w:w="2677"/>
        <w:gridCol w:w="2573"/>
        <w:gridCol w:w="3663"/>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rackspaceatm-equitydistrib.htm">
              <w:r>
                <w:rPr>
                  <w:rStyle w:val="InternetLink"/>
                  <w:rFonts w:ascii="Times New Roman;serif" w:hAnsi="Times New Roman;serif"/>
                  <w:b w:val="false"/>
                  <w:color w:val="0000FF"/>
                  <w:sz w:val="20"/>
                  <w:u w:val="single"/>
                </w:rPr>
                <w:t>Equity Distribution Agreement, dated July 9, 2026, between Rackspace Technology, Inc. and Goldman Sachs &amp; Co. LLC</w:t>
              </w:r>
            </w:hyperlink>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ackspace-legalityopinion2.htm">
              <w:r>
                <w:rPr>
                  <w:rStyle w:val="InternetLink"/>
                  <w:rFonts w:ascii="Times New Roman;serif" w:hAnsi="Times New Roman;serif"/>
                  <w:b w:val="false"/>
                  <w:color w:val="0000FF"/>
                  <w:sz w:val="20"/>
                  <w:u w:val="single"/>
                </w:rPr>
                <w:t>Opinion of Paul, Weiss, Rifkind, Wharton &amp; Garrison, LLP</w:t>
              </w:r>
            </w:hyperlink>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literacompareredline-pncra.htm">
              <w:r>
                <w:rPr>
                  <w:rStyle w:val="InternetLink"/>
                  <w:rFonts w:ascii="Times New Roman;serif" w:hAnsi="Times New Roman;serif"/>
                  <w:b w:val="false"/>
                  <w:color w:val="0000FF"/>
                  <w:sz w:val="20"/>
                  <w:u w:val="single"/>
                </w:rPr>
                <w:t>Omnibus Amendment to Receivables Purchase Agreement, dated as of July 2, 2026, by and among Rackspace Receivables II LLC, Rackspace Receivables Canada Limited, the persons from time to time party thereto as purchasers, PNC Bank, National Association, Rackspace US, Inc., Rackspace International GmbH, Rackspace Limited and Onica Technologies Canada Inc. and PNC Capital Markets LLC as structuring agent</w:t>
              </w:r>
            </w:hyperlink>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ackspace-legalityopinion2.htm">
              <w:r>
                <w:rPr>
                  <w:rStyle w:val="InternetLink"/>
                  <w:rFonts w:ascii="Times New Roman;serif" w:hAnsi="Times New Roman;serif"/>
                  <w:b w:val="false"/>
                  <w:color w:val="0000FF"/>
                  <w:sz w:val="20"/>
                  <w:u w:val="single"/>
                </w:rPr>
                <w:t>Consent of Paul, Weiss, Rifkind, Wharton &amp; Garrison, LLP (included in Exhibit 5.1)</w:t>
              </w:r>
            </w:hyperlink>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91-pressrelease.htm">
              <w:r>
                <w:rPr>
                  <w:rStyle w:val="InternetLink"/>
                  <w:rFonts w:ascii="Times New Roman;serif" w:hAnsi="Times New Roman;serif"/>
                  <w:b w:val="false"/>
                  <w:color w:val="0000FF"/>
                  <w:sz w:val="20"/>
                  <w:u w:val="single"/>
                </w:rPr>
                <w:t>Press Release dated July 9, 2026</w:t>
              </w:r>
            </w:hyperlink>
          </w:p>
        </w:tc>
      </w:tr>
      <w:tr>
        <w:trPr/>
        <w:tc>
          <w:tcPr>
            <w:tcW w:w="965"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r>
    </w:p>
    <w:tbl>
      <w:tblPr>
        <w:tblW w:w="8692" w:type="dxa"/>
        <w:jc w:val="left"/>
        <w:tblInd w:w="0" w:type="dxa"/>
        <w:tblLayout w:type="fixed"/>
        <w:tblCellMar>
          <w:top w:w="28" w:type="dxa"/>
          <w:left w:w="28" w:type="dxa"/>
          <w:bottom w:w="28" w:type="dxa"/>
          <w:right w:w="28" w:type="dxa"/>
        </w:tblCellMar>
      </w:tblPr>
      <w:tblGrid>
        <w:gridCol w:w="200"/>
        <w:gridCol w:w="177"/>
        <w:gridCol w:w="178"/>
        <w:gridCol w:w="369"/>
        <w:gridCol w:w="369"/>
        <w:gridCol w:w="371"/>
        <w:gridCol w:w="109"/>
        <w:gridCol w:w="109"/>
        <w:gridCol w:w="109"/>
        <w:gridCol w:w="509"/>
        <w:gridCol w:w="509"/>
        <w:gridCol w:w="509"/>
        <w:gridCol w:w="1511"/>
        <w:gridCol w:w="1511"/>
        <w:gridCol w:w="21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Alexander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Deputy General Counsel &amp; Assistant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r>
        <w:rPr>
          <w:color w:val="000000"/>
        </w:rPr>
        <w:t>        </w:t>
      </w:r>
      <w:r>
        <w:rPr>
          <w:rFonts w:ascii="Times New Roman;serif" w:hAnsi="Times New Roman;serif"/>
          <w:b/>
          <w:color w:val="000000"/>
          <w:sz w:val="22"/>
        </w:rPr>
        <w:t>Exhibit 1.1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4"/>
        </w:rPr>
        <w:t>RACKSPACE TECHNOLOGY, INC.</w:t>
      </w:r>
      <w:r>
        <w:rPr>
          <w:rFonts w:ascii="Times New Roman;serif" w:hAnsi="Times New Roman;serif"/>
          <w:b w:val="false"/>
          <w:color w:val="000000"/>
          <w:sz w:val="24"/>
        </w:rPr>
        <w:br/>
        <w:t xml:space="preserve">Common Stock ($0.01 par value)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Having an Aggregate Offering Price of up 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$250,000,000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Equity Distribution Agreement</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July 9,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Goldman Sachs &amp; Co.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West Street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New York, New York 10282</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Rackspace Technology,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confirms its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with Goldman Sachs &amp; Co. LLC (the “</w:t>
      </w:r>
      <w:r>
        <w:rPr>
          <w:rFonts w:ascii="Times New Roman;serif" w:hAnsi="Times New Roman;serif"/>
          <w:b/>
          <w:color w:val="000000"/>
          <w:sz w:val="24"/>
        </w:rPr>
        <w:t>Manager</w:t>
      </w:r>
      <w:r>
        <w:rPr>
          <w:color w:val="000000"/>
        </w:rPr>
        <w:t>”</w:t>
      </w:r>
      <w:r>
        <w:rPr>
          <w:rFonts w:ascii="Times New Roman;serif" w:hAnsi="Times New Roman;serif"/>
          <w:b w:val="false"/>
          <w:color w:val="000000"/>
          <w:sz w:val="24"/>
        </w:rPr>
        <w:t>)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Description of Shares</w:t>
      </w:r>
      <w:r>
        <w:rPr>
          <w:rFonts w:ascii="Times New Roman;serif" w:hAnsi="Times New Roman;serif"/>
          <w:b w:val="false"/>
          <w:color w:val="000000"/>
          <w:sz w:val="24"/>
        </w:rPr>
        <w:t>. The Company proposes to issue and sell through or to the Manager, as sales agent and/or principal, shares of the Company’s common stock, $0.01 par value (the “</w:t>
      </w:r>
      <w:r>
        <w:rPr>
          <w:rFonts w:ascii="Times New Roman;serif" w:hAnsi="Times New Roman;serif"/>
          <w:b/>
          <w:color w:val="000000"/>
          <w:sz w:val="24"/>
        </w:rPr>
        <w:t>Common Stock</w:t>
      </w:r>
      <w:r>
        <w:rPr>
          <w:color w:val="000000"/>
        </w:rPr>
        <w:t>”</w:t>
      </w:r>
      <w:r>
        <w:rPr>
          <w:rFonts w:ascii="Times New Roman;serif" w:hAnsi="Times New Roman;serif"/>
          <w:b w:val="false"/>
          <w:color w:val="000000"/>
          <w:sz w:val="24"/>
        </w:rPr>
        <w:t>) having an aggregate offering price of up to $250,000,000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from time to time during the term of this Agreement and on the terms set forth in Section 3 of this Agreement. The Company hereby appoints the Manager as an exclusive agent of the Company for the purpose of making offers and sales of the Shares. The Company agrees that whenever it determines to sell the Shares directly to the Manager as principal, it will enter into a separate agreement (each, a “</w:t>
      </w:r>
      <w:r>
        <w:rPr>
          <w:rFonts w:ascii="Times New Roman;serif" w:hAnsi="Times New Roman;serif"/>
          <w:b/>
          <w:color w:val="000000"/>
          <w:sz w:val="24"/>
        </w:rPr>
        <w:t>Terms Agreement</w:t>
      </w:r>
      <w:r>
        <w:rPr>
          <w:color w:val="000000"/>
        </w:rPr>
        <w:t>”</w:t>
      </w:r>
      <w:r>
        <w:rPr>
          <w:rFonts w:ascii="Times New Roman;serif" w:hAnsi="Times New Roman;serif"/>
          <w:b w:val="false"/>
          <w:color w:val="000000"/>
          <w:sz w:val="24"/>
        </w:rPr>
        <w:t>) in substantially the form of Annex I hereto, relating to such sale in accordance with Section 3 of this Agreement. Certain terms used herein are defined in Section 19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Company represents and warrants to, and agrees with, the Manager at the Execution Time and on each such time the following representations and warranties are repeated or deemed to be made pursuant to this Agreement, as set forth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Form S-3</w:t>
      </w:r>
      <w:r>
        <w:rPr>
          <w:rFonts w:ascii="Times New Roman;serif" w:hAnsi="Times New Roman;serif"/>
          <w:b w:val="false"/>
          <w:color w:val="000000"/>
          <w:sz w:val="24"/>
        </w:rPr>
        <w:t xml:space="preserve">.  The Company meets the requirements for use of Form S-3 under the Act and has prepared and filed with the Commission a shelf registration statement on Form S-3, including a related Base Prospectus, for registration under the Act of the offering and sale of the Shares and other securities of the Company. Such Registration Statement, including any amendments thereto filed prior to the Execution Time or prior to any such time this representation is repeated or deemed to be made, automatically became effective when filed on July 9, 2026, and no stop order suspending the effectiveness of the Registration Statement has been issued under the Act and no proceedings for that purpose have been instituted or are pending or, to the knowledge of the Company, are contemplated or threatened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3105"/>
                <wp:effectExtent l="0" t="0" r="0" b="0"/>
                <wp:wrapNone/>
                <wp:docPr id="8" name="Frame8"/>
                <a:graphic xmlns:a="http://schemas.openxmlformats.org/drawingml/2006/main">
                  <a:graphicData uri="http://schemas.microsoft.com/office/word/2010/wordprocessingShape">
                    <wps:wsp>
                      <wps:cNvSpPr txBox="1"/>
                      <wps:spPr>
                        <a:xfrm>
                          <a:off x="0" y="0"/>
                          <a:ext cx="6480175" cy="71310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 and any request on the part of the Commission for additional or supplemental information has been complied with. The Company shall file with the Commission the Prospectus Supplement relating to the Shares in accordance with Rule 424(b) promptly after the Execution Time (but in any event in the time period prescribed thereby). As filed, the Prospectus will contain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the filing of any document under the Exchange Act after the Effective Date of the Registration Statement or the issue date of the Base Prospectus, the Prospectus Supplement, any Interim Prospectus Supplement or the Prospectus, as the case may be, deemed to be incorporated therein by reference.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in writing by the Manager relating to the Manager expressly for use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Successor Registration Statement</w:t>
      </w:r>
      <w:r>
        <w:rPr>
          <w:rFonts w:ascii="Times New Roman;serif" w:hAnsi="Times New Roman;serif"/>
          <w:b w:val="false"/>
          <w:color w:val="000000"/>
          <w:sz w:val="24"/>
        </w:rPr>
        <w:t>. To the extent that the Registration Statement is not available for the sales of the Shares as contemplated by this Agreement, the Company shall file a new registration statement with respect to any additional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23290"/>
                <wp:effectExtent l="0" t="0" r="0" b="0"/>
                <wp:wrapNone/>
                <wp:docPr id="9" name="Frame9"/>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 Material Misstatements or Omissions in the Registration Statement</w:t>
      </w:r>
      <w:r>
        <w:rPr>
          <w:rFonts w:ascii="Times New Roman;serif" w:hAnsi="Times New Roman;serif"/>
          <w:b w:val="false"/>
          <w:color w:val="000000"/>
          <w:sz w:val="24"/>
        </w:rPr>
        <w:t xml:space="preserve">. On each Effective Date, at the Execution Time, at each deemed effective date with respect to the Manager pursuant to Rule 430B(f)(2) under the Act, at each Applicable Time, at each Settlement Date, at each Time of Delivery and at all times during which a prospectus is required by the Act to be delivered (whether physically or through compliance with Rule 172 or any similar rule) in connection with any offer or sale of Shares, the Registration Statement complied and will comply in all material respects with the applicable requirements of the Act and the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each Applicable Time, on each Settlement Date, at each Time of Delivery and at all times during which a prospectus is required by the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Act and the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 specifically for inclusion in the Registration Statement or the Prospectus (or any supplement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Disclosure Package</w:t>
      </w:r>
      <w:r>
        <w:rPr>
          <w:rFonts w:ascii="Times New Roman;serif" w:hAnsi="Times New Roman;serif"/>
          <w:b w:val="false"/>
          <w:color w:val="000000"/>
          <w:sz w:val="24"/>
        </w:rPr>
        <w:t>. At the Execution Time, at each Applicable Time, at each Settlement Date and each Time of Delivery,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Incorporated Documents</w:t>
      </w:r>
      <w:r>
        <w:rPr>
          <w:rFonts w:ascii="Times New Roman;serif" w:hAnsi="Times New Roman;serif"/>
          <w:b w:val="false"/>
          <w:color w:val="000000"/>
          <w:sz w:val="24"/>
        </w:rPr>
        <w:t>. The documents incorporated or deemed to be incorporated by reference in the Registration Statement and the Prospectus (i) at the time they were or hereafter are filed with the Commission, complied and will comply in all material respects with the requirements of the Exchange Act and the rules and regulations of the Commission thereunder and (ii) when read together with the other information in the Prospectus and the Disclosure Package at any Applicable Time and when read together with the other information in the Prospectus at the date of the Prospectus and at any Settlement Date or Time of Delivery,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23290"/>
                <wp:effectExtent l="0" t="0" r="0" b="0"/>
                <wp:wrapNone/>
                <wp:docPr id="10" name="Frame10"/>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Ineligible Issuer</w:t>
      </w:r>
      <w:r>
        <w:rPr>
          <w:rFonts w:ascii="Times New Roman;serif" w:hAnsi="Times New Roman;serif"/>
          <w:b w:val="false"/>
          <w:color w:val="000000"/>
          <w:sz w:val="24"/>
        </w:rPr>
        <w:t xml:space="preserve">. The Company is not an “ineligible issuer” (as defined in Rule 405 under the Act).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Notice of Other Sales</w:t>
      </w:r>
      <w:r>
        <w:rPr>
          <w:rFonts w:ascii="Times New Roman;serif" w:hAnsi="Times New Roman;serif"/>
          <w:b w:val="false"/>
          <w:color w:val="000000"/>
          <w:sz w:val="24"/>
        </w:rPr>
        <w:t>. Prior to the execution of this Agreement, the Company has not, directly or indirectly, offered or sold any Shares by means of any “prospectus” (within the meaning of the Act) or used any “prospectus” (within the meaning of the Act) in connection with the offer or sale of the Shares, and from and after the execution of this Agreement, the Company will not, directly or indirectly, offer or sell any Shares by means of any “prospectus” (within the meaning of the Act) or use any “prospectus” (within the meaning of the Act) in connection with the offer or sale of the Shares, other than the Prospectus, as amended or supplemented from time to time in accordance with the provisions of this Agreement; the Company has not, directly or indirectly, prepared, used or referred to any Issuer Free Writing Prospectus.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No Stop Orders</w:t>
      </w:r>
      <w:r>
        <w:rPr>
          <w:rFonts w:ascii="Times New Roman;serif" w:hAnsi="Times New Roman;serif"/>
          <w:b w:val="false"/>
          <w:color w:val="000000"/>
          <w:sz w:val="24"/>
        </w:rPr>
        <w:t>. The Registration Statement is not the subject of a pending proceeding or examination under Section 8(d) or 8(e) of the Act, and the Company is not the subject of a pending proceeding under Section 8A of the Act in connection with the offering of the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Regulation M</w:t>
      </w:r>
      <w:r>
        <w:rPr>
          <w:rFonts w:ascii="Times New Roman;serif" w:hAnsi="Times New Roman;serif"/>
          <w:b w:val="false"/>
          <w:color w:val="000000"/>
          <w:sz w:val="24"/>
        </w:rPr>
        <w:t>. The Common Stock constitutes an “actively-traded security” exempted from the requirements of Rule 101 of Regulation M under the Exchange Act by subsection (c)(1) of such rule.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Sales Agency Agreements</w:t>
      </w:r>
      <w:r>
        <w:rPr>
          <w:rFonts w:ascii="Times New Roman;serif" w:hAnsi="Times New Roman;serif"/>
          <w:b w:val="false"/>
          <w:color w:val="000000"/>
          <w:sz w:val="24"/>
        </w:rPr>
        <w:t>. The Company has not entered into any other sales agency agreements or other similar arrangements with any agent or any other representative in respect of any at the market offering (within the meaning of Rule 415(a)(4) under the Act) of the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Offering Materials</w:t>
      </w:r>
      <w:r>
        <w:rPr>
          <w:rFonts w:ascii="Times New Roman;serif" w:hAnsi="Times New Roman;serif"/>
          <w:b w:val="false"/>
          <w:color w:val="000000"/>
          <w:sz w:val="24"/>
        </w:rPr>
        <w:t>. The Company has not distributed and will not distribute, prior to the termination of this Agreement, any offering material in connection with the offering and sale of the Shares other than the Prospectus and any Issuer Free Writing Prospectus reviewed and consented to by the Manager and identified in Schedule I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No Material Adverse Change in Business</w:t>
      </w:r>
      <w:r>
        <w:rPr>
          <w:rFonts w:ascii="Times New Roman;serif" w:hAnsi="Times New Roman;serif"/>
          <w:b w:val="false"/>
          <w:color w:val="000000"/>
          <w:sz w:val="24"/>
        </w:rPr>
        <w:t xml:space="preserve">. None of the Company or any of its subsidiaries has, since the date of the latest audited financial statements included in the Disclosure Package, (i) sustained any material loss or interference with its business, taken as a whole, from fire, explosion, flood or other calamity, whether or not covered by insurance, or from any labor dispute or court or governmental action, order or decree,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 than as set forth or contemplated in the Disclosure Package and the Prospectus; and, since the respective dates as of which information is given in the Registration Statement, the Disclosure Package and the Prospectus and except as disclosed therein, there has not been (A)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23290"/>
                <wp:effectExtent l="0" t="0" r="0" b="0"/>
                <wp:wrapNone/>
                <wp:docPr id="11" name="Frame11"/>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change in the capital stock (other than as a result of (i) the exercise or settlement (including any “net” or “cashless” exercises or settlements), if any, of stock options or restricted stock units or the award, if any, of stock options, restricted stock units or restricted stock in the ordinary course of business pursuant to the Company’s equity plans that are described in the Prospectus, (ii) the repurchase, if any, by the Company of shares of common stock granted under the Company’s equity plans or pursuant to an agreement providing for an option to repurchase or a right of first refusal on behalf of the Company, or (iii) the issuance, if any, of stock upon conversion of Company securities as described in the Prospectus) or, except as disclosed in or contemplated by the Prospectus, long term debt of the Company or any of its subsidiaries, or (B)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Registration Statement, the Disclosure Package and the Prospectus, or (ii) the ability of the Company to perform its obligations under this Agreement, including the issuance and sale of the Shares, or to consummate the transactions contemplated in the Disclosure Package and the Prospectus.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Title to Property</w:t>
      </w:r>
      <w:r>
        <w:rPr>
          <w:rFonts w:ascii="Times New Roman;serif" w:hAnsi="Times New Roman;serif"/>
          <w:b w:val="false"/>
          <w:color w:val="000000"/>
          <w:sz w:val="24"/>
        </w:rPr>
        <w:t>. The Company and its subsidiaries have good and marketable title in fee simple to all real property and good and marketable title to all personal property owned by them (other than Intellectual Property, which is addressed in subsection (x)), in each case free and clear of all liens, encumbrances and defects except as described in the Registration Statement, the Disclosure Package and the Prospectus or such as would not, individually or in the aggregate, reasonably be expected to have a Material Adverse Effect; and any real property and buildings held under lease by the Company or any of its subsidiaries are held by them under, to the Company’s knowledge,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would not, individually or in the aggregate,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Good Standing</w:t>
      </w:r>
      <w:r>
        <w:rPr>
          <w:rFonts w:ascii="Times New Roman;serif" w:hAnsi="Times New Roman;serif"/>
          <w:b w:val="false"/>
          <w:color w:val="000000"/>
          <w:sz w:val="24"/>
        </w:rPr>
        <w:t xml:space="preserve">. Each of the Company and each of its subsidiaries has been (i) duly incorporated or organized, is validly existing as a corporation or other business entity in good standing (to the extent such concept is recognized in such jurisdiction) under the laws of its jurisdiction of incorporation or organization, with the requisite power and authority to enter into and perform its obligations under this Agreement, own its properties and conduct its business as described in the Registration Statement, the Disclosure Package and the Prospectus, and (ii) has been duly qualified as a foreign corporation or other business entity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923290"/>
                <wp:effectExtent l="0" t="0" r="0" b="0"/>
                <wp:wrapNone/>
                <wp:docPr id="12" name="Frame12"/>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 of business and is in good standing (to the extent such concept is recognized in such jurisdiction) under the laws of each other jurisdiction in which it owns or leases properties or conducts any business so as to require such qualification, except, in the case of clause (i) with respect to each subsidiary only or clause (ii) with respect to each of the Company and each of its subsidiaries, where the failure to be so qualified, validly existing or in good standing would not, individually or in the aggregate, reasonably be expected to have a Material Adverse Effect; and each subsidiary of the Company that is a “significant subsidiary” as defined in Rule 1-02 of Regulation S-X under the Act has been listed in the Registration Statement.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The Company has an authorized capitalization as set forth in the Registration Statement, the Disclosure Package and the Prospectus and all of the issued shares of capital stock of the Company have been duly and validly authorized and issued and are fully paid and non-assessable and conform in all material respects to the description thereof contained in the Registration Statement, the Disclosure Package and the Prospectus. Except as described in the Registration Statement, the Disclosure Package and the Prospectus, all of the issued and outstanding capital stock of, or other equity interests in, each subsidiary has been duly and validly authorized and issued, are fully paid and non-assessable (to the extent such concept is applicable) and (except, in the case of any foreign subsidiary, for directors’ qualifying shares) are owned directly or indirectly by the Company, free and clear of all material liens, encumbrances, equities or claims, except for such liens or encumbrances described in the Registration Statement, the Disclosure Package and the Prospectus.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Due Authorization of the Shares</w:t>
      </w:r>
      <w:r>
        <w:rPr>
          <w:rFonts w:ascii="Times New Roman;serif" w:hAnsi="Times New Roman;serif"/>
          <w:b w:val="false"/>
          <w:color w:val="000000"/>
          <w:sz w:val="24"/>
        </w:rPr>
        <w:t>.  The Shares to be issued and sold by the Company have been duly and validly authorized and, when the Shares are issued and delivered against payment therefor as provided herein, such Shares will be duly and validly issued and fully paid and non-assessable and will conform in all material respects to the description of the Common Stock contained in the Registration Statement, the Disclosure Package and the Prospectus; and the issuance of the Shares is not subject to any preemptive or similar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xml:space="preserve">.  (i) The issue and sale of the Shares and the compliance by the Company with this Agreement will not and (ii) the execution, delivery and performance of this Agreement and the consummation of the transactions contemplated herein and in the Registration Statement, the Disclosure Package and the Prospectus (including the issuance and sale of the Shares, the use of the proceeds from the sale of the Shares as described therein under the caption “Use of Proceeds”) do not and will not, whether with or without the giving of notice or passage of time or both, (A) conflict with or result in a breach or violation of any of the terms or provisions of, or constitute a default under,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certificate of incorporation or by-laws (or similar organizational documents) of the Company or any of its subsidiaries, or (C) result in the violation of any statute or any judgment, order, rule or regulation of any court or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923290"/>
                <wp:effectExtent l="0" t="0" r="0" b="0"/>
                <wp:wrapNone/>
                <wp:docPr id="13" name="Frame13"/>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agency or body having jurisdiction over the Company, any of its subsidiaries or any of their respective properties, except, with respect to clauses (A) and (C), such conflicts, defaults, breaches or violations that would not individually or in the aggregate, reasonably be expected to have a Material Adverse Effect; and no consent, approval, authorization, order, registration or qualification of or with any such court or governmental agency or body having jurisdiction over the Company, any of its subsidiaries or any of their respective properties is required for the issue and sale of the Shares or the consummation by the Company of the transactions contemplated by this Agreement, except the registration under the Act of the Shares, and such consents, approvals, authorizations, orders, registrations or qualifications as may be required under state securities or Blue Sky laws in connection with the purchase and distribution of the Shares by the Manager.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Absence of Violations, Defaults and Conflicts</w:t>
      </w:r>
      <w:r>
        <w:rPr>
          <w:rFonts w:ascii="Times New Roman;serif" w:hAnsi="Times New Roman;serif"/>
          <w:b w:val="false"/>
          <w:color w:val="000000"/>
          <w:sz w:val="24"/>
        </w:rPr>
        <w:t>. None of the Company or any of its subsidiaries is (i) in violation of its certificate of incorporation or by-laws (or other applicable organization document), (ii) in violation of any statute or any judgment, order, rule or regulation of any court or governmental agency or body having jurisdiction over the Company or any of its subsidiaries or any of their properties, or (iii)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in the case of the foregoing clauses (i), with respect to the Company’s subsidiaries only, (ii) and (iii), for such violations or defaults as would not, individually or in the aggregate,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Due Authorization</w:t>
      </w:r>
      <w:r>
        <w:rPr>
          <w:rFonts w:ascii="Times New Roman;serif" w:hAnsi="Times New Roman;serif"/>
          <w:b w:val="false"/>
          <w:color w:val="000000"/>
          <w:sz w:val="24"/>
        </w:rPr>
        <w:t xml:space="preserve">. The execution and delivery of, and the performance by the Company of its obligations under, this Agreement (including but not limited to the issuance and sale of the Shares and the use of proceeds from the sale of the Shares as described in the Registration Statement, the Disclosure Package and the Prospectus under the caption “Use of Proceeds”) have been duly and validly authorized by all necessary corporate action on the part of the Company and this Agreement has been duly executed and delivered by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Summaries of Law and Documents</w:t>
      </w:r>
      <w:r>
        <w:rPr>
          <w:rFonts w:ascii="Times New Roman;serif" w:hAnsi="Times New Roman;serif"/>
          <w:b w:val="false"/>
          <w:color w:val="000000"/>
          <w:sz w:val="24"/>
        </w:rPr>
        <w:t>.  The statements set forth in the Registration Statement, the Disclosure Package and the Prospectus under the captions “Description of Capital Stock”, insofar as they purport to constitute a summary of the terms of the Stock, under the caption “Material U.S. Federal Income Tax Considerations” and under the caption “Plan of Distribution”, insofar as they purport to describe the provisions of the laws and documents specifically referred to therein and subject to the qualifications, exceptions, assumptions and limitations described therein, are accurate, complete and fair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Possession of Intellectual Property</w:t>
      </w:r>
      <w:r>
        <w:rPr>
          <w:rFonts w:ascii="Times New Roman;serif" w:hAnsi="Times New Roman;serif"/>
          <w:b w:val="false"/>
          <w:color w:val="000000"/>
          <w:sz w:val="24"/>
        </w:rPr>
        <w:t xml:space="preserve">. (i)The Company and its subsidiaries own or possess or, to the knowledge of the Company, can obtain on reasonable terms adequate rights to use any and all patents, trademarks, service marks, trade names, domain names,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23290"/>
                <wp:effectExtent l="0" t="0" r="0" b="0"/>
                <wp:wrapNone/>
                <wp:docPr id="14" name="Frame14"/>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copyrights, software, licenses, know-how (including any trade secrets and any other unpatented and/or unpatentable proprietary or confidential information, systems or procedures) and other technology and intellectual property or similar proprietary rights, including any and all registrations and applications for registration thereof and any and all goodwill associated therewith (collectively, “Intellectual Property”), in each case used by them or otherwise necessary for the conduct of their respective businesses as currently conducted and as proposed to be conducted by them as described in the Registration Statement, the Disclosure Package and the Prospectus (the “Company Intellectual Property”), except as would not, individually or in the aggregate, reasonably be expected to have a Material Adverse Effect; (ii) except as would not, individually or in the aggregate, reasonably be expected to have a Material Adverse Effect, neither the Company nor any of its subsidiaries (A) has infringed, misappropriated or otherwise violated any Intellectual Property of any third party (other than with respect to any Open Source Software); (B) has, to the Company’s knowledge, infringed, misappropriated or otherwise violated any Intellectual Property of any third party with respect to any Open Source Software; or (C) is aware of any Intellectual Property that would render any Company Intellectual Property invalid, unenforceable or inadequate to protect the interest of the Company and any of its subsidiaries therein; (iii) all Company Intellectual Property is valid and enforceable, except, in the case of this subsection (iii), as would not, individually or in the aggregate, reasonably be expected to have a Material Adverse Effect; (iv) to the Company’s knowledge, no third party has materially infringed, misappropriated or otherwise violated any material Company Intellectual Property; (v) all Company Intellectual Property owned by the Company or any of its subsidiaries is owned solely and exclusively by the Company or one of its subsidiaries free and clear of all liens, encumbrances, defects or other restrictions, and there are no third parties who have ownership rights or rights to use, or have a claim over, any Company Intellectual Property, except, in the case of this subsection (v), (A) for the retained rights of the owners of Company Intellectual Property which is licensed to the Company or its subsidiaries, (B) for the rights of customers, licensees, resellers and other channel partners to use Company Intellectual Property in the ordinary course, consistent with past practice (C) as it relates to Open Source Software or (D) as would not, individually or in the aggregate, reasonably be expected to have a Material Adverse Effect; (vi) there is no pending, or to the Company’s knowledge, threatened, action, suit, proceeding or claim by any third party (A) challenging the Company’s or any of its subsidiaries’ rights in or to any Company Intellectual Property, (B) challenging the ownership, validity, enforceability or scope of any Company Intellectual Property or (C) alleging that the Company or any of its subsidiaries infringes, misappropriates or otherwise violates any Intellectual Property rights of others, in each case, except, in the case of this subsection (vi), as would not, individually or in the aggregate, reasonably be expected to have a Material Adverse Effect; (vii) the Company and its subsidiaries have taken commercially reasonably steps consistent with prevalent industry practices to (A) ensure that no material Company Intellectual Property has been obtained or is being used by the Company or any of its subsidiaries in violation of any contractual obligation binding on the Company or any of its subsidiaries, or otherwise in violation of the rights of any persons and (B) secure interests in any material Company Intellectual Property developed by their employees, consultants, agents and contractors in the course of their service to the Company or any of its subsidiaries, including the execution of valid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923290"/>
                <wp:effectExtent l="0" t="0" r="0" b="0"/>
                <wp:wrapNone/>
                <wp:docPr id="15" name="Frame15"/>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assignment agreements or licenses for the benefit of the Company and/or its subsidiaries by such employees, consultants, agents and contractors under which they have assigned or licensed to the Company or its subsidiaries all of their right, title and interest in and to any material Company Intellectual Property and the rights associated therewith; (viii) there are no outstanding options, licenses or binding agreements of any kind relating to the Company Intellectual Property owned by the Company or any of its subsidiaries that are required to be described in the Registration Statement, the Disclosure Package and the Prospectus and are not so described; (ix) the Company and its subsidiaries are not a party to or bound by any options, licenses or binding agreements with respect to any Intellectual Property of any other person or entity that are required to be set forth in the Registration Statement, the Disclosure Package and the Prospectus and are not so described; (x) the Company and its subsidiaries have taken commercially reasonable steps in accordance with prevalent industry practice to maintain the confidentiality of all material Company Intellectual Property the value of which to the Company or any of its subsidiaries is contingent upon maintaining the confidentiality thereof, including any trade secrets and confidential information owned, used or held for use by the Company or any of its subsidiaries that the Company in its reasonable business judgment wishes to maintain as trade secrets, and (xi) no material proprietary software source code included in the Company Intellectual Property (other than any Open Source Software) has been disclosed other than to employees, consultants, agents and contractors in the course of their services to the Company or any of its subsidiaries, all of whom are bound by industry standard confidentiality obligations with respect to such material proprietary software source code and whose rights to use such source code are limited to use for the benefit of the Company or its subsidiaries, and the Company and its subsidiaries have taken commercially reasonable steps in accordance with prevalent industry practice to maintain the confidentiality of such source code.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IT Systems</w:t>
      </w:r>
      <w:r>
        <w:rPr>
          <w:rFonts w:ascii="Times New Roman;serif" w:hAnsi="Times New Roman;serif"/>
          <w:b w:val="false"/>
          <w:color w:val="000000"/>
          <w:sz w:val="24"/>
        </w:rPr>
        <w:t xml:space="preserve">. The information technology systems, networks, equipment and software used by the Company and its subsidiaries in their respective businesses, (collectively, the “IT Assets”) are reasonably adequate for the operation of the respective businesses of the Company and its subsidiaries as currently conducted and as proposed to be conducted by them as described in the Registration Statement, the Disclosure Package and the Prospectus. Except as would not, individually or in the aggregate, reasonably be expected to have a Material Adverse Effect, the IT Assets (i) operate and perform in accordance with their documentation and functional specifications and otherwise as required by the Company’s and its subsidiaries’ respective businesses as currently conducted and as proposed to be conducted by them as described in the Registration Statement, the Disclosure Package and the Prospectus, (ii) have not malfunctioned or failed since the Company’s inception, and (iii) are subject to industry standard scans for, and are free and clear of, all viruses, “back doors,” “Trojan horses,” “time bombs, “worms,” “drop dead devices” or other software or hardware components that are designed or intended to interrupt use of, permit unauthorized access to, or disable, damage or erase, any software or data of the business of the Company or any of its subsidiaries. Except as would not, individually or in the aggregate, reasonably be expected to have a Material Adverse Effect, the Company and its subsidiaries have implemented and are in compliance with commercially reasonable information technology security, backup and disaster recovery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23290"/>
                <wp:effectExtent l="0" t="0" r="0" b="0"/>
                <wp:wrapNone/>
                <wp:docPr id="16" name="Frame16"/>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technology, processes, policies and procedures consistent with prevalent industry practices. Except as would not, individually or in the aggregate, reasonably be expected to have a Material Adverse Effect, there has been no breach, destruction, loss, unauthorized distribution, use, access, disablement, misappropriation, modification or other compromise or misuse of or relating to any IT Asset or data used in connection with the operation of the Company’s and its subsidiaries’ businesses since the Company’s inception.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Cybersecurity; Data Protection.</w:t>
      </w:r>
      <w:r>
        <w:rPr>
          <w:color w:val="000000"/>
        </w:rPr>
        <w:t xml:space="preserve"> </w:t>
      </w:r>
      <w:r>
        <w:rPr>
          <w:rFonts w:ascii="Times New Roman;serif" w:hAnsi="Times New Roman;serif"/>
          <w:b w:val="false"/>
          <w:color w:val="000000"/>
          <w:sz w:val="24"/>
        </w:rPr>
        <w:t>Except as would not, individually or in the aggregate, reasonably be expected to have a Material Adverse Effect, with regard to the Company’s and its subsidiaries’ receipt, collection, handling, processing, sharing, transfer, usage, import, export, disclosure, interception, security, storage and disposal of personal, personally identifiable, household, sensitive, confidential or regulated data, or any other information that (x) identifies or relates to a distinct individual, user account or device, including, without limitation, IP addresses, mobile device identifiers, geolocation information and website usage activity data or (y) is directly linked to any such information (collectively, “Personal and Device Data”), (i) the Company and its subsidiaries comply, and at all times have complied, with all of the Company’s privacy policies, contractual obligations, applicable laws (including the European Union General Data Protection Regulation), statutes, regulations, rules, judgments and orders of any court or arbitrator or other governmental or regulatory authority and any other legal obligations (“Privacy Legal Obligations”); (ii) the Company and its subsidiaries (A) have implemented commercially reasonable policies and procedures designed to ensure the Company and its subsidiaries comply with such Privacy Legal Obligations, (B) take appropriate steps that are reasonably designed to assure compliance with such policies and procedures and (C) such policies and procedures comply with all Privacy Legal Obligations; (iii) the Company and its subsidiaries maintain, and at all times have maintained, reasonable data security policies and procedures designed to protect the confidentiality, security, and integrity of Personal and Device Data and to prevent unauthorized use of and access to Personal and Device Data; (iv) the Company and its subsidiaries have required and do require all third parties to which they provide any Personal and Device Data to maintain the privacy and security of such Personal and Device Data, including by contractually requiring such third parties to protect such Personal and Device Data from unauthorized access, use and/or disclosure; and there has been no unauthorized access to, or use or disclosure of, Personal and Device Data maintained by or for the Company or its subsidiaries; (v) the Company has not received any notification of or complaint regarding, and is unaware of any other facts that would reasonably indicate, non-compliance with any Privacy Legal Obligation; and (vi) there is no pending, or to the Company’s knowledge, threatened action, suit, proceeding or claim by or before any court or governmental agency, authority or body alleging non-compliance with any Privacy Legal Obligation.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Open Source Software</w:t>
      </w:r>
      <w:r>
        <w:rPr>
          <w:rFonts w:ascii="Times New Roman;serif" w:hAnsi="Times New Roman;serif"/>
          <w:b w:val="false"/>
          <w:color w:val="000000"/>
          <w:sz w:val="24"/>
        </w:rPr>
        <w:t xml:space="preserve">.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23290"/>
                <wp:effectExtent l="0" t="0" r="0" b="0"/>
                <wp:wrapNone/>
                <wp:docPr id="17" name="Frame17"/>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Source Software, except as would not, individually or in the aggregate, reasonably be expected to have a Material Adverse Effect; and (ii) neither the Company nor any of its subsidiaries use or distribute, or have used or distributed, any Open Source Software in any manner that, to the knowledge of the Company, requires or has required (A) the Company or any of its subsidiaries to permit reverse engineering of any proprietary products or services of the Company or any of its subsidiaries, or of any proprietary software code or other technology owned by the Company or any of its subsidiaries or (B) any proprietary products or services of the Company or any of its subsidiaries, or any proprietary software code or other technology owned by the Company or any of its subsidiaries, to be (1) disclosed or distributed in source code form, (2) licensed for the purpose of making derivative works or (3) redistributed at no charge or minimum charge, except, (x) in the case of each of (A) and (B) above, for the Open Source Software themselves (and any derivatives thereof), and (y) as would not, individually or in the aggregate,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Absence of Proceedings</w:t>
      </w:r>
      <w:r>
        <w:rPr>
          <w:rFonts w:ascii="Times New Roman;serif" w:hAnsi="Times New Roman;serif"/>
          <w:b w:val="false"/>
          <w:color w:val="000000"/>
          <w:sz w:val="24"/>
        </w:rPr>
        <w:t>.  Other than as set forth in the Registration Statement, the Disclosure Package and the Prospectus, there are no legal or governmental proceedings pending to which the Company or any of its subsidiaries or, to the Company's knowledge, any officer or director of the Company is a party or of which any property or assets of the Company or any of its subsidiaries is the subject which, if determined adversely to the Company or any of its subsidiaries (or such officer or director), would, individually or in the aggregate, reasonably be expected to have a Material Adverse Effect; and, to the knowledge of the Company, no such proceedings are threatened or contemplated by governmental authorities or others.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The Company is not and, upon the issuance and sale of the Shares and the application of the proceeds thereof, will not be an “investment company”, as such term is defined in the Investment Company Act of 1940, as amended.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Financial Statements; Non-GAAP Financial Measures</w:t>
      </w:r>
      <w:r>
        <w:rPr>
          <w:rFonts w:ascii="Times New Roman;serif" w:hAnsi="Times New Roman;serif"/>
          <w:b w:val="false"/>
          <w:color w:val="000000"/>
          <w:sz w:val="24"/>
        </w:rPr>
        <w:t xml:space="preserve">. The financial statements, together with related notes and schedules, included in the Registration Statement, the Disclosure Package and the Prospectus, comply in all material respects with the applicable requirements of the Act and present fairly in all material respects the financial position and the results of operations and cash flows of the entities purported to be shown thereby, at the indicated dates and for the indicated periods. Such financial statements and related schedules have been prepared in accordance with GAAP, consistently applied throughout the periods involved, except as disclosed therein, and all adjustments necessary for a fair presentation of results for such periods have been made. The pro forma financial statements, if any, or data included in the Registration Statement or the Prospectus, if any, comply with the applicable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set forth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23290"/>
                <wp:effectExtent l="0" t="0" r="0" b="0"/>
                <wp:wrapNone/>
                <wp:docPr id="18" name="Frame18"/>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Registration Statement, the Disclosure Package or the Prospectus are accurately and fairly presented and prepared on a basis consistent with the financial statements and books and records of the Company. Any non-GAAP financial measure (as such term is defined by the rules and regulations of the Commission), contained in the Registration Statement, the Disclosure Package and the Prospectus has been derived from the accounting records of the Company or its predecessors for accounting purposes, fairly presents in all material respect the information purported to be shown thereby and complies in all material respects with Regulation G of the Exchange Act, and Item 10 of Regulation S-K under the Act, to the extent applicable. The Company and its subsidiaries do not have any material liabilities or obligations, direct or contingent, not disclosed in Registration Statement, the Disclosure Package and the Prospectus. There are no financial statements (historical or pro forma) that are required to be included in the Registration Statement, the Disclosure Package or the Prospectus that are not included as required.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Independent Accountants</w:t>
      </w:r>
      <w:r>
        <w:rPr>
          <w:rFonts w:ascii="Times New Roman;serif" w:hAnsi="Times New Roman;serif"/>
          <w:b w:val="false"/>
          <w:color w:val="000000"/>
          <w:sz w:val="24"/>
        </w:rPr>
        <w:t>. The accountants who certified the financial statements and supporting schedules included in the Registration Statement, the Disclosure Package and the Prospectus are independent public accountants as required by the Act, the Exchange Act and the Public Company Accounting Oversight Board.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Compliance with the Sarbanes-Oxley Act.</w:t>
      </w:r>
      <w:r>
        <w:rPr>
          <w:color w:val="000000"/>
        </w:rPr>
        <w:t xml:space="preserve"> </w:t>
      </w:r>
      <w:r>
        <w:rPr>
          <w:rFonts w:ascii="Times New Roman;serif" w:hAnsi="Times New Roman;serif"/>
          <w:b w:val="false"/>
          <w:color w:val="000000"/>
          <w:sz w:val="24"/>
        </w:rPr>
        <w:t>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Accounting Controls</w:t>
      </w:r>
      <w:r>
        <w:rPr>
          <w:rFonts w:ascii="Times New Roman;serif" w:hAnsi="Times New Roman;serif"/>
          <w:b w:val="false"/>
          <w:color w:val="000000"/>
          <w:sz w:val="24"/>
        </w:rPr>
        <w:t>. 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of an earlier date than it would otherwise be required to so comply under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23290"/>
                <wp:effectExtent l="0" t="0" r="0" b="0"/>
                <wp:wrapNone/>
                <wp:docPr id="19" name="Frame19"/>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Disclosure Controls</w:t>
      </w:r>
      <w:r>
        <w:rPr>
          <w:rFonts w:ascii="Times New Roman;serif" w:hAnsi="Times New Roman;serif"/>
          <w:b w:val="false"/>
          <w:color w:val="000000"/>
          <w:sz w:val="24"/>
        </w:rPr>
        <w: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Foreign Corrupt Practices Act</w:t>
      </w:r>
      <w:r>
        <w:rPr>
          <w:rFonts w:ascii="Times New Roman;serif" w:hAnsi="Times New Roman;serif"/>
          <w:b w:val="false"/>
          <w:color w:val="000000"/>
          <w:sz w:val="24"/>
        </w:rPr>
        <w:t>.  None of the Company, any of its subsidiaries nor, to the knowledge of the Company, any director, officer, agent, employee, controlled affiliate or other person associated with or acting on behalf of the Company or any of its subsidiaries has (A) used any funds for any unlawful contribution, gift, entertainment or other unlawful expense relating to political activity; (B)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(C)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(D)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maintain and enforce, policies and procedures designed to promote and ensure compliance with all applicable anti-bribery and anti-corruption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(gg)    </w:t>
      </w:r>
      <w:r>
        <w:rPr>
          <w:rFonts w:ascii="Times New Roman;serif" w:hAnsi="Times New Roman;serif"/>
          <w:b w:val="false"/>
          <w:color w:val="000000"/>
          <w:sz w:val="24"/>
          <w:u w:val="single"/>
        </w:rPr>
        <w:t>Money Laundering Laws</w:t>
      </w:r>
      <w:r>
        <w:rPr>
          <w:rFonts w:ascii="Times New Roman;serif" w:hAnsi="Times New Roman;serif"/>
          <w:b w:val="false"/>
          <w:color w:val="000000"/>
          <w:sz w:val="24"/>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serif" w:hAnsi="Times New Roman;serif"/>
          <w:b/>
          <w:color w:val="000000"/>
          <w:sz w:val="24"/>
        </w:rPr>
        <w:t>Anti-Money Laundering Laws</w:t>
      </w:r>
      <w:r>
        <w:rPr>
          <w:color w:val="000000"/>
        </w:rPr>
        <w:t>”</w:t>
      </w:r>
      <w:r>
        <w:rPr>
          <w:rFonts w:ascii="Times New Roman;serif" w:hAnsi="Times New Roman;serif"/>
          <w:b w:val="false"/>
          <w:color w:val="000000"/>
          <w:sz w:val="24"/>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(hh)    </w:t>
      </w:r>
      <w:r>
        <w:rPr>
          <w:rFonts w:ascii="Times New Roman;serif" w:hAnsi="Times New Roman;serif"/>
          <w:b w:val="false"/>
          <w:color w:val="000000"/>
          <w:sz w:val="24"/>
          <w:u w:val="single"/>
        </w:rPr>
        <w:t>OFAC</w:t>
      </w:r>
      <w:r>
        <w:rPr>
          <w:rFonts w:ascii="Times New Roman;serif" w:hAnsi="Times New Roman;serif"/>
          <w:b w:val="false"/>
          <w:color w:val="000000"/>
          <w:sz w:val="24"/>
        </w:rPr>
        <w:t xml:space="preserve">.  None of the Company or any of its subsidiaries nor, to the knowledge of the Company, any director, officer, agent, employee or controlled affiliate of the Company or any of its subsidiaries is currently the subject or the target of any sanctions administered or enforced by the U.S. Government, including, without limitation, the Office of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23290"/>
                <wp:effectExtent l="0" t="0" r="0" b="0"/>
                <wp:wrapNone/>
                <wp:docPr id="20" name="Frame20"/>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Foreign Assets Control of the U.S. Department of the Treasury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or the U.S. Department of State and including, without limitation, the designation as a “specially designated national” or “blocked person”, the United Nations Security Council (“</w:t>
      </w:r>
      <w:r>
        <w:rPr>
          <w:rFonts w:ascii="Times New Roman;serif" w:hAnsi="Times New Roman;serif"/>
          <w:b/>
          <w:color w:val="000000"/>
          <w:sz w:val="24"/>
        </w:rPr>
        <w:t>UNSC</w:t>
      </w:r>
      <w:r>
        <w:rPr>
          <w:color w:val="000000"/>
        </w:rPr>
        <w:t>”</w:t>
      </w:r>
      <w:r>
        <w:rPr>
          <w:rFonts w:ascii="Times New Roman;serif" w:hAnsi="Times New Roman;serif"/>
          <w:b w:val="false"/>
          <w:color w:val="000000"/>
          <w:sz w:val="24"/>
        </w:rPr>
        <w:t>), the European Union, His Majesty’s Treasury (“</w:t>
      </w:r>
      <w:r>
        <w:rPr>
          <w:rFonts w:ascii="Times New Roman;serif" w:hAnsi="Times New Roman;serif"/>
          <w:b/>
          <w:color w:val="000000"/>
          <w:sz w:val="24"/>
        </w:rPr>
        <w:t>HMT</w:t>
      </w:r>
      <w:r>
        <w:rPr>
          <w:color w:val="000000"/>
        </w:rPr>
        <w:t>”</w:t>
      </w:r>
      <w:r>
        <w:rPr>
          <w:rFonts w:ascii="Times New Roman;serif" w:hAnsi="Times New Roman;serif"/>
          <w:b w:val="false"/>
          <w:color w:val="000000"/>
          <w:sz w:val="24"/>
        </w:rPr>
        <w:t>), or other relevant sanctions authority (collectively, “</w:t>
      </w:r>
      <w:r>
        <w:rPr>
          <w:rFonts w:ascii="Times New Roman;serif" w:hAnsi="Times New Roman;serif"/>
          <w:b/>
          <w:color w:val="000000"/>
          <w:sz w:val="24"/>
        </w:rPr>
        <w:t>Sanctions</w:t>
      </w:r>
      <w:r>
        <w:rPr>
          <w:color w:val="000000"/>
        </w:rPr>
        <w:t>”</w:t>
      </w:r>
      <w:r>
        <w:rPr>
          <w:rFonts w:ascii="Times New Roman;serif" w:hAnsi="Times New Roman;serif"/>
          <w:b w:val="false"/>
          <w:color w:val="000000"/>
          <w:sz w:val="24"/>
        </w:rPr>
        <w:t>), nor is the Company or any of its subsidiaries located, organized or resident in a country or territory that is the subject or the target of Sanctions (each, a “</w:t>
      </w:r>
      <w:r>
        <w:rPr>
          <w:rFonts w:ascii="Times New Roman;serif" w:hAnsi="Times New Roman;serif"/>
          <w:b/>
          <w:color w:val="000000"/>
          <w:sz w:val="24"/>
        </w:rPr>
        <w:t>Sanctioned Country</w:t>
      </w:r>
      <w:r>
        <w:rPr>
          <w:color w:val="000000"/>
        </w:rPr>
        <w:t>”</w:t>
      </w:r>
      <w:r>
        <w:rPr>
          <w:rFonts w:ascii="Times New Roman;serif" w:hAnsi="Times New Roman;serif"/>
          <w:b w:val="false"/>
          <w:color w:val="000000"/>
          <w:sz w:val="24"/>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sales agent, underwriter, advisor, investor or otherwise) of Sanctions. Since April 24, 2019, none of the Company or any of its subsidiaries has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Stabilization</w:t>
      </w:r>
      <w:r>
        <w:rPr>
          <w:rFonts w:ascii="Times New Roman;serif" w:hAnsi="Times New Roman;serif"/>
          <w:b w:val="false"/>
          <w:color w:val="000000"/>
          <w:sz w:val="24"/>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Shares in violation of Regulation M of the Exchange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(jj)    </w:t>
      </w:r>
      <w:r>
        <w:rPr>
          <w:rFonts w:ascii="Times New Roman;serif" w:hAnsi="Times New Roman;serif"/>
          <w:b w:val="false"/>
          <w:color w:val="000000"/>
          <w:sz w:val="24"/>
          <w:u w:val="single"/>
        </w:rPr>
        <w:t>XBRL</w:t>
      </w:r>
      <w:r>
        <w:rPr>
          <w:rFonts w:ascii="Times New Roman;serif" w:hAnsi="Times New Roman;serif"/>
          <w:b w:val="false"/>
          <w:color w:val="000000"/>
          <w:sz w:val="24"/>
        </w:rPr>
        <w:t>. The interactive data in the eXtensible Business Reporting Language included as an exhibit to the Registration Statement fairly presents the information called for in all material respects and has been prepared in accordance with the Commission’s rules and guidelines applicable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(kk)    </w:t>
      </w:r>
      <w:r>
        <w:rPr>
          <w:rFonts w:ascii="Times New Roman;serif" w:hAnsi="Times New Roman;serif"/>
          <w:b w:val="false"/>
          <w:color w:val="000000"/>
          <w:sz w:val="24"/>
          <w:u w:val="single"/>
        </w:rPr>
        <w:t>Outbound Investment Rules</w:t>
      </w:r>
      <w:r>
        <w:rPr>
          <w:rFonts w:ascii="Times New Roman;serif" w:hAnsi="Times New Roman;serif"/>
          <w:b w:val="false"/>
          <w:color w:val="000000"/>
          <w:sz w:val="24"/>
        </w:rPr>
        <w:t xml:space="preserve">. Neither the Company nor any of its subsidiaries is a “covered foreign 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the Manager to be in violation of the Outbound Investment Rules or cause the Manager to be legally prohibited by the Outbound Investment Rules from performing under this Agreement. “Outbound Investment Rules” means the regulations administered and enforced, together with any related public guidance issued, by the United States Treasury Department under U.S. Executive Order 14105 or any similar law or regulation; as of the date of this Agreement, the Outbound Investment Rules are codified at 31 C.F.R. § 850.101 et seq. “U.S. Person” means any United States citizen, lawful permanent resident, entity organized under the laws of the United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23290"/>
                <wp:effectExtent l="0" t="0" r="0" b="0"/>
                <wp:wrapNone/>
                <wp:docPr id="21" name="Frame21"/>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States or any jurisdiction within the United States, including any foreign branch of any such entity, or any person in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certificate signed by any officer of the Company or any of its subsidiaries and delivered to the Manager or to counsel for the Manager in connection with this Agreement or any Terms Agreement shall be deemed a representation and warranty by the Company or such subsidiary of the Company, as applicable, to the Manager as to the matters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acknowledges that the Manager and, for purposes of the opinions to be delivered pursuant to Section 4 hereof, counsel for the Company and counsel for the Manager, will rely upon the accuracy and truthfulness of the foregoing representations and hereby consents to such reliance.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Sale and Delivery of Shares</w:t>
      </w:r>
      <w:r>
        <w:rPr>
          <w:rFonts w:ascii="Times New Roman;serif" w:hAnsi="Times New Roman;serif"/>
          <w:b w:val="false"/>
          <w:color w:val="000000"/>
          <w:sz w:val="24"/>
        </w:rPr>
        <w:t>. On the basis of the representations, warranties and agreements herein contained, but subject to the terms and conditions herein set forth, the Company and the Manager agree that the Company may from time to time seek to sell Shares through the Manager, acting as sales agent, or directly to the Manager acting as principal,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Company may submit to the Manager its orders (including any price, time or size limits or other customary parameters or conditions) to sell Shares on any Trading Day (as defined herein) in a form and manner as mutually agreed to by the Company and the Manager. As used herein, “</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shall mean any trading day on the NASDAQ.</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Subject to the terms and conditions hereof, the Manager shall use its reasonable efforts to execute any Company order submitted to it hereunder to sell Shares and with respect to which the Manager has agreed to act as sales agent. The Company acknowledges and agrees that (i) there can be no assurance that the Manager will be successful in selling the Shares, (ii) the Manager will incur no liability or obligation to the Company or any other person or entity if it does not sell Shares for any reason other than a failure by the Manager to use its reasonable efforts consistent with its normal trading and sales practices and applicable law and regulations to sell such Shares as required under this Agreement and (iii) the Manager shall not under any obligation to purchase Shares on a principal basis pursuant to this Agreement, except as otherwise specifically agreed by Manager and the Company. The Manager may make sales pursuant to each order by any method permitted by law, including without limitation (i) by means of ordinary brokers’ transactions (whether or not solicited), (ii) to or through a market maker, (iii) directly on or through any national securities exchange or facility thereof, a trading facility of a national securities association, an alternative trading system, or any other market venue, (iv) in the over-the-counter market, (v) in privately negotiated transactions, or (vi) through a combination of any such methods.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The Company shall not authorize the issuance and sale of, and the Manager shall not sell as sales agent, any Share at a price lower than the minimum price therefor designated from time to time by the Company and notified to the Manager in writing. In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23290"/>
                <wp:effectExtent l="0" t="0" r="0" b="0"/>
                <wp:wrapNone/>
                <wp:docPr id="22" name="Frame22"/>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addition, the Company or the Manager may upon notice to the other party hereto by telephone (confirmed promptly by email or facsimile), suspend an offering of the Shares with respect to which that the Manager is acting as a sales agent;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suspension or termination shall not affect or impair the parties’ respective obligations with respect to the Shares sold hereunder prior to the giving of such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The compensation to the Manager for sales of the Shares with respect to which the Manager acts as a sales agent hereunder shall be 1.5% of the gross offering proceeds of the Shares sold pursuant to this Agreement as mutually agreed to in writing by the Manager and the Company. The foregoing rate of compensation shall not apply when the Manager, acting as principal, purchases Shares from the Company pursuant to a Terms Agreement. Any compensation or commission due and payable to the Manager hereunder with respect to any sale of Shares shall be paid by the Company to the Manager concurrently with the settlement for sales of the Shares by deduction from the proceeds from sales of the Shares payable to the Company. The remaining proceeds, after further deduction for any transaction fees imposed by any governmental or self-regulatory organization in respect of such sales, shall constitute the net proceeds to the Company for such Shares (the “</w:t>
      </w:r>
      <w:r>
        <w:rPr>
          <w:rFonts w:ascii="Times New Roman;serif" w:hAnsi="Times New Roman;serif"/>
          <w:b/>
          <w:color w:val="000000"/>
          <w:sz w:val="24"/>
        </w:rPr>
        <w:t>Net Proceeds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Settlement for sales of the Shares pursuant to this Agreement will occur on the Trading Day following the date on which such sales are made (each such day, a “</w:t>
      </w:r>
      <w:r>
        <w:rPr>
          <w:rFonts w:ascii="Times New Roman;serif" w:hAnsi="Times New Roman;serif"/>
          <w:b/>
          <w:color w:val="000000"/>
          <w:sz w:val="24"/>
        </w:rPr>
        <w:t>Settlement Date</w:t>
      </w:r>
      <w:r>
        <w:rPr>
          <w:color w:val="000000"/>
        </w:rPr>
        <w:t>”</w:t>
      </w:r>
      <w:r>
        <w:rPr>
          <w:rFonts w:ascii="Times New Roman;serif" w:hAnsi="Times New Roman;serif"/>
          <w:b w:val="false"/>
          <w:color w:val="000000"/>
          <w:sz w:val="24"/>
        </w:rPr>
        <w:t>). On each Settlement Date, the Shares sold through the Manager for settlement on such date shall be issued and delivered by the Company to the Manager against payment of the Net Proceeds from the sale of such Shares. Settlement for all such Shares shall be effected by free delivery of the Shares, in definitive form, by the Company or its transfer agent to the Manager’s or its designee’s account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Manager shall have given the Company written notice of such designee prior to the Settlement Date) at The Depository Trust Company through its Deposit and Withdrawal at Custodian System or by such other means of delivery as may be mutually agreed upon by the parties hereto, in return for payments in same day funds delivered to the account designated by the Company. If the Company, or its transfer agent (if applicable) shall default on its obligation to deliver the Shares on any Settlement Date, the Company shall (i) hold the Manager harmless against any loss, claim, damage, or expense (including reasonable legal fees and expenses), as incurred, arising out of or in connection with such default by the Company and (ii) pay the Manager any commission, discount or other compensation to which it would otherwise be entitled absent such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If acting as sales agent hereunder, the Manager shall provide written confirmation (which may be by facsimile or email) to the Company following the close of trading on the NASDAQ each day in which the Shares are sold under this Agreement setting forth (i) the amount of the Shares sold on such day and the gross offering proceeds received from such sale and (ii) the commission payable by the Company to the Manager with respect to such sales.</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23290"/>
                <wp:effectExtent l="0" t="0" r="0" b="0"/>
                <wp:wrapNone/>
                <wp:docPr id="23" name="Frame23"/>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At each Applicable Time, Settlement Date, Representation Date (as defined in Section 4(k)) and Filing Date (as defined in Section 4(q)),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reasonable efforts to sell the Shares on behalf of the Company as sales agent shall be subject to the continuing accuracy of the representations and warranties of the Company herein (and the completion of any diligence to verify such accuracy by the Manager), to the performance by the Company of its obligations hereunder and to the continuing satisfaction of the additional conditions specified in Section 6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Subject to such further limitations on offers and sales of Shares or delivery of instructions to offer and sell Shares as are set forth herein and as may be mutually agreed upon by the Company and the Manager, the Company shall not request the sale of any Shares that would be sold, and the Manager shall not be obligated to sell, (i) during any period in which the Company’s insider trading policy, as it exists on the date of this Agreement, would prohibit the purchase or sale of any Shares by any of its officers or directors, (ii) any time during the period commencing on the tenth business day prior to the time Company shall issue a press release containing, or shall otherwise publicly announce, its earnings, revenues or other results of operations (each, an “</w:t>
      </w:r>
      <w:r>
        <w:rPr>
          <w:rFonts w:ascii="Times New Roman;serif" w:hAnsi="Times New Roman;serif"/>
          <w:b/>
          <w:color w:val="000000"/>
          <w:sz w:val="24"/>
        </w:rPr>
        <w:t>Earnings Announcement</w:t>
      </w:r>
      <w:r>
        <w:rPr>
          <w:color w:val="000000"/>
        </w:rPr>
        <w:t>”</w:t>
      </w:r>
      <w:r>
        <w:rPr>
          <w:rFonts w:ascii="Times New Roman;serif" w:hAnsi="Times New Roman;serif"/>
          <w:b w:val="false"/>
          <w:color w:val="000000"/>
          <w:sz w:val="24"/>
        </w:rPr>
        <w:t>) through and including the time that is 24 hours after the time that the Company files (a “</w:t>
      </w:r>
      <w:r>
        <w:rPr>
          <w:rFonts w:ascii="Times New Roman;serif" w:hAnsi="Times New Roman;serif"/>
          <w:b/>
          <w:color w:val="000000"/>
          <w:sz w:val="24"/>
        </w:rPr>
        <w:t>Filing Time</w:t>
      </w:r>
      <w:r>
        <w:rPr>
          <w:color w:val="000000"/>
        </w:rPr>
        <w:t>”</w:t>
      </w:r>
      <w:r>
        <w:rPr>
          <w:rFonts w:ascii="Times New Roman;serif" w:hAnsi="Times New Roman;serif"/>
          <w:b w:val="false"/>
          <w:color w:val="000000"/>
          <w:sz w:val="24"/>
        </w:rPr>
        <w:t>) a Quarterly Report on Form 10-Q or an Annual Report on Form 10-K that includes consolidated financial statements as of and for the same period or periods, as the case may be, covered by such Earnings Announcement, or (iii) during any other period in which the Company is, or could be deemed to be, in possession of material non-public information.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If the Company wishes to issue and sell the Shares pursuant to this Agreement directly to the Manager acting as principal (each, a “</w:t>
      </w:r>
      <w:r>
        <w:rPr>
          <w:rFonts w:ascii="Times New Roman;serif" w:hAnsi="Times New Roman;serif"/>
          <w:b/>
          <w:color w:val="000000"/>
          <w:sz w:val="24"/>
        </w:rPr>
        <w:t>Placement</w:t>
      </w:r>
      <w:r>
        <w:rPr>
          <w:color w:val="000000"/>
        </w:rPr>
        <w:t>”</w:t>
      </w:r>
      <w:r>
        <w:rPr>
          <w:rFonts w:ascii="Times New Roman;serif" w:hAnsi="Times New Roman;serif"/>
          <w:b w:val="false"/>
          <w:color w:val="000000"/>
          <w:sz w:val="24"/>
        </w:rPr>
        <w:t>), it will notify the Manager of the proposed terms of such Placement. If the Manager, acting as principal, wishes to accept such proposed terms (which the Manager may decline to do for any reason in its sole discretion) or, wishes to accept amended terms proposed by the Company after further discussion, the Manager and the Company will enter into a Terms Agreement setting forth the terms of such Placement. The terms set forth in a Terms Agreement will not be binding on the Company or the Manager unless and until the Company and the Manager has executed such Terms Agreement accepting all of the terms of such Terms Agreement. In the event of a conflict between the terms of this Agreement and the terms of a Terms Agreement, the terms of such Terms Agreement will control.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(j)    Each Placement shall be made in accordance with the terms of this Agreement and, if applicable, a Terms Agreement, which will provide for the sale of such Shares to, and the purchase thereof by, the Manager. A Terms Agreement may also specify certain provisions relating to the reoffering of such Shares by the Manager. The commitment of the Manager to purchase the Shares pursuant to any Terms Agreement shall be deemed to have been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23290"/>
                <wp:effectExtent l="0" t="0" r="0" b="0"/>
                <wp:wrapNone/>
                <wp:docPr id="24" name="Frame24"/>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serif" w:hAnsi="Times New Roman;serif"/>
          <w:b/>
          <w:color w:val="000000"/>
          <w:sz w:val="24"/>
        </w:rPr>
        <w:t>Time of Delivery</w:t>
      </w:r>
      <w:r>
        <w:rPr>
          <w:color w:val="000000"/>
        </w:rPr>
        <w:t>”</w:t>
      </w:r>
      <w:r>
        <w:rPr>
          <w:rFonts w:ascii="Times New Roman;serif" w:hAnsi="Times New Roman;serif"/>
          <w:b w:val="false"/>
          <w:color w:val="000000"/>
          <w:sz w:val="24"/>
        </w:rPr>
        <w:t xml:space="preserve">) and place of delivery of and payment for such Shares.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or a duly authorized committee thereof, and notified to the Manager in writing.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Agreements</w:t>
      </w:r>
      <w:r>
        <w:rPr>
          <w:rFonts w:ascii="Times New Roman;serif" w:hAnsi="Times New Roman;serif"/>
          <w:b w:val="false"/>
          <w:color w:val="000000"/>
          <w:sz w:val="24"/>
        </w:rPr>
        <w:t>. The Company agrees with the Manager 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not file any amendment of the Registration Statement or supplement in connection with the offering and sale of the Shares (including the Prospectus Supplement or any Interim Prospectus Supplement) to the Base Prospectus, the Disclosure Package or the Prospectus, whether pursuant to the Act, the Exchange Act or otherwise, unless (i) the Company has furnished to the Manager a copy of such amendment or supplement (including, for the avoidance of doubt, reports or other information to be filed by the Company under the Exchange Act that would be incorporated by reference into the Registration Statement and the Prospectus) for its review a reasonable period of time prior to filing (or, in the case of Current Reports on Form 8-K, has used its commercially reasonable efforts to so furnish copies to the Manager prior to filing and provided that such obligations with respect to Current Reports on Form 8-K shall apply only during such periods when there is an offering of Shares under this Agreement), and (ii) except for reports or other information required to be filed by the Company under the Exchange Act, the Company will not file any such proposed amendment or supplement to which the Manager reasonably objects. The Company has prepared the Prospectus, in a form approved by the Manager, and shall file such Prospectus, as amended at the Execution Time, with the Commission pursuant to the applicable paragraph of Rule 424(b) promptly after the Execution Time (but in any event within the time period described thereby) and will cause any supplement to the Prospectus to be prepared, in a form approved by the Manager, and will file such supplement with the Commission pursuant to the applicable paragraph of Rule 424(b) within the time period prescribed thereby and will notify the Manager of such timely filing. The Company, subject to this Section 4(a) and Section 4(c), will comply with the requirements of Rule 430B. During any period when the delivery of a prospectus relating to the Shares is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23290"/>
                <wp:effectExtent l="0" t="0" r="0" b="0"/>
                <wp:wrapNone/>
                <wp:docPr id="25" name="Frame25"/>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required (including in circumstances where such requirement may be satisfied pursuant to Rule 172 or any similar rule) to be delivered under the Act in connection with the offering or sale of the Shares, the Company will promptly advise the Manager (A) when the Prospectus, and any supplement thereto, shall have been filed (if required) with the Commission pursuant to Rule 424(b), (B) when, during any period when the delivery of a prospectus (whether physically or through compliance with Rule 172 or any similar rule) is required under the Act in connection with the offering or sale of the Shares, any amendment to the Registration Statement or any new registration statement relating to the Shares shall have been filed or become effective (other than a prospectus supplement relating solely to the offering of securities other than the Shares), (C) of the receipt of any comments from the Commission, (D) of any request by the Commission or its staff for any amendment of the Registration Statement, or for any supplement to the Prospectus or for any additional information, (E) of the issuance by the Commission of any stop order suspending the effectiveness of the Registration Statement or of any notice objecting to its use or any the issuance of any order preventing or suspending the use of the Prospectus or any amendment or supplement thereto, or the institution or threatening of any proceeding for any of such purposes or pursuant to Section 8A of the Act or (F) of the receipt by the Company of any notification with respect to the suspension of the qualification of the Shares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at the earliest possible moment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at any time on or after an Applicable Time but prior to the related Settlement Date or Time of Delivery,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Disclosure Package may cease until it is amended or supplemented; (ii) amend or supplement the Disclosure Package to correct such statement or omission; and (iii) supply any amendment or supplement to the Manager in such quantities as the Manager may reasonably request.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During any period when the delivery of a prospectus relating to the Shares is required (including in circumstances where such requirement may be satisfied pursuant to Rule 172 or any similar rule) to be delivered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23290"/>
                <wp:effectExtent l="0" t="0" r="0" b="0"/>
                <wp:wrapNone/>
                <wp:docPr id="26" name="Frame26"/>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the Act or the Exchange Act or the respective rules thereunder, including in connection with use or delivery of the Prospectus, the Company promptly will (i) notify the Manager of any such event, (ii) prepare and file with the Commission, subject to the first sentence of paragraph (a) of this Section 4,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As soon as practicable, the Company will make generally available (which may be satisfied by filing on EDGAR) to its security holders and to the Manager an earnings statement or statements of the Company and its subsidiaries which will satisfy the provisions of Section 11(a) of the Act and Rule 158.</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Company will deliver to the Manager and counsel for the Manager, without charge, as the Manager or counsel for the Manager may reasonably request,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The Registration Statement and each amendment thereto furnished to the Manager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Company will deliver to the Manager and counsel for the Manager, without charge, for so long as delivery of a prospectus by the Manager or dealer may be required by the Act (including in circumstances where such requirement may be satisfied pursuant to Rule 172 or any similar rule), as many copies of the Prospectus and each Issuer Free Writing Prospectus and any supplement thereto as the Manager may reasonably request. The Prospectus and any Issuer Free Writing Prospectus and any amendments or supplements thereto furnished to the Manager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The Company will arrange, if necessary, for the qualification of the Shares for sale under the laws of such jurisdictions as the Manager may designate and will maintain such qualifications in effect so long as required for the distribution of the Shares;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or where it would be subject to taxation as a foreign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923290"/>
                <wp:effectExtent l="0" t="0" r="0" b="0"/>
                <wp:wrapNone/>
                <wp:docPr id="27" name="Frame27"/>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prior written consent of the parties hereto shall be deemed to have been given in respect of the Free Writing Prospectuses included in Schedule I hereto. Any such free writing prospectus consented to by the Manager or the Company is hereinafter referred to as a “</w:t>
      </w:r>
      <w:r>
        <w:rPr>
          <w:rFonts w:ascii="Times New Roman;serif" w:hAnsi="Times New Roman;serif"/>
          <w:b/>
          <w:color w:val="000000"/>
          <w:sz w:val="24"/>
        </w:rPr>
        <w:t>Permitted Free Writing Prospectus</w:t>
      </w:r>
      <w:r>
        <w:rPr>
          <w:rFonts w:ascii="Times New Roman;serif" w:hAnsi="Times New Roman;serif"/>
          <w:b w:val="false"/>
          <w:color w:val="000000"/>
          <w:sz w:val="24"/>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Company will not (i) take, directly or indirectly, any action designed to or that might reasonably be expected to cause or result in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The Company will, prior to requesting the sale of any Shares hereunder and at any time during which it has requested the sale of any Shares hereunder or when delivery of a prospectus by the Manager may be required by the Act, advise the Manager promptly after it shall have received notice or obtain knowledge thereof, of any information or fact that would materially alter or affect any opinion, certificate, letter and other document provided to the Manager pursuant to Section 6 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Upon commencement of the offering of the Shares under this Agreement (if requested by the Manager) (and upon the recommencement of the offering of the Shares under this Agreement following the termination of a suspension of sales hereunder), and each time that (i) the Registration Statement or the Prospectus shall be amended or supplemented (other than (A) an Interim Prospectus Supplement filed pursuant to Rule 424(b) pursuant to Section 4(q) of this Agreement, (B) a prospectus supplement relating solely to the offering or resale of securities other than the Shares or (C) the filing with the Commission of any report under the Exchange Act except such reports referred to in Section 4(k)(ii)), (ii) there is filed with the Commission any annual report on Form 10-K or quarterly report on Form 10-Q, or any other document that contains financial statements or financial information that is incorporated by reference into the Prospectus, or any amendment thereto, or (iii) the Shares are delivered to the Manager as principal at the Time of Delivery pursuant to a Terms Agreement (the date of such commencement (in the case that the above-mentioned request is made by the Manager), the date of each such recommencement and the date of each such event referred to in (i), (ii) and (iii) above, a “</w:t>
      </w:r>
      <w:r>
        <w:rPr>
          <w:rFonts w:ascii="Times New Roman;serif" w:hAnsi="Times New Roman;serif"/>
          <w:b/>
          <w:color w:val="000000"/>
          <w:sz w:val="24"/>
        </w:rPr>
        <w:t>Representation Date</w:t>
      </w:r>
      <w:r>
        <w:rPr>
          <w:color w:val="000000"/>
        </w:rPr>
        <w:t>”</w:t>
      </w:r>
      <w:r>
        <w:rPr>
          <w:rFonts w:ascii="Times New Roman;serif" w:hAnsi="Times New Roman;serif"/>
          <w:b w:val="false"/>
          <w:color w:val="000000"/>
          <w:sz w:val="24"/>
        </w:rPr>
        <w:t xml:space="preserve">), the Company shall furnish or cause to be furnished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923290"/>
                <wp:effectExtent l="0" t="0" r="0" b="0"/>
                <wp:wrapNone/>
                <wp:docPr id="28" name="Frame28"/>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Manager forthwith a certificate dated and delivered on such Representation Date, as the case may be, in form satisfactory to the Manager to the effect that the statements contained in the certificate referred to in Section 6(d) of this Agreement which were last furnished to the Manager are true and correct at the time of such Representation Date,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the Disclosure Package and the Prospectus as amended and supplemented to the time of delivery of such certificate. The requirement to provide a certificate under this Section 4(k) shall be waived for any Representation Date occurring at a time when no Company order submitted to the Manager hereunder to sell Shares is pending or a suspension of sales hereunder is in effect, which waiver shall continue until the earlier to occur of the date the Company submits an order to the Manager to sell Shares hereunder (which for such calendar quarter shall be considered a Representation Date) and the next occurring Representation Date. Notwithstanding the foregoing, if the Company subsequently decides to sell Shares following a Representation Date when the Company relied upon the foregoing waiver and therefore did not provide the Manager with a certificate under this Section 4(k), then before the Company submits an order for the sale of Shares or the Manager sells any Shares pursuant to such order, the Company shall provide the Manager with a certificate in conformity with this Section 4(k) dated as of the date that the order for the sale of Shares is submitted to the Manager hereunder, provided that for the avoidance of doubt, such date the certificate is delivered pursuant to the foregoing sentence shall also be a Representation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At each Representation Date with respect to which the Company is obligated to deliver a certificate pursuant to Section 4(k) for which no waiver is applicable, the Company shall furnish or cause to be furnished forthwith to the Manager and to counsel to the Manager a written opinion of Paul, Weiss, Rifkind, Wharton &amp; Garrison LLP, counsel to the Company (“</w:t>
      </w:r>
      <w:r>
        <w:rPr>
          <w:rFonts w:ascii="Times New Roman;serif" w:hAnsi="Times New Roman;serif"/>
          <w:b/>
          <w:color w:val="000000"/>
          <w:sz w:val="24"/>
        </w:rPr>
        <w:t>Company</w:t>
      </w:r>
      <w:r>
        <w:rPr>
          <w:color w:val="000000"/>
        </w:rPr>
        <w:t xml:space="preserve"> </w:t>
      </w:r>
      <w:r>
        <w:rPr>
          <w:rFonts w:ascii="Times New Roman;serif" w:hAnsi="Times New Roman;serif"/>
          <w:b/>
          <w:color w:val="000000"/>
          <w:sz w:val="24"/>
        </w:rPr>
        <w:t>Counsel</w:t>
      </w:r>
      <w:r>
        <w:rPr>
          <w:color w:val="000000"/>
        </w:rPr>
        <w:t>”</w:t>
      </w:r>
      <w:r>
        <w:rPr>
          <w:rFonts w:ascii="Times New Roman;serif" w:hAnsi="Times New Roman;serif"/>
          <w:b w:val="false"/>
          <w:color w:val="000000"/>
          <w:sz w:val="24"/>
        </w:rPr>
        <w:t>), or other counsel reasonably satisfactory to the Manager, dated and delivered on such Representation Date, in form and substance satisfactory to the Manager, of the same tenor as the opinion referred to in Section 6(b) of this Agreement, but modified as necessary to relate to the Registration Statement, the Disclosure Package and the Prospectus as amended and supplemented to the time of delivery of such opinion.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At each Representation Date, Davis Polk &amp; Wardwell LLP with respect to which the Company is obligated to deliver a certificate pursuant to Section 4(k) for which no waiver is applicable, counsel to the Manager, shall deliver a written opinion and disclosure letter, dated and delivered on such Representation Date, in form and substance satisfactory to the Manager, of the same tenor as the opinions and disclosure letter referred to in Section 6(c) of this Agreement but modified as necessary to relate to the Registration Statement, the Disclosure Package and the Prospectus as amended and supplemented to the time of delivery of such opinion.</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923290"/>
                <wp:effectExtent l="0" t="0" r="0" b="0"/>
                <wp:wrapNone/>
                <wp:docPr id="29" name="Frame29"/>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(n)    At each Representation Date, the Company shall cause KPMG LLP (the “</w:t>
      </w:r>
      <w:r>
        <w:rPr>
          <w:rFonts w:ascii="Times New Roman;serif" w:hAnsi="Times New Roman;serif"/>
          <w:b/>
          <w:color w:val="000000"/>
          <w:sz w:val="24"/>
        </w:rPr>
        <w:t>Accountants</w:t>
      </w:r>
      <w:r>
        <w:rPr>
          <w:color w:val="000000"/>
        </w:rPr>
        <w:t>”</w:t>
      </w:r>
      <w:r>
        <w:rPr>
          <w:rFonts w:ascii="Times New Roman;serif" w:hAnsi="Times New Roman;serif"/>
          <w:b w:val="false"/>
          <w:color w:val="000000"/>
          <w:sz w:val="24"/>
        </w:rPr>
        <w:t>) and PricewaterhouseCoopers LLP (the “</w:t>
      </w:r>
      <w:r>
        <w:rPr>
          <w:rFonts w:ascii="Times New Roman;serif" w:hAnsi="Times New Roman;serif"/>
          <w:b/>
          <w:color w:val="000000"/>
          <w:sz w:val="24"/>
        </w:rPr>
        <w:t>Predecessor Accountants</w:t>
      </w:r>
      <w:r>
        <w:rPr>
          <w:color w:val="000000"/>
        </w:rPr>
        <w:t>”</w:t>
      </w:r>
      <w:r>
        <w:rPr>
          <w:rFonts w:ascii="Times New Roman;serif" w:hAnsi="Times New Roman;serif"/>
          <w:b w:val="false"/>
          <w:color w:val="000000"/>
          <w:sz w:val="24"/>
        </w:rPr>
        <w:t>) with respect to which the Company is obligated to deliver a certificate pursuant to Section 4(k) for which no waiver is applicable, if applicable, or other independent accountants satisfactory to the Manager forthwith, to furnish the Manager a letter, dated and delivered on such Representation Date, in form and substance satisfactory to the Manager of the same tenor as the letter referred to in Section 6(e) of this Agreement but modified to relate to the Registration Statement, the Disclosure Package and the Prospectus, as amended and supplemented to the date of such letter.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At each Representation Date, the Company shall have furnished or caused to be furnished to the Manager a certificate of the Chief Financial Officer of the Company, dated and delivered on such Representation Date, in form and substance reasonably satisfactory to the Manager.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At each Representation Date, and at such other times as may be reasonably requested by the Manager (which shall be on a monthly basis or otherwise), the Company will conduct a due diligence session, in form and substance satisfactory to the Manager, which shall include representatives of the management of the Company and the independent accountants of the Company.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officers and agents of the Company during regular business hours and at the Company’s principal offices, and timely furnishing or causing to be furnished such certificates, letters and opinions from the Company, and their officers and agents, as the Manager may reasonably request.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Nothing in this Agreement shall restrict the Manager from trading, and the Company acknowledges that the Manager may trade in the Common Stock for the Manager’s own account and for the account of its clients before, at the same time as, or after sales of the Shares occur pursuant to this Agreement or pursuant to a Terms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(r)    The Company will either (i) disclose in its Annual Reports on Form 10-K and Quarterly Reports on Form 10-Q, as applicable, with regard to the relevant quarter, the number of the Shares sold by or through the Manager pursuant to this Agreement, the Net Proceeds to the Company and the compensation paid by the Company with respect to such sales of the Shares pursuant to this Agreement, or (ii) on or prior to the earlier of (A) the date on which the Company shall file a Quarterly Report on Form 10-Q or an Annual Report on Form 10-K in respect of any fiscal quarter in which sales of Shares were made by the Manager pursuant to this Agreement and (B) the date on which the Company shall be obligated to file such document referred to in clause (A) in respect of such quarter (each such date, and any date on which an amendment to any such document is filed, a “</w:t>
      </w:r>
      <w:r>
        <w:rPr>
          <w:rFonts w:ascii="Times New Roman;serif" w:hAnsi="Times New Roman;serif"/>
          <w:b/>
          <w:color w:val="000000"/>
          <w:sz w:val="24"/>
        </w:rPr>
        <w:t>Filing Date</w:t>
      </w:r>
      <w:r>
        <w:rPr>
          <w:color w:val="000000"/>
        </w:rPr>
        <w:t>”</w:t>
      </w:r>
      <w:r>
        <w:rPr>
          <w:rFonts w:ascii="Times New Roman;serif" w:hAnsi="Times New Roman;serif"/>
          <w:b w:val="false"/>
          <w:color w:val="000000"/>
          <w:sz w:val="24"/>
        </w:rPr>
        <w:t xml:space="preserve">), the Company will file a prospectus supplement with the Commission under the applicable paragraph of Rule 424(b), which prospectus supplement will set forth, with regard to such quarter, the number of the Shares sold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923290"/>
                <wp:effectExtent l="0" t="0" r="0" b="0"/>
                <wp:wrapNone/>
                <wp:docPr id="30" name="Frame30"/>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or through the Manager pursuant to this Agreement, the Net Proceeds to the Company and the compensation paid by the Company with respect to such sales of the Shares pursuant to this Agreement and deliver such number of copies of each such prospectus supplement to the NASDAQ as are required by such exchange.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    If, to the knowledge of the Company, the conditions set forth in Section 6(a) or 6(f) shall not be true and correct on the applicable Settlement Date or Time of Delivery, the Company will offer to any person who has agreed to purchase Shares from the Company as the result of an offer to purchase solicited by the Manager the right to refuse to purchase and pay for such Shares.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Each acceptance by the Company of an offer to purchase the Shares hereunder, and each execution and delivery by the Company of a Terms Agreement, shall be deemed to be an affirmation to the Manager party to a Terms Agreement, as the case may be,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    The Company will use its commercially reasonable efforts to cause the Shares to be listed for trading on NASDAQ and to maintain such listing.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During any period when the delivery of a prospectus relating to the Shares is required (including in circumstances where such requirement may be satisfied pursuant to Rule 172 or any similar rule) to be delivered under the Act, the Company shall file, on a timely basis, with the Commission and the NASDAQ all reports and documents required to be filed under the Exchange Act and the regulations thereunder.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    The Company shall cooperate with the Manager and use its reasonable efforts to permit the Shares to be eligible for clearance and settlement through the facilities of DTC.</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The Company will apply the Net Proceeds from the sale of the Shares in the manner set forth in the Disclosure Package and the Prospectus.</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Payment of Expenses</w:t>
      </w:r>
      <w:r>
        <w:rPr>
          <w:rFonts w:ascii="Times New Roman;serif" w:hAnsi="Times New Roman;serif"/>
          <w:b w:val="false"/>
          <w:color w:val="000000"/>
          <w:sz w:val="24"/>
        </w:rPr>
        <w:t xml:space="preserve">. The Company agrees to pay all costs, fees and expenses incurred in connection with the performance of its obligations under this Agreement, whether or not the transactions contemplated hereby are consummated, including without limitation (i) all expenses incident to the issuance and delivery of the Shares (including all printing and engraving costs), (ii) all necessary issue, transfer and other stamp taxes in connection with the issuance and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923290"/>
                <wp:effectExtent l="0" t="0" r="0" b="0"/>
                <wp:wrapNone/>
                <wp:docPr id="31" name="Frame31"/>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sale of the Shares, (iii) all fees and expenses of the Company’s counsel, independent public or certified public accountants and other advisors to the Company, and the reasonable fees and expenses of the Manager’s counsel (which shall be one outside counsel for the Manager unless otherwise agreed by the Company), (iv) all costs and expenses incurred in connection with the preparation, printing, filing, shipping and distribution of the Registration Statement (including financial statements, exhibits, schedules, consents and certificates of experts), each Issuer Free Writing Prospectus and the Prospectus, and all amendments and supplements thereto, and this Agreement, (v) all filing fees, attorneys’ fees and expenses incurred by the Company or the Manager in connection with qualifying or registering (or obtaining exemptions from the qualification or registration of) all or any part of the Shares for offer and sale under the state securities or blue sky laws, and, if requested by the Manager, preparing a “Blue Sky Survey” or memorandum, and any supplements thereto, advising the Manager of such qualifications, registrations and exemptions, (vi) the filing fees incident to the review and approval by FINRA of the terms of the sale of the Shares, (vii) the fees and expenses associated with listing of the Shares on the NASDAQ, (viii) all fees and expenses of the registrar and transfer agent of the Common Stock, (ix) all fees and expenses (including reasonable fees and expenses of counsel) of the Company in connection with approval of the Shares by DTC for “book-entry” transfer, (x) all other fees, costs and expenses referred to in Item 14 of Part II of the Registration Statement and (xi) all other fees, costs and expenses incurred in connection with the performance of its obligations hereunder for which provision is not otherwise made in this Section 5. Except as provided in this Section 5 and in Section 7 hereof, the Manager shall pay their own expenses.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Conditions to the Obligations of the Manager</w:t>
      </w:r>
      <w:r>
        <w:rPr>
          <w:rFonts w:ascii="Times New Roman;serif" w:hAnsi="Times New Roman;serif"/>
          <w:b w:val="false"/>
          <w:color w:val="000000"/>
          <w:sz w:val="24"/>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4(q) of this Agreement;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Company shall have requested and caused Company Counsel to furnish to the Manager, on every date specified in Section 4(l) of this Agreement, opinions in form and substance satisfactory to the Manager.</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923290"/>
                <wp:effectExtent l="0" t="0" r="0" b="0"/>
                <wp:wrapNone/>
                <wp:docPr id="32" name="Frame32"/>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Manager shall have received from Davis Polk &amp; Wardwell LLP, counsel for the Manager, on every date specified in Section 4(m) of this Agreement, such opinion or opinions and disclosure letter or letters, dated as of such date and addressed to the Manager, with respect to the issuance and sale of the Shares, the Registration Statement, the Disclosure Package, the Prospectus (together with any supplement thereto) and other related matters as the Manager may reasonably require, and the Company shall have furnished to such counsel such documents as they request for the purpose of enabling them to pass upon such matters.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Company shall have furnished or caused to be furnished to the Manager, on every date specified in Section 4(k) of this Agreement, a certificate of the Company, signed by the chief executive officer, the chief financial officer or the chief accounting officer of the Company, dated as of such date, to the effect that the signer of such certificate has carefully examined the Registration Statement, the Disclosure Package and the Prospectus and any supplements or amendments thereto and this Agreement and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Company has received no stop order suspending the effectiveness of the Registration Statement, and no proceedings for such purpose or pursuant to Section 8A of the Act have been instituted or, to the Company’s knowledge, threatened by the Commission;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since the date of the most recent financial statements included in the Prospectus and the Disclosure Package, there has been no event or condition of a type described in Section </w:t>
      </w:r>
      <w:hyperlink w:anchor="ibe6722779ddb438aa189562cd249f3fd_1">
        <w:r>
          <w:rPr>
            <w:rStyle w:val="InternetLink"/>
            <w:rFonts w:ascii="Times New Roman;serif" w:hAnsi="Times New Roman;serif"/>
            <w:b w:val="false"/>
            <w:strike w:val="false"/>
            <w:dstrike w:val="false"/>
            <w:color w:val="000000"/>
            <w:sz w:val="24"/>
            <w:u w:val="none"/>
            <w:effect w:val="none"/>
          </w:rPr>
          <w:t>2(l)</w:t>
        </w:r>
      </w:hyperlink>
      <w:r>
        <w:rPr>
          <w:rFonts w:ascii="Times New Roman;serif" w:hAnsi="Times New Roman;serif"/>
          <w:b w:val="false"/>
          <w:color w:val="000000"/>
          <w:sz w:val="24"/>
        </w:rPr>
        <w:t xml:space="preserve"> hereof (a “</w:t>
      </w:r>
      <w:r>
        <w:rPr>
          <w:rFonts w:ascii="Times New Roman;serif" w:hAnsi="Times New Roman;serif"/>
          <w:b/>
          <w:color w:val="000000"/>
          <w:sz w:val="24"/>
        </w:rPr>
        <w:t>Material Adverse Change</w:t>
      </w:r>
      <w:r>
        <w:rPr>
          <w:color w:val="000000"/>
        </w:rPr>
        <w:t>”</w:t>
      </w:r>
      <w:r>
        <w:rPr>
          <w:rFonts w:ascii="Times New Roman;serif" w:hAnsi="Times New Roman;serif"/>
          <w:b w:val="false"/>
          <w:color w:val="000000"/>
          <w:sz w:val="24"/>
        </w:rPr>
        <w:t>), except as set forth in or contemplated in the Disclosure Package and the Prospectus;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the representations, warranties and covenants set forth in Section 2 of this Agreement are true and correct with the same force and effect as though expressly made on and as of such date;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the Company and its subsidiaries have complied with all the agreements hereunder and satisfied all the conditions on its part to be performed or satisfied hereunder at or prior to such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The Company shall have requested and caused the Accountants and the Predecessor Accountants, if applicable, to have furnished to the Manager, on every date specified in Section 4(n) hereof and to the extent requested by the Manager in connection with any offering of the Shares, letters (which may refer to letters previously delivered to the Manager), dated as of such date, in form and substance satisfactory to the Manager, which letters shall cover, without limitation, the various financial statements and disclosures contained in the Registration Statement, the Disclosure Package and the Prospectus and other matters ordinarily covered by accountants’ “comfort letters” to underwriters in connection with registered public offerings as contemplated in the Statement on Auditing Standards No. 72, as well as confirming that they have performed a review of any unaudited interim financial information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23290"/>
                <wp:effectExtent l="0" t="0" r="0" b="0"/>
                <wp:wrapNone/>
                <wp:docPr id="33" name="Frame33"/>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included in the Registration Statement, the Disclosure Package and the Prospectus in accordance with Statement on Auditing Standards No. 100.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References to the Prospectus in this paragraph (e) include any supplement thereto at the date of the letter.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Since the respective dates as of which information is disclosed in the Registration Statement, the Disclosure Package and the Prospectus, except as otherwise stated therein, there shall not have been (i) any change or decrease specified in the letter or letters referred to in paragraph (e) of this Section 6 or (ii) Material Adverse Change, except as set forth in or contemplated in the Disclosure Package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Disclosure Package and the Prospectus (exclusive of any amendment or supplement thereto).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FINRA shall not have raised any objection with respect to the fairness and reasonableness of the terms and arrangements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Nasdaq shall not have objected to the listing of the Shares for trading on Nasdaq.</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Prior to each Settlement Date and Time of Delivery, as applicable, the Company shall have furnished to the Manager such further information, certificates and documents as the Manager may reasonably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with respect to itself only. Notice of such cancellation shall be given to the Company in writing or by telephone or facsimile confirmed in writing.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documents required to be delivered by this Section 6 shall be delivered electronically at the office of Davis Polk &amp; Wardwell LLP, counsel for the Manager, at 900 Middlefield Road, Redwood City, CA 94063, on each such date as provided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Indemnification and Contribution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Company agrees to indemnify and hold harmless the Manager, its affiliates, as such term is defined in Rule 501(b) under the Act (each, an “</w:t>
      </w:r>
      <w:r>
        <w:rPr>
          <w:rFonts w:ascii="Times New Roman;serif" w:hAnsi="Times New Roman;serif"/>
          <w:b/>
          <w:color w:val="000000"/>
          <w:sz w:val="24"/>
        </w:rPr>
        <w:t>Affiliate</w:t>
      </w:r>
      <w:r>
        <w:rPr>
          <w:color w:val="000000"/>
        </w:rPr>
        <w:t>”</w:t>
      </w:r>
      <w:r>
        <w:rPr>
          <w:rFonts w:ascii="Times New Roman;serif" w:hAnsi="Times New Roman;serif"/>
          <w:b w:val="false"/>
          <w:color w:val="000000"/>
          <w:sz w:val="24"/>
        </w:rPr>
        <w:t xml:space="preserve">), the directors, officers, employees and agents of the Manager, any broker-dealer affiliate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923290"/>
                <wp:effectExtent l="0" t="0" r="0" b="0"/>
                <wp:wrapNone/>
                <wp:docPr id="34" name="Frame34"/>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Manager through which Shares are sold, and each person who controls the Manager within the meaning of either the Act or the Exchange Act and against any loss, claim, damage, liability or expense, as incurred, to which they or any of them may become subject under the Act, the Exchange Act or other federal or state statutory law or regulation, at common law or otherwise (including in settlement of any litigation, if such settlement is effected with the written consent of the Company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or (iii) in whole or in part upon any inaccuracy in the representations and warranties of the Company contained herein; or (iv) in whole or in part upon any failure of the Company to perform its obligations hereunder or under law; and agrees to reimburse each such indemnified party, for any and all expenses (including the reasonable fees and disbursements of counsel chosen by the indemnified party) as such expenses are reasonably incurred by them in connection with investigating, defending, settling, compromising or paying any such loss, claim, damage, liability, expense or action;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Manager expressly for use in the Registration Statement (or any amendment thereto), any Issuer Free Writing Prospectus or the Prospectus (or any amendment or supplement thereto). This indemnity agreement will be in addition to any liabilities that the Company may otherwise have.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Manager agrees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the Manager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923290"/>
                <wp:effectExtent l="0" t="0" r="0" b="0"/>
                <wp:wrapNone/>
                <wp:docPr id="35" name="Frame35"/>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Base Prospectus, any Issuer Free Writing Prospectus, any Prospectus Supplement or any Interim Prospectus Supplement (or any amendment or supplement thereto), in reliance upon and in conformity with written information furnished to the Company by the Manager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indemnity agreement set forth in this Section 7(b) shall be in addition to any liabilities that the Manager may otherwise have. The Company acknowledges that with respect to the Manager, (i) the name of the Manager and (ii) the eleventh paragraph under “Plan of Distribution” constitute the only information furnished in writing by or on behalf of the Manager for inclusion in the Registration Statement, the Base Prospectus, any Issuer Free Writing Prospectus, any Prospectus Supplement or any Interim Prospectus Supplement (or any amendment or supplement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paragraph (a) or (b) above or to the extent it is not prejudiced (through the forfeiture of substantive rights or defenses)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923290"/>
                <wp:effectExtent l="0" t="0" r="0" b="0"/>
                <wp:wrapNone/>
                <wp:docPr id="36" name="Frame36"/>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indemnifying party to such indemnified party of such indemnifying party’s election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shall not be liable for the expenses of more than one separate counsel (together with local counsel), approved by the indemnifying party (the Manager in the case of Section 7(b) and Section 7(e)), representing the indemnified parties who are parties to such action),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or (iii) the indemnifying party shall authorize the indemnified party to employ separate counsel at the expense of the indemnifying party.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 and no indemnifying party shall be liable for any settlement or compromise of, or consent to the entry of judgment with respect to, any such action or claim effected without its consent, in each case which consent shall not be unreasonably withheld, conditioned or delayed.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If the indemnification provided for in this Section 7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Manager, on the other hand, from the offering of the Shares pursuant to this Agreement, or (ii) if the allocation provided by clause (i) above is not permitted by applicable law, in such proportion as is appropriate to reflect not only the relative benefits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923290"/>
                <wp:effectExtent l="0" t="0" r="0" b="0"/>
                <wp:wrapNone/>
                <wp:docPr id="37" name="Frame37"/>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referred to in clause (i) above but also the relative fault of the Company, on the one hand, and the Manager, on the other hand, in connection with the statements or omissions or inaccuracies in the representations and warranties herein which resulted in such losses, claims, damages, liabilities or expenses, as well as any other relevant equitable considerations. The relative benefits received by the Company shall be deemed to be equal to the total net proceeds from the offering (before deducting expenses) received by them, and benefits received by the Manager shall be deemed to be equal to the total compensation received by the Manager under Section 3(c) of this Agreement, in each case as determined by this Agreement or any applicable Terms Agreement. The relative fault of the Company, on the one hand, and the Manager, on the other hand, shall be determined by reference to, among other things, whether any such untrue or alleged untrue statement of a material fact or omission or alleged omission to state a material fact or any such inaccurate or alleged inaccurate representation or warranty relates to information supplied by the Company, on the one hand, or the Manager, on the other hand, and the parties’ relative intent, knowledge, access to information and opportunity to correct or prevent such statement or omission.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amount paid or payable by a party as a result of the losses, claims, damages, liabilities and expenses referred to above shall be deemed to include, subject to the limitations set forth in Section 7(c), any legal or other fees or expenses reasonably incurred by such party in connection with investigating or defending any action or claim. The provisions set forth in Section 7(c) with respect to notice of commencement of any action shall apply if a claim for contribution is to be made under this Section 7(e);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additional notice shall be required with respect to any action for which notice has been given under Section 7(c) for purposes of indemnification.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Manager agree that it would not be just and equitable if contribution pursuant to this Section 7(e) were determined by pro rata allocation (even if the Manager was treated as one entity for such purpose) or by any other method of allocation which does not take account of the equitable considerations referred to in this Section 7(e).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provisions of this Section 7(e), the Manager shall not be required to contribute any amount in excess of the discounts and commissions received by the Manager in connection with the Shares sold by it pursuant to this Agreement and any applicable Terms Agreement in the specific transaction or transactions giving rise to the contribution obligation. No person guilty of fraudulent misrepresentation (within the meaning of Section 11(f) of the Act) shall be entitled to contribution from any person who was not guilty of such fraudulent misrepresentation. For purposes of this Section 7(e), each Affiliate, director, officer, employee and agent of the Manager, each person, if any, who controls the Manager within the meaning of the Act and the Exchange Act and any broker-dealer affiliate of the Manager through which Shares are sold shall have the same rights to contribution as the Manager, and each director of the Company or each officer of the Company who signed the Registration Statement, and each person, if any, who controls the Company within the meaning of the Act and the Exchange Act shall have the same rights to contribution as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923290"/>
                <wp:effectExtent l="0" t="0" r="0" b="0"/>
                <wp:wrapNone/>
                <wp:docPr id="38" name="Frame38"/>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Termination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the Manager for the Company, then Section 4(s) shall remain in full force and effect with respect to the Manager and the Company, (ii) with respect to any pending sale, through the Manager for the Company, the obligations of the Company, including in respect of compensation of the Manager, shall remain in full force and effect notwithstanding the termination and (iii) the provisions of Sections 2, 5, 7, 9, 10, 12 and 14 of this Agreement shall remain in full force and effect notwithstanding such termination.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2, 5, 7, 9, 10, 12 and 14 of this Agreement shall remain in full force and effect with respect to the Manager notwithstanding such 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This Agreement shall remain in full force and effect unless terminated pursuant to Sections 8(a) or (b) above or otherwise by mutual agreement of the parties;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such termination by mutual agreement shall in all cases be deemed to provide that Sections 2, 5, 7 and 9 shall remain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Any termination of this Agreement shall be effective on the date specified in such notice of termination;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termination shall not be effective until the close of business on the date of receipt of such notice by the Manager or the Company, as the case may be. If such termination shall occur prior to the Settlement Date or Time of Delivery for any sale of the Shares, such sale shall, subject to Section 6 hereof, settle in accordance with the provisions of Section 3(e)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    In the case of any purchase of Shares by the Manager pursuant to a Terms Agreement, the obligations of the Manager pursuant to such Terms Agreement shall be subject to termination, in the absolute discretion of the Manager, by notice given to the Company prior to the Time of Delivery relating to such Shares, if at any time prior to such delivery and payment (i) trading or quotation in any of the Company’s securities shall have been suspended or limited by the Commission or by NASDAQ, or trading in securities generally on either the NASDAQ or the New York Stock Exchange shall have been suspended or limited, or minimum or maximum prices shall have been generally established on any of such stock exchanges by the Commission or FINRA; (ii) a general banking moratorium shall have been declared by any of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923290"/>
                <wp:effectExtent l="0" t="0" r="0" b="0"/>
                <wp:wrapNone/>
                <wp:docPr id="39" name="Frame39"/>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involving a prospective substantial change in United States’ or international political, financial or economic conditions, as in the judgment of the Manager is material and adverse and makes it impracticable or inadvisable to proceed with the offering or delivery of the Shares in the manner and on the terms described in the Disclosure Package and the Prospectus or to enforce contracts for the sale of securities; (iv) in the judgment of the Manager there shall have occurred any Material Adverse Change or (v) there shall have occurred a material disruption in commercial banking or securities settlement or clearance services in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Representations and Indemnities to Survive</w:t>
      </w:r>
      <w:r>
        <w:rPr>
          <w:rFonts w:ascii="Times New Roman;serif" w:hAnsi="Times New Roman;serif"/>
          <w:b w:val="false"/>
          <w:color w:val="000000"/>
          <w:sz w:val="24"/>
        </w:rPr>
        <w:t>. The respective agreements, representations, warranties, indemnities and other statements of the Company, the officers of the Company and of the Manager set forth in or made pursuant to this Agreement will remain in full force and effect, regardless of any investigation made by the Manager or the Company or any of the officers, directors, employees, agents or controlling persons referred to in Section 7 hereof, and will survive delivery of and payment for the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Notices</w:t>
      </w:r>
      <w:r>
        <w:rPr>
          <w:rFonts w:ascii="Times New Roman;serif" w:hAnsi="Times New Roman;serif"/>
          <w:b w:val="false"/>
          <w:color w:val="000000"/>
          <w:sz w:val="24"/>
        </w:rPr>
        <w:t>. All communications hereunder will be in writing and effective only on receipt,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sent to the Manager, will be mailed, delivered or telefaxed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br/>
        <w:t>200 West Street</w:t>
        <w:br/>
        <w:t>New York, New York 10282</w:t>
        <w:br/>
        <w:t>Facsimile: (212) 902-9316</w:t>
        <w:br/>
        <w:t>Attention: Registration Department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Davis Polk &amp; Wardwell LLP</w:t>
        <w:br/>
        <w:t>900 Middlefield Road</w:t>
        <w:br/>
        <w:t>Redwood City, CA 94063</w:t>
        <w:br/>
        <w:t>Attention: Emily Roberts</w:t>
        <w:br/>
        <w:t>Facsimile: (650) 752-2085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sent to the Company, will be mailed, delivered or telefaxed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Rackspace Technology, Inc.</w:t>
        <w:br/>
        <w:t>19122 US Highway 281N, Suite 127</w:t>
        <w:br/>
        <w:t>San Antonio, Texas 78258</w:t>
        <w:br/>
        <w:t>Attention: General Counsel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legalnotice@rackspace.com and</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23290"/>
                <wp:effectExtent l="0" t="0" r="0" b="0"/>
                <wp:wrapNone/>
                <wp:docPr id="40" name="Frame40"/>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Paul, Weiss, Rifkind, Wharton &amp; Garrison LLP</w:t>
        <w:br/>
        <w:t>1285 Avenue of the Americas</w:t>
        <w:br/>
        <w:t>New York, New York 10019</w:t>
        <w:br/>
        <w:t>Facsimile: (212) 757-3990</w:t>
        <w:br/>
        <w:t>Attention: Brian M. Janson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party hereto may change the address for receipt of communications by giving written notice to the others.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Successors</w:t>
      </w:r>
      <w:r>
        <w:rPr>
          <w:rFonts w:ascii="Times New Roman;serif" w:hAnsi="Times New Roman;serif"/>
          <w:b w:val="false"/>
          <w:color w:val="000000"/>
          <w:sz w:val="24"/>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No Fiduciary Duty</w:t>
      </w:r>
      <w:r>
        <w:rPr>
          <w:rFonts w:ascii="Times New Roman;serif" w:hAnsi="Times New Roman;serif"/>
          <w:b w:val="false"/>
          <w:color w:val="000000"/>
          <w:sz w:val="24"/>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an independent contractor and not in any other capacity. Furthermore, the Company agrees that it is solely responsible for making its own judgments in connection with the offering (irrespective of whether the Manager has advised or is currently advising it on related or other matters). The Company agrees that it will not claim that the Manager has rendered advisory services of any nature or respect, or owe an agency, fiduciary or similar duty to the Company, in connection with the transactions contemplated by this Agreement or the process leading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Integration</w:t>
      </w:r>
      <w:r>
        <w:rPr>
          <w:rFonts w:ascii="Times New Roman;serif" w:hAnsi="Times New Roman;serif"/>
          <w:b w:val="false"/>
          <w:color w:val="000000"/>
          <w:sz w:val="24"/>
        </w:rPr>
        <w:t>. This Agreement and any Terms Agreement supersede all prior agreements and understandings (whether written or oral) between the Company and the Manager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This Agreement and any Terms Agreement will be governed by and construed in accordance with the laws of the State of New York applicable to contracts made and to be performed within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and any Terms Agreement may be signed in one or more counterparts, each of which shall constitute an original and all of which together shall constitute one and the same agreement. Counterparts may be delivered via facsimile, electronic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23290"/>
                <wp:effectExtent l="0" t="0" r="0" b="0"/>
                <wp:wrapNone/>
                <wp:docPr id="41" name="Frame41"/>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Headings</w:t>
      </w:r>
      <w:r>
        <w:rPr>
          <w:rFonts w:ascii="Times New Roman;serif" w:hAnsi="Times New Roman;serif"/>
          <w:b w:val="false"/>
          <w:color w:val="000000"/>
          <w:sz w:val="24"/>
        </w:rPr>
        <w:t>. The section headings used in this Agreement and any Terms Agreement are for convenience only and shall not affect the construction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Recognition of the U.S. Special Resolution Regimes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In the event that the Manager is a Covered Entity and becomes subject to a proceeding under a U.S. Special Resolution Regime, the transfer from the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In the event that the Manager is a Covered Entity or a BHC Act Affiliate of the Manager becomes subject to a proceeding under a U.S. Special Resolution Regime, Default Rights under this Agreement that may be exercised against the Manager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used in this Section 18: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BHC Act Affiliate</w:t>
      </w:r>
      <w:r>
        <w:rPr>
          <w:color w:val="000000"/>
        </w:rPr>
        <w:t xml:space="preserve">” </w:t>
      </w:r>
      <w:r>
        <w:rPr>
          <w:rFonts w:ascii="Times New Roman;serif" w:hAnsi="Times New Roman;serif"/>
          <w:b w:val="false"/>
          <w:color w:val="000000"/>
          <w:sz w:val="24"/>
        </w:rPr>
        <w:t xml:space="preserve">has the meaning assigned to the term “affiliate” in, and shall be interpreted in accordance with, 12 U.S.C. § 1841(k).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Covered Entity</w:t>
      </w:r>
      <w:r>
        <w:rPr>
          <w:color w:val="000000"/>
        </w:rPr>
        <w:t xml:space="preserve">” </w:t>
      </w:r>
      <w:r>
        <w:rPr>
          <w:rFonts w:ascii="Times New Roman;serif" w:hAnsi="Times New Roman;serif"/>
          <w:b w:val="false"/>
          <w:color w:val="000000"/>
          <w:sz w:val="24"/>
        </w:rPr>
        <w:t xml:space="preserve">means any of the following: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 “covered entity” as that term is defined in, and interpreted in accordance with, 12 C.F.R. § 252.82(b);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 “covered bank” as that term is defined in, and interpreted in accordance with, 12 C.F.R. § 47.3(b);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 “covered FSI” as that term is defined in, and interpreted in accordance with, 12 C.F.R. § 382.2(b).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 Right</w:t>
      </w:r>
      <w:r>
        <w:rPr>
          <w:color w:val="000000"/>
        </w:rPr>
        <w:t xml:space="preserve">” </w:t>
      </w:r>
      <w:r>
        <w:rPr>
          <w:rFonts w:ascii="Times New Roman;serif" w:hAnsi="Times New Roman;serif"/>
          <w:b w:val="false"/>
          <w:color w:val="000000"/>
          <w:sz w:val="24"/>
        </w:rPr>
        <w:t xml:space="preserve">has the meaning assigned to that term in, and shall be interpreted in accordance with, 12 C.F.R. §§ 252.81, 47.2 or 382.1, as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23290"/>
                <wp:effectExtent l="0" t="0" r="0" b="0"/>
                <wp:wrapNone/>
                <wp:docPr id="42" name="Frame42"/>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Special Resolution Regime</w:t>
      </w:r>
      <w:r>
        <w:rPr>
          <w:color w:val="000000"/>
        </w:rPr>
        <w:t xml:space="preserve">” </w:t>
      </w:r>
      <w:r>
        <w:rPr>
          <w:rFonts w:ascii="Times New Roman;serif" w:hAnsi="Times New Roman;serif"/>
          <w:b w:val="false"/>
          <w:color w:val="000000"/>
          <w:sz w:val="24"/>
        </w:rPr>
        <w:t xml:space="preserve">means each of (i) the Federal Deposit Insurance Act and the regulations promulgated thereunder and (ii) Title II of the Dodd-Frank Wall Street Reform and Consumer Protection Act and the regulations promulgated thereunder.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Definitions</w:t>
      </w:r>
      <w:r>
        <w:rPr>
          <w:rFonts w:ascii="Times New Roman;serif" w:hAnsi="Times New Roman;serif"/>
          <w:b w:val="false"/>
          <w:color w:val="000000"/>
          <w:sz w:val="24"/>
        </w:rPr>
        <w:t>. The terms that follow, when used in this Agreement and any Terms Agreement, shall have the meanings indicated.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Act</w:t>
      </w:r>
      <w:r>
        <w:rPr>
          <w:color w:val="000000"/>
        </w:rPr>
        <w:t xml:space="preserve">” </w:t>
      </w:r>
      <w:r>
        <w:rPr>
          <w:rFonts w:ascii="Times New Roman;serif" w:hAnsi="Times New Roman;serif"/>
          <w:b w:val="false"/>
          <w:color w:val="000000"/>
          <w:sz w:val="24"/>
        </w:rPr>
        <w:t>shall mean the Securities Act of 1933, as amended, and the rules and regulations of the Commission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Time</w:t>
      </w:r>
      <w:r>
        <w:rPr>
          <w:color w:val="000000"/>
        </w:rPr>
        <w:t xml:space="preserve">” </w:t>
      </w:r>
      <w:r>
        <w:rPr>
          <w:rFonts w:ascii="Times New Roman;serif" w:hAnsi="Times New Roman;serif"/>
          <w:b w:val="false"/>
          <w:color w:val="000000"/>
          <w:sz w:val="24"/>
        </w:rPr>
        <w:t>shall mean, with respect to any Shares, the time of sale of such Shares pursuant to this Agreement or any relevant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Base Prospectus</w:t>
      </w:r>
      <w:r>
        <w:rPr>
          <w:color w:val="000000"/>
        </w:rPr>
        <w:t xml:space="preserve">” </w:t>
      </w:r>
      <w:r>
        <w:rPr>
          <w:rFonts w:ascii="Times New Roman;serif" w:hAnsi="Times New Roman;serif"/>
          <w:b w:val="false"/>
          <w:color w:val="000000"/>
          <w:sz w:val="24"/>
        </w:rPr>
        <w:t>shall mean the base prospectus referred to in Section 2(a) above contained in the Registration Statement at the Execution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shall mean any day other than a Saturday, a Sunday or a legal holiday or a day on which banking institutions or trust companies are authorized or obligated by law to close in New York City.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Commission</w:t>
      </w:r>
      <w:r>
        <w:rPr>
          <w:color w:val="000000"/>
        </w:rPr>
        <w:t xml:space="preserve">” </w:t>
      </w:r>
      <w:r>
        <w:rPr>
          <w:rFonts w:ascii="Times New Roman;serif" w:hAnsi="Times New Roman;serif"/>
          <w:b w:val="false"/>
          <w:color w:val="000000"/>
          <w:sz w:val="24"/>
        </w:rPr>
        <w:t>shall mean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Disclosure Package</w:t>
      </w:r>
      <w:r>
        <w:rPr>
          <w:color w:val="000000"/>
        </w:rPr>
        <w:t xml:space="preserve">” </w:t>
      </w:r>
      <w:r>
        <w:rPr>
          <w:rFonts w:ascii="Times New Roman;serif" w:hAnsi="Times New Roman;serif"/>
          <w:b w:val="false"/>
          <w:color w:val="000000"/>
          <w:sz w:val="24"/>
        </w:rPr>
        <w:t xml:space="preserve">shall mean (i) the Base Prospectus, (ii) the Prospectus Supplement, (iii) the most recently filed Interim Prospectus Supplement, if any, (iv) the Issuer Free Writing Prospectuses, if any, identified in Schedule I hereto, (v) the public offering price of Shares sold at the relevant Applicable Time as specified in a Terms Agreement and (vi) any other Free Writing Prospectus that the parties hereto shall hereafter expressly agree in writing to treat as part of the Disclosure Package.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Effective Date</w:t>
      </w:r>
      <w:r>
        <w:rPr>
          <w:color w:val="000000"/>
        </w:rPr>
        <w:t xml:space="preserve">” </w:t>
      </w:r>
      <w:r>
        <w:rPr>
          <w:rFonts w:ascii="Times New Roman;serif" w:hAnsi="Times New Roman;serif"/>
          <w:b w:val="false"/>
          <w:color w:val="000000"/>
          <w:sz w:val="24"/>
        </w:rPr>
        <w:t xml:space="preserve">shall mean each date and time that the Registration Statement and any post-effective amendment or amendments thereto became or becomes effective.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shall mean the Securities Exchange Act of 1934, as amended, and the rules and regulations of the Commission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Execution Time</w:t>
      </w:r>
      <w:r>
        <w:rPr>
          <w:color w:val="000000"/>
        </w:rPr>
        <w:t xml:space="preserve">” </w:t>
      </w:r>
      <w:r>
        <w:rPr>
          <w:rFonts w:ascii="Times New Roman;serif" w:hAnsi="Times New Roman;serif"/>
          <w:b w:val="false"/>
          <w:color w:val="000000"/>
          <w:sz w:val="24"/>
        </w:rPr>
        <w:t>shall mean the date and time that this Agreement is executed and delivered by the parties 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Free Writing Prospectus</w:t>
      </w:r>
      <w:r>
        <w:rPr>
          <w:color w:val="000000"/>
        </w:rPr>
        <w:t xml:space="preserve">” </w:t>
      </w:r>
      <w:r>
        <w:rPr>
          <w:rFonts w:ascii="Times New Roman;serif" w:hAnsi="Times New Roman;serif"/>
          <w:b w:val="false"/>
          <w:color w:val="000000"/>
          <w:sz w:val="24"/>
        </w:rPr>
        <w:t>shall mean a free writing prospectus, as defined in Rule 405.</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Interim Prospectus Supplement</w:t>
      </w:r>
      <w:r>
        <w:rPr>
          <w:color w:val="000000"/>
        </w:rPr>
        <w:t xml:space="preserve">” </w:t>
      </w:r>
      <w:r>
        <w:rPr>
          <w:rFonts w:ascii="Times New Roman;serif" w:hAnsi="Times New Roman;serif"/>
          <w:b w:val="false"/>
          <w:color w:val="000000"/>
          <w:sz w:val="24"/>
        </w:rPr>
        <w:t>shall mean the prospectus supplement relating to the Shares prepared and filed pursuant to Rule 424(b) from time to time as provided by Section 4(q)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23290"/>
                <wp:effectExtent l="0" t="0" r="0" b="0"/>
                <wp:wrapNone/>
                <wp:docPr id="43" name="Frame43"/>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Issuer Free Writing Prospectus</w:t>
      </w:r>
      <w:r>
        <w:rPr>
          <w:color w:val="000000"/>
        </w:rPr>
        <w:t xml:space="preserve">” </w:t>
      </w:r>
      <w:r>
        <w:rPr>
          <w:rFonts w:ascii="Times New Roman;serif" w:hAnsi="Times New Roman;serif"/>
          <w:b w:val="false"/>
          <w:color w:val="000000"/>
          <w:sz w:val="24"/>
        </w:rPr>
        <w:t>shall mean an issuer free writing prospectus, as defined in Rule 433.</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Prospectus</w:t>
      </w:r>
      <w:r>
        <w:rPr>
          <w:color w:val="000000"/>
        </w:rPr>
        <w:t xml:space="preserve">” </w:t>
      </w:r>
      <w:r>
        <w:rPr>
          <w:rFonts w:ascii="Times New Roman;serif" w:hAnsi="Times New Roman;serif"/>
          <w:b w:val="false"/>
          <w:color w:val="000000"/>
          <w:sz w:val="24"/>
        </w:rPr>
        <w:t>shall mean the Base Prospectus, as supplemented by the Prospectus Supplement and the most recently filed Interim Prospectus Supplement (if 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Prospectus Supplement</w:t>
      </w:r>
      <w:r>
        <w:rPr>
          <w:color w:val="000000"/>
        </w:rPr>
        <w:t xml:space="preserve">” </w:t>
      </w:r>
      <w:r>
        <w:rPr>
          <w:rFonts w:ascii="Times New Roman;serif" w:hAnsi="Times New Roman;serif"/>
          <w:b w:val="false"/>
          <w:color w:val="000000"/>
          <w:sz w:val="24"/>
        </w:rPr>
        <w:t>shall mean the most recent prospectus supplement relating to the Shares that was first filed pursuant to Rule 424(b) at or prior to the Execution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158</w:t>
      </w:r>
      <w:r>
        <w:rPr>
          <w:rFonts w:ascii="Times New Roman;serif" w:hAnsi="Times New Roman;serif"/>
          <w:b w:val="false"/>
          <w:color w:val="000000"/>
          <w:sz w:val="24"/>
        </w:rPr>
        <w:t>,” “</w:t>
      </w:r>
      <w:r>
        <w:rPr>
          <w:rFonts w:ascii="Times New Roman;serif" w:hAnsi="Times New Roman;serif"/>
          <w:b/>
          <w:color w:val="000000"/>
          <w:sz w:val="24"/>
        </w:rPr>
        <w:t>Rule 163</w:t>
      </w:r>
      <w:r>
        <w:rPr>
          <w:rFonts w:ascii="Times New Roman;serif" w:hAnsi="Times New Roman;serif"/>
          <w:b w:val="false"/>
          <w:color w:val="000000"/>
          <w:sz w:val="24"/>
        </w:rPr>
        <w:t>,” “</w:t>
      </w:r>
      <w:r>
        <w:rPr>
          <w:rFonts w:ascii="Times New Roman;serif" w:hAnsi="Times New Roman;serif"/>
          <w:b/>
          <w:color w:val="000000"/>
          <w:sz w:val="24"/>
        </w:rPr>
        <w:t>Rule 164</w:t>
      </w:r>
      <w:r>
        <w:rPr>
          <w:rFonts w:ascii="Times New Roman;serif" w:hAnsi="Times New Roman;serif"/>
          <w:b w:val="false"/>
          <w:color w:val="000000"/>
          <w:sz w:val="24"/>
        </w:rPr>
        <w:t>,” “</w:t>
      </w:r>
      <w:r>
        <w:rPr>
          <w:rFonts w:ascii="Times New Roman;serif" w:hAnsi="Times New Roman;serif"/>
          <w:b/>
          <w:color w:val="000000"/>
          <w:sz w:val="24"/>
        </w:rPr>
        <w:t>Rule 172</w:t>
      </w:r>
      <w:r>
        <w:rPr>
          <w:rFonts w:ascii="Times New Roman;serif" w:hAnsi="Times New Roman;serif"/>
          <w:b w:val="false"/>
          <w:color w:val="000000"/>
          <w:sz w:val="24"/>
        </w:rPr>
        <w:t>,” “</w:t>
      </w:r>
      <w:r>
        <w:rPr>
          <w:rFonts w:ascii="Times New Roman;serif" w:hAnsi="Times New Roman;serif"/>
          <w:b/>
          <w:color w:val="000000"/>
          <w:sz w:val="24"/>
        </w:rPr>
        <w:t>Rule 405</w:t>
      </w:r>
      <w:r>
        <w:rPr>
          <w:rFonts w:ascii="Times New Roman;serif" w:hAnsi="Times New Roman;serif"/>
          <w:b w:val="false"/>
          <w:color w:val="000000"/>
          <w:sz w:val="24"/>
        </w:rPr>
        <w:t>,” “</w:t>
      </w:r>
      <w:r>
        <w:rPr>
          <w:rFonts w:ascii="Times New Roman;serif" w:hAnsi="Times New Roman;serif"/>
          <w:b/>
          <w:color w:val="000000"/>
          <w:sz w:val="24"/>
        </w:rPr>
        <w:t>Rule 415</w:t>
      </w:r>
      <w:r>
        <w:rPr>
          <w:rFonts w:ascii="Times New Roman;serif" w:hAnsi="Times New Roman;serif"/>
          <w:b w:val="false"/>
          <w:color w:val="000000"/>
          <w:sz w:val="24"/>
        </w:rPr>
        <w:t>,” “</w:t>
      </w:r>
      <w:r>
        <w:rPr>
          <w:rFonts w:ascii="Times New Roman;serif" w:hAnsi="Times New Roman;serif"/>
          <w:b/>
          <w:color w:val="000000"/>
          <w:sz w:val="24"/>
        </w:rPr>
        <w:t>Rule 424</w:t>
      </w:r>
      <w:r>
        <w:rPr>
          <w:rFonts w:ascii="Times New Roman;serif" w:hAnsi="Times New Roman;serif"/>
          <w:b w:val="false"/>
          <w:color w:val="000000"/>
          <w:sz w:val="24"/>
        </w:rPr>
        <w:t>,” “</w:t>
      </w:r>
      <w:r>
        <w:rPr>
          <w:rFonts w:ascii="Times New Roman;serif" w:hAnsi="Times New Roman;serif"/>
          <w:b/>
          <w:color w:val="000000"/>
          <w:sz w:val="24"/>
        </w:rPr>
        <w:t>Rule 430B</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Rule 433</w:t>
      </w:r>
      <w:r>
        <w:rPr>
          <w:color w:val="000000"/>
        </w:rPr>
        <w:t xml:space="preserve">” </w:t>
      </w:r>
      <w:r>
        <w:rPr>
          <w:rFonts w:ascii="Times New Roman;serif" w:hAnsi="Times New Roman;serif"/>
          <w:b w:val="false"/>
          <w:color w:val="000000"/>
          <w:sz w:val="24"/>
        </w:rPr>
        <w:t>refer to such rules under the Act.</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23290"/>
                <wp:effectExtent l="0" t="0" r="0" b="0"/>
                <wp:wrapNone/>
                <wp:docPr id="44" name="Frame44"/>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foregoing is in accordance with your understanding of our agreement, please sign and return to us the enclosed duplicate hereof, whereupon this letter and your acceptance shall represent a binding agreement among the Company and the Manager.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RACKSPACE TECHNOLOGY, INC.</w:t>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Mark Marino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Mark Marino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120" w:after="283"/>
        <w:jc w:val="both"/>
        <w:rPr/>
      </w:pPr>
      <w:r>
        <w:rPr/>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23290"/>
                <wp:effectExtent l="0" t="0" r="0" b="0"/>
                <wp:wrapNone/>
                <wp:docPr id="45" name="Frame45"/>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Signature Page to Equity Distribution Agreement</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Signature Page to Equity Distribution Agreement</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CONFIRMED AND ACCEPTED,</w:t>
        <w:br/>
        <w:t>    as of the date first written above:</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GOLDMAN SACHS &amp; CO. LLC</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William Connolly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William Connolly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Co-Head of ECM</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ind w:left="0" w:right="0" w:firstLine="720"/>
        <w:jc w:val="left"/>
        <w:rPr>
          <w:rFonts w:ascii="Georgia;serif" w:hAnsi="Georgia;serif"/>
          <w:b/>
          <w:color w:val="03203D"/>
          <w:sz w:val="24"/>
        </w:rPr>
      </w:pPr>
      <w:r>
        <w:rPr>
          <w:rFonts w:ascii="Georgia;serif" w:hAnsi="Georgia;serif"/>
          <w:b/>
          <w:color w:val="03203D"/>
          <w:sz w:val="24"/>
        </w:rPr>
        <w:t>Exhibit 5.1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23290"/>
                <wp:effectExtent l="0" t="0" r="0" b="0"/>
                <wp:wrapNone/>
                <wp:docPr id="46" name="Frame46"/>
                <a:graphic xmlns:a="http://schemas.openxmlformats.org/drawingml/2006/main">
                  <a:graphicData uri="http://schemas.microsoft.com/office/word/2010/wordprocessingShape">
                    <wps:wsp>
                      <wps:cNvSpPr txBox="1"/>
                      <wps:spPr>
                        <a:xfrm>
                          <a:off x="0" y="0"/>
                          <a:ext cx="6480175" cy="92329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Signature Page to Equity Distribution Agreement</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7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Signature Page to Equity Distribution Agreement</w:t>
                      </w:r>
                    </w:p>
                    <w:p>
                      <w:pPr>
                        <w:pStyle w:val="TextBody"/>
                        <w:bidi w:val="0"/>
                        <w:spacing w:lineRule="auto" w:line="288" w:before="0" w:after="240"/>
                        <w:jc w:val="both"/>
                        <w:rPr>
                          <w:color w:val="000000"/>
                        </w:rPr>
                      </w:pPr>
                      <w:r>
                        <w:rPr>
                          <w:color w:val="000000"/>
                        </w:rPr>
                        <w:t>    </w:t>
                      </w:r>
                    </w:p>
                    <w:p>
                      <w:pPr>
                        <w:pStyle w:val="TextBody"/>
                        <w:bidi w:val="0"/>
                        <w:spacing w:lineRule="auto" w:line="288" w:before="0" w:after="240"/>
                        <w:jc w:val="both"/>
                        <w:rPr>
                          <w:color w:val="000000"/>
                        </w:rPr>
                      </w:pPr>
                      <w:r>
                        <w:rPr>
                          <w:color w:val="000000"/>
                        </w:rPr>
                        <w:t>    </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Georgia;serif" w:hAnsi="Georgia;serif"/>
          <w:b w:val="false"/>
          <w:color w:val="03203D"/>
          <w:sz w:val="24"/>
        </w:rPr>
      </w:pPr>
      <w:r>
        <w:rPr>
          <w:rFonts w:ascii="Georgia;serif" w:hAnsi="Georgia;serif"/>
          <w:b w:val="false"/>
          <w:color w:val="03203D"/>
          <w:sz w:val="24"/>
        </w:rPr>
        <w:t>Paul, Weiss, Rifkind, Wharton &amp; Garrison LLP</w:t>
        <w:br/>
        <w:t>1285 Avenue of the Americas</w:t>
        <w:br/>
        <w:t>New York, New York 10019-6064</w:t>
      </w:r>
    </w:p>
    <w:p>
      <w:pPr>
        <w:pStyle w:val="TextBody"/>
        <w:bidi w:val="0"/>
        <w:spacing w:before="0" w:after="0"/>
        <w:jc w:val="center"/>
        <w:rPr/>
      </w:pPr>
      <w:r>
        <w:rPr/>
      </w:r>
    </w:p>
    <w:p>
      <w:pPr>
        <w:pStyle w:val="TextBody"/>
        <w:bidi w:val="0"/>
        <w:spacing w:lineRule="auto" w:line="240" w:before="0" w:after="240"/>
        <w:jc w:val="left"/>
        <w:rPr>
          <w:rFonts w:ascii="Georgia;serif" w:hAnsi="Georgia;serif"/>
          <w:b w:val="false"/>
          <w:color w:val="03203D"/>
          <w:sz w:val="24"/>
        </w:rPr>
      </w:pPr>
      <w:r>
        <w:rPr>
          <w:rFonts w:ascii="Georgia;serif" w:hAnsi="Georgia;serif"/>
          <w:b w:val="false"/>
          <w:color w:val="03203D"/>
          <w:sz w:val="24"/>
        </w:rPr>
        <w:t xml:space="preserve">July 9, 2026 </w:t>
      </w:r>
    </w:p>
    <w:p>
      <w:pPr>
        <w:pStyle w:val="TextBody"/>
        <w:bidi w:val="0"/>
        <w:spacing w:lineRule="auto" w:line="276" w:before="0" w:after="0"/>
        <w:jc w:val="left"/>
        <w:rPr>
          <w:rFonts w:ascii="Georgia;serif" w:hAnsi="Georgia;serif"/>
          <w:b w:val="false"/>
          <w:color w:val="03203D"/>
          <w:sz w:val="24"/>
        </w:rPr>
      </w:pPr>
      <w:r>
        <w:rPr>
          <w:rFonts w:ascii="Georgia;serif" w:hAnsi="Georgia;serif"/>
          <w:b w:val="false"/>
          <w:color w:val="03203D"/>
          <w:sz w:val="24"/>
        </w:rPr>
        <w:t xml:space="preserve">Rackspace Technology, Inc. </w:t>
      </w:r>
    </w:p>
    <w:p>
      <w:pPr>
        <w:pStyle w:val="TextBody"/>
        <w:bidi w:val="0"/>
        <w:spacing w:lineRule="auto" w:line="276" w:before="0" w:after="0"/>
        <w:jc w:val="left"/>
        <w:rPr>
          <w:rFonts w:ascii="Georgia;serif" w:hAnsi="Georgia;serif"/>
          <w:b w:val="false"/>
          <w:color w:val="03203D"/>
          <w:sz w:val="24"/>
        </w:rPr>
      </w:pPr>
      <w:r>
        <w:rPr>
          <w:rFonts w:ascii="Georgia;serif" w:hAnsi="Georgia;serif"/>
          <w:b w:val="false"/>
          <w:color w:val="03203D"/>
          <w:sz w:val="24"/>
        </w:rPr>
        <w:t>19122 US Highway 281 N, Suite 127</w:t>
      </w:r>
    </w:p>
    <w:p>
      <w:pPr>
        <w:pStyle w:val="TextBody"/>
        <w:bidi w:val="0"/>
        <w:spacing w:lineRule="auto" w:line="276" w:before="0" w:after="0"/>
        <w:jc w:val="left"/>
        <w:rPr>
          <w:rFonts w:ascii="Georgia;serif" w:hAnsi="Georgia;serif"/>
          <w:b w:val="false"/>
          <w:color w:val="03203D"/>
          <w:sz w:val="24"/>
        </w:rPr>
      </w:pPr>
      <w:r>
        <w:rPr>
          <w:rFonts w:ascii="Georgia;serif" w:hAnsi="Georgia;serif"/>
          <w:b w:val="false"/>
          <w:color w:val="03203D"/>
          <w:sz w:val="24"/>
        </w:rPr>
        <w:t>San Antonio, Texas 78258</w:t>
      </w:r>
    </w:p>
    <w:p>
      <w:pPr>
        <w:pStyle w:val="TextBody"/>
        <w:bidi w:val="0"/>
        <w:spacing w:before="0" w:after="0"/>
        <w:jc w:val="left"/>
        <w:rPr/>
      </w:pPr>
      <w:r>
        <w:rPr/>
      </w:r>
    </w:p>
    <w:p>
      <w:pPr>
        <w:pStyle w:val="TextBody"/>
        <w:bidi w:val="0"/>
        <w:spacing w:lineRule="auto" w:line="556" w:before="0" w:after="0"/>
        <w:jc w:val="left"/>
        <w:rPr>
          <w:rFonts w:ascii="Georgia;serif" w:hAnsi="Georgia;serif"/>
          <w:b w:val="false"/>
          <w:color w:val="03203D"/>
          <w:sz w:val="24"/>
        </w:rPr>
      </w:pPr>
      <w:r>
        <w:rPr>
          <w:rFonts w:ascii="Georgia;serif" w:hAnsi="Georgia;serif"/>
          <w:b w:val="false"/>
          <w:color w:val="03203D"/>
          <w:sz w:val="24"/>
        </w:rPr>
        <w:t>Ladies and Gentlemen:</w:t>
      </w:r>
    </w:p>
    <w:p>
      <w:pPr>
        <w:pStyle w:val="TextBody"/>
        <w:bidi w:val="0"/>
        <w:spacing w:lineRule="auto" w:line="268" w:before="0" w:after="0"/>
        <w:jc w:val="left"/>
        <w:rPr/>
      </w:pPr>
      <w:r>
        <w:rPr>
          <w:rFonts w:ascii="Georgia;serif" w:hAnsi="Georgia;serif"/>
          <w:b w:val="false"/>
          <w:color w:val="03203D"/>
          <w:sz w:val="24"/>
        </w:rPr>
        <w:t>We have acted as special counsel to Rackspace Technology, Inc., a Delaware corporation (the “Company”), in connection with the Registration Statement on Form S-3ASR (File No. 333-</w:t>
      </w:r>
      <w:r>
        <w:rPr>
          <w:rFonts w:ascii="Georgia;serif" w:hAnsi="Georgia;serif"/>
          <w:b w:val="false"/>
          <w:color w:val="000000"/>
          <w:sz w:val="24"/>
        </w:rPr>
        <w:t>297332</w:t>
      </w:r>
      <w:r>
        <w:rPr>
          <w:rFonts w:ascii="Georgia;serif" w:hAnsi="Georgia;serif"/>
          <w:b w:val="false"/>
          <w:color w:val="03203D"/>
          <w:sz w:val="24"/>
        </w:rPr>
        <w:t>) (the “Registration Statement”) of the Company filed with the Securities and Exchange Commission pursuant to the Securities Act of 1933, as amended (the “Act”), and the rules and regulations thereunder (the “Rules”). You have asked us to furnish our opinion as to the legality of shares (the “Shares”) of the Company’s common stock, par value $0.01 per share (the “Common Stock”), having an aggregate offering price of up to $250.0 million, which are registered under the Registration Statement and which are subject to sale pursuant to the Equity Distribution Agreement (the “ATM Agreement”), dated as of July 9, 2026, between Goldman Sachs &amp; Co. LLC, in its capacity as agent, and the Company.</w:t>
      </w:r>
    </w:p>
    <w:p>
      <w:pPr>
        <w:pStyle w:val="TextBody"/>
        <w:bidi w:val="0"/>
        <w:spacing w:lineRule="auto" w:line="556" w:before="0" w:after="240"/>
        <w:ind w:left="0" w:right="0" w:firstLine="1440"/>
        <w:jc w:val="left"/>
        <w:rPr>
          <w:rFonts w:ascii="Georgia;serif" w:hAnsi="Georgia;serif"/>
          <w:b w:val="false"/>
          <w:color w:val="03203D"/>
          <w:sz w:val="24"/>
        </w:rPr>
      </w:pPr>
      <w:r>
        <w:rPr>
          <w:rFonts w:ascii="Georgia;serif" w:hAnsi="Georgia;serif"/>
          <w:b w:val="false"/>
          <w:color w:val="03203D"/>
          <w:sz w:val="24"/>
        </w:rPr>
        <w:t>In connection with the furnishing of this opinion, we have examined originals, or copies certified or otherwise identified to our satisfaction, of the following documents:</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1.    the Registration Statement;</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2.    the base prospectus, dated July 9, 2026 (the “Base Prospectus”);</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3.    the prospectus supplement, dated July 9, 2026 (the “Prospectus Supplement”); and</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4.     the ATM Agreement.</w:t>
      </w:r>
    </w:p>
    <w:p>
      <w:pPr>
        <w:pStyle w:val="TextBody"/>
        <w:bidi w:val="0"/>
        <w:spacing w:lineRule="auto" w:line="556"/>
        <w:ind w:left="0" w:right="0" w:firstLine="1440"/>
        <w:jc w:val="left"/>
        <w:rPr>
          <w:rFonts w:ascii="Georgia;serif" w:hAnsi="Georgia;serif"/>
          <w:b w:val="false"/>
          <w:color w:val="03203D"/>
          <w:sz w:val="24"/>
        </w:rPr>
      </w:pPr>
      <w:r>
        <w:rPr>
          <w:rFonts w:ascii="Georgia;serif" w:hAnsi="Georgia;serif"/>
          <w:b w:val="false"/>
          <w:color w:val="03203D"/>
          <w:sz w:val="24"/>
        </w:rPr>
        <w:t xml:space="preserve">In addition, we have examined (i) such corporate records of the Company that we have considered appropriate, including a copy of the certificate of incorporation,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3203D"/>
                              </w:rPr>
                            </w:pPr>
                            <w:r>
                              <w:rPr>
                                <w:color w:val="03203D"/>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3203D"/>
                        </w:rPr>
                      </w:pPr>
                      <w:r>
                        <w:rPr>
                          <w:color w:val="03203D"/>
                        </w:rPr>
                        <w:t>    </w:t>
                      </w:r>
                    </w:p>
                  </w:txbxContent>
                </v:textbox>
                <w10:wrap type="none"/>
              </v:rect>
            </w:pict>
          </mc:Fallback>
        </mc:AlternateContent>
      </w:r>
    </w:p>
    <w:p>
      <w:pPr>
        <w:pStyle w:val="TextBody"/>
        <w:bidi w:val="0"/>
        <w:spacing w:lineRule="auto" w:line="237" w:before="0" w:after="0"/>
        <w:jc w:val="left"/>
        <w:rPr>
          <w:rFonts w:ascii="Georgia;serif" w:hAnsi="Georgia;serif"/>
          <w:b w:val="false"/>
          <w:color w:val="03203D"/>
          <w:sz w:val="24"/>
        </w:rPr>
      </w:pPr>
      <w:r>
        <w:rPr>
          <w:rFonts w:ascii="Georgia;serif" w:hAnsi="Georgia;serif"/>
          <w:b w:val="false"/>
          <w:color w:val="03203D"/>
          <w:sz w:val="24"/>
        </w:rPr>
        <w:t>Rackspace Technology, Inc.</w:t>
      </w:r>
    </w:p>
    <w:p>
      <w:pPr>
        <w:pStyle w:val="TextBody"/>
        <w:bidi w:val="0"/>
        <w:spacing w:lineRule="auto" w:line="556" w:before="0" w:after="0"/>
        <w:jc w:val="left"/>
        <w:rPr>
          <w:rFonts w:ascii="Georgia;serif" w:hAnsi="Georgia;serif"/>
          <w:b w:val="false"/>
          <w:color w:val="03203D"/>
          <w:sz w:val="24"/>
        </w:rPr>
      </w:pPr>
      <w:r>
        <w:rPr>
          <w:rFonts w:ascii="Georgia;serif" w:hAnsi="Georgia;serif"/>
          <w:b w:val="false"/>
          <w:color w:val="03203D"/>
          <w:sz w:val="24"/>
        </w:rPr>
        <w:t>as amended,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the opinions expressed below. We have also relied upon the factual matters contained in the representations and warranties of the Company made in the documents reviewed by us and upon certificates of public officials and the officers of the Company.</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pStyle w:val="TextBody"/>
        <w:bidi w:val="0"/>
        <w:spacing w:lineRule="auto" w:line="556"/>
        <w:ind w:left="0" w:right="0" w:firstLine="1440"/>
        <w:jc w:val="left"/>
        <w:rPr>
          <w:rFonts w:ascii="Georgia;serif" w:hAnsi="Georgia;serif"/>
          <w:b w:val="false"/>
          <w:color w:val="03203D"/>
          <w:sz w:val="24"/>
        </w:rPr>
      </w:pPr>
      <w:r>
        <w:rPr>
          <w:rFonts w:ascii="Georgia;serif" w:hAnsi="Georgia;serif"/>
          <w:b w:val="false"/>
          <w:color w:val="03203D"/>
          <w:sz w:val="24"/>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ATM Agreement, the Shares will be validly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3203D"/>
                              </w:rPr>
                            </w:pPr>
                            <w:r>
                              <w:rPr>
                                <w:color w:val="03203D"/>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3203D"/>
                        </w:rPr>
                      </w:pPr>
                      <w:r>
                        <w:rPr>
                          <w:color w:val="03203D"/>
                        </w:rPr>
                        <w:t>    </w:t>
                      </w:r>
                    </w:p>
                  </w:txbxContent>
                </v:textbox>
                <w10:wrap type="none"/>
              </v:rect>
            </w:pict>
          </mc:Fallback>
        </mc:AlternateContent>
      </w:r>
    </w:p>
    <w:p>
      <w:pPr>
        <w:pStyle w:val="TextBody"/>
        <w:bidi w:val="0"/>
        <w:spacing w:lineRule="auto" w:line="237" w:before="0" w:after="0"/>
        <w:jc w:val="left"/>
        <w:rPr>
          <w:rFonts w:ascii="Georgia;serif" w:hAnsi="Georgia;serif"/>
          <w:b w:val="false"/>
          <w:color w:val="03203D"/>
          <w:sz w:val="24"/>
        </w:rPr>
      </w:pPr>
      <w:r>
        <w:rPr>
          <w:rFonts w:ascii="Georgia;serif" w:hAnsi="Georgia;serif"/>
          <w:b w:val="false"/>
          <w:color w:val="03203D"/>
          <w:sz w:val="24"/>
        </w:rPr>
        <w:t>Rackspace Technology, Inc.</w:t>
      </w:r>
    </w:p>
    <w:p>
      <w:pPr>
        <w:pStyle w:val="TextBody"/>
        <w:bidi w:val="0"/>
        <w:spacing w:lineRule="auto" w:line="556" w:before="0" w:after="0"/>
        <w:ind w:left="0" w:right="0" w:firstLine="1440"/>
        <w:jc w:val="left"/>
        <w:rPr>
          <w:rFonts w:ascii="Georgia;serif" w:hAnsi="Georgia;serif"/>
          <w:b w:val="false"/>
          <w:color w:val="03203D"/>
          <w:sz w:val="24"/>
        </w:rPr>
      </w:pPr>
      <w:r>
        <w:rPr>
          <w:rFonts w:ascii="Georgia;serif" w:hAnsi="Georgia;serif"/>
          <w:b w:val="false"/>
          <w:color w:val="03203D"/>
          <w:sz w:val="24"/>
        </w:rPr>
        <w:t>The opinion expressed above is limited to the General Corporation Law of the State of Delaware. Our opinion is rendered only with respect to the laws, and the rules, regulations and orders under those laws, that are currently in effect.</w:t>
      </w:r>
    </w:p>
    <w:p>
      <w:pPr>
        <w:pStyle w:val="TextBody"/>
        <w:bidi w:val="0"/>
        <w:spacing w:lineRule="auto" w:line="556" w:before="0" w:after="240"/>
        <w:ind w:left="0" w:right="0" w:firstLine="1440"/>
        <w:jc w:val="left"/>
        <w:rPr>
          <w:rFonts w:ascii="Georgia;serif" w:hAnsi="Georgia;serif"/>
          <w:b w:val="false"/>
          <w:color w:val="03203D"/>
          <w:sz w:val="24"/>
        </w:rPr>
      </w:pPr>
      <w:r>
        <w:rPr>
          <w:rFonts w:ascii="Georgia;serif" w:hAnsi="Georgia;serif"/>
          <w:b w:val="false"/>
          <w:color w:val="03203D"/>
          <w:sz w:val="24"/>
        </w:rPr>
        <w:t>We hereby consent to the use of this opinion as an exhibit to the Company’s Current Report on Form 8-K filed by the Company with the Securities and Exchange Commission on the date hereof, and to the use of our name under the heading “Legal Matters” contained in the Base Prospectus included in the Registration Statement and in the Prospectus Supplement. In giving this consent, we do not thereby admit that we come within the category of persons whose consent is required by the Act or the Rules.</w:t>
      </w:r>
    </w:p>
    <w:p>
      <w:pPr>
        <w:pStyle w:val="TextBody"/>
        <w:bidi w:val="0"/>
        <w:spacing w:lineRule="auto" w:line="276" w:before="0" w:after="840"/>
        <w:ind w:left="0" w:right="0" w:firstLine="720"/>
        <w:jc w:val="left"/>
        <w:rPr>
          <w:rFonts w:ascii="Georgia;serif" w:hAnsi="Georgia;serif"/>
          <w:b w:val="false"/>
          <w:color w:val="03203D"/>
          <w:sz w:val="24"/>
        </w:rPr>
      </w:pPr>
      <w:r>
        <w:rPr>
          <w:rFonts w:ascii="Georgia;serif" w:hAnsi="Georgia;serif"/>
          <w:b w:val="false"/>
          <w:color w:val="03203D"/>
          <w:sz w:val="24"/>
        </w:rPr>
        <w:t>Very truly yours,</w:t>
        <w:br/>
        <w:br/>
        <w:t>/s/ Paul, Weiss, Rifkind, Wharton &amp; Garrison LLP</w:t>
        <w:br/>
        <w:br/>
        <w:t>PAUL, WEISS, RIFKIND, WHARTON &amp; GARRISON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EXECUTION VERSION</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3203D"/>
                              </w:rPr>
                            </w:pPr>
                            <w:r>
                              <w:rPr>
                                <w:color w:val="03203D"/>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351.6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3203D"/>
                        </w:rPr>
                      </w:pPr>
                      <w:r>
                        <w:rPr>
                          <w:color w:val="03203D"/>
                        </w:rPr>
                        <w:t>    </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OMNIBUS AMENDMENT TO </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RECEIVABLES PURCHASE AGREEMENT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FIRST TIER SALE AGREEMENT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SECOND TIER SALE AND CONTRIBUTION AGREEMENT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UK SALE AGREEMENT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CANADIAN PURCHASE AND SALE AGREEMENT</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SWISS SALE AGREEMENT AND WAIVER</w: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OMNIBUS AMENDMENT AND WAIVER, dated as of July 2, 2026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entered into by and among the following parties:</w:t>
      </w:r>
    </w:p>
    <w:p>
      <w:pPr>
        <w:pStyle w:val="TextBody"/>
        <w:bidi w:val="0"/>
        <w:spacing w:lineRule="auto" w:line="288" w:before="0" w:after="240"/>
        <w:ind w:left="0" w:right="0" w:hanging="720"/>
        <w:jc w:val="both"/>
        <w:rPr/>
      </w:pPr>
      <w:r>
        <w:rPr>
          <w:rFonts w:ascii="Times New Roman;serif" w:hAnsi="Times New Roman;serif"/>
          <w:b w:val="false"/>
          <w:color w:val="000000"/>
          <w:sz w:val="24"/>
        </w:rPr>
        <w:t>(i)    RACKSPACE RECEIVABLES II LLC, a Delaware limited liability company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as Seller;</w:t>
      </w:r>
    </w:p>
    <w:p>
      <w:pPr>
        <w:pStyle w:val="TextBody"/>
        <w:bidi w:val="0"/>
        <w:spacing w:lineRule="auto" w:line="288" w:before="0" w:after="240"/>
        <w:ind w:left="0" w:right="0" w:hanging="720"/>
        <w:jc w:val="both"/>
        <w:rPr/>
      </w:pPr>
      <w:r>
        <w:rPr>
          <w:rFonts w:ascii="Times New Roman;serif" w:hAnsi="Times New Roman;serif"/>
          <w:b w:val="false"/>
          <w:color w:val="000000"/>
          <w:sz w:val="24"/>
        </w:rPr>
        <w:t>(ii)    RACKSPACE RECEIVABLES CANADA LIMITED, a British Columbia company (“</w:t>
      </w:r>
      <w:r>
        <w:rPr>
          <w:rFonts w:ascii="Times New Roman;serif" w:hAnsi="Times New Roman;serif"/>
          <w:b w:val="false"/>
          <w:color w:val="000000"/>
          <w:sz w:val="24"/>
          <w:u w:val="single"/>
        </w:rPr>
        <w:t>Canadian Guarantor</w:t>
      </w:r>
      <w:r>
        <w:rPr>
          <w:color w:val="000000"/>
        </w:rPr>
        <w:t>”</w:t>
      </w:r>
      <w:r>
        <w:rPr>
          <w:rFonts w:ascii="Times New Roman;serif" w:hAnsi="Times New Roman;serif"/>
          <w:b w:val="false"/>
          <w:color w:val="000000"/>
          <w:sz w:val="24"/>
        </w:rPr>
        <w:t>), as Canadian Guarantor;</w:t>
      </w:r>
    </w:p>
    <w:p>
      <w:pPr>
        <w:pStyle w:val="TextBody"/>
        <w:bidi w:val="0"/>
        <w:spacing w:lineRule="auto" w:line="288" w:before="0" w:after="240"/>
        <w:ind w:left="0" w:right="0" w:hanging="720"/>
        <w:jc w:val="both"/>
        <w:rPr/>
      </w:pPr>
      <w:r>
        <w:rPr>
          <w:rFonts w:ascii="Times New Roman;serif" w:hAnsi="Times New Roman;serif"/>
          <w:b w:val="false"/>
          <w:color w:val="000000"/>
          <w:sz w:val="24"/>
        </w:rPr>
        <w:t>(iii)    RACKSPACE US, INC., as U.S. Servicer (the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 and as Transferor (the “</w:t>
      </w:r>
      <w:r>
        <w:rPr>
          <w:rFonts w:ascii="Times New Roman;serif" w:hAnsi="Times New Roman;serif"/>
          <w:b w:val="false"/>
          <w:color w:val="000000"/>
          <w:sz w:val="24"/>
          <w:u w:val="single"/>
        </w:rPr>
        <w:t>Transferor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(iv)    RACKSPACE LIMITED, as UK Servicer (the “</w:t>
      </w:r>
      <w:r>
        <w:rPr>
          <w:rFonts w:ascii="Times New Roman;serif" w:hAnsi="Times New Roman;serif"/>
          <w:b w:val="false"/>
          <w:color w:val="000000"/>
          <w:sz w:val="24"/>
          <w:u w:val="single"/>
        </w:rPr>
        <w:t>UK Servicer</w:t>
      </w:r>
      <w:r>
        <w:rPr>
          <w:color w:val="000000"/>
        </w:rPr>
        <w:t>”</w:t>
      </w:r>
      <w:r>
        <w:rPr>
          <w:rFonts w:ascii="Times New Roman;serif" w:hAnsi="Times New Roman;serif"/>
          <w:b w:val="false"/>
          <w:color w:val="000000"/>
          <w:sz w:val="24"/>
        </w:rPr>
        <w:t>) and as an Originator (the “</w:t>
      </w:r>
      <w:r>
        <w:rPr>
          <w:rFonts w:ascii="Times New Roman;serif" w:hAnsi="Times New Roman;serif"/>
          <w:b w:val="false"/>
          <w:color w:val="000000"/>
          <w:sz w:val="24"/>
          <w:u w:val="single"/>
        </w:rPr>
        <w:t>UK Originator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(v)    ONICA TECHNOLOGIES CANADA INC., as Canadian Servicer (the “</w:t>
      </w:r>
      <w:r>
        <w:rPr>
          <w:rFonts w:ascii="Times New Roman;serif" w:hAnsi="Times New Roman;serif"/>
          <w:b w:val="false"/>
          <w:color w:val="000000"/>
          <w:sz w:val="24"/>
          <w:u w:val="single"/>
        </w:rPr>
        <w:t>Canadian Servicer</w:t>
      </w:r>
      <w:r>
        <w:rPr>
          <w:color w:val="000000"/>
        </w:rPr>
        <w:t>”</w:t>
      </w:r>
      <w:r>
        <w:rPr>
          <w:rFonts w:ascii="Times New Roman;serif" w:hAnsi="Times New Roman;serif"/>
          <w:b w:val="false"/>
          <w:color w:val="000000"/>
          <w:sz w:val="24"/>
        </w:rPr>
        <w:t>) and as an Originator (the “</w:t>
      </w:r>
      <w:r>
        <w:rPr>
          <w:rFonts w:ascii="Times New Roman;serif" w:hAnsi="Times New Roman;serif"/>
          <w:b w:val="false"/>
          <w:color w:val="000000"/>
          <w:sz w:val="24"/>
          <w:u w:val="single"/>
        </w:rPr>
        <w:t>Canadian Originator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(vi)    RACKSPACE INTERNATIONAL GMBH, as Swiss Servicer (the “</w:t>
      </w:r>
      <w:r>
        <w:rPr>
          <w:rFonts w:ascii="Times New Roman;serif" w:hAnsi="Times New Roman;serif"/>
          <w:b w:val="false"/>
          <w:color w:val="000000"/>
          <w:sz w:val="24"/>
          <w:u w:val="single"/>
        </w:rPr>
        <w:t>Swiss Servicer</w:t>
      </w:r>
      <w:r>
        <w:rPr>
          <w:color w:val="000000"/>
        </w:rPr>
        <w:t xml:space="preserve">” </w:t>
      </w:r>
      <w:r>
        <w:rPr>
          <w:rFonts w:ascii="Times New Roman;serif" w:hAnsi="Times New Roman;serif"/>
          <w:b w:val="false"/>
          <w:color w:val="000000"/>
          <w:sz w:val="24"/>
        </w:rPr>
        <w:t>and together with the U.S. Servicer, the UK Servicer and the Canadian Servicer, the “</w:t>
      </w:r>
      <w:r>
        <w:rPr>
          <w:rFonts w:ascii="Times New Roman;serif" w:hAnsi="Times New Roman;serif"/>
          <w:b w:val="false"/>
          <w:color w:val="000000"/>
          <w:sz w:val="24"/>
          <w:u w:val="single"/>
        </w:rPr>
        <w:t>Servicers</w:t>
      </w:r>
      <w:r>
        <w:rPr>
          <w:color w:val="000000"/>
        </w:rPr>
        <w:t>”</w:t>
      </w:r>
      <w:r>
        <w:rPr>
          <w:rFonts w:ascii="Times New Roman;serif" w:hAnsi="Times New Roman;serif"/>
          <w:b w:val="false"/>
          <w:color w:val="000000"/>
          <w:sz w:val="24"/>
        </w:rPr>
        <w:t>) and as an Originator (the “</w:t>
      </w:r>
      <w:r>
        <w:rPr>
          <w:rFonts w:ascii="Times New Roman;serif" w:hAnsi="Times New Roman;serif"/>
          <w:b w:val="false"/>
          <w:color w:val="000000"/>
          <w:sz w:val="24"/>
          <w:u w:val="single"/>
        </w:rPr>
        <w:t>Swiss Originator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(vii)    ONICA Group LLC, as an Originator (the “</w:t>
      </w:r>
      <w:r>
        <w:rPr>
          <w:rFonts w:ascii="Times New Roman;serif" w:hAnsi="Times New Roman;serif"/>
          <w:b w:val="false"/>
          <w:color w:val="000000"/>
          <w:sz w:val="24"/>
          <w:u w:val="single"/>
        </w:rPr>
        <w:t>U.S. Originator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(viii)    PNC CAPITAL MARKETS LLC, a Pennsylvania limited liability company, as Structuring Agent (the “</w:t>
      </w:r>
      <w:r>
        <w:rPr>
          <w:rFonts w:ascii="Times New Roman;serif" w:hAnsi="Times New Roman;serif"/>
          <w:b w:val="false"/>
          <w:color w:val="000000"/>
          <w:sz w:val="24"/>
          <w:u w:val="single"/>
        </w:rPr>
        <w:t>Structuring Agent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(ix)    PNC BANK, NATIONAL ASSOCIATION (“</w:t>
      </w:r>
      <w:r>
        <w:rPr>
          <w:rFonts w:ascii="Times New Roman;serif" w:hAnsi="Times New Roman;serif"/>
          <w:b w:val="false"/>
          <w:color w:val="000000"/>
          <w:sz w:val="24"/>
          <w:u w:val="single"/>
        </w:rPr>
        <w:t>PNC Bank</w:t>
      </w:r>
      <w:r>
        <w:rPr>
          <w:color w:val="000000"/>
        </w:rPr>
        <w:t>”</w:t>
      </w:r>
      <w:r>
        <w:rPr>
          <w:rFonts w:ascii="Times New Roman;serif" w:hAnsi="Times New Roman;serif"/>
          <w:b w:val="false"/>
          <w:color w:val="000000"/>
          <w:sz w:val="24"/>
        </w:rPr>
        <w:t>), as Administrative Agent (in such capacity, the “</w:t>
      </w:r>
      <w:r>
        <w:rPr>
          <w:rFonts w:ascii="Times New Roman;serif" w:hAnsi="Times New Roman;serif"/>
          <w:b w:val="false"/>
          <w:color w:val="000000"/>
          <w:sz w:val="24"/>
          <w:u w:val="single"/>
        </w:rPr>
        <w:t>Administrative Agent</w:t>
      </w:r>
      <w:r>
        <w:rPr>
          <w:color w:val="000000"/>
        </w:rPr>
        <w:t>”</w:t>
      </w:r>
      <w:r>
        <w:rPr>
          <w:rFonts w:ascii="Times New Roman;serif" w:hAnsi="Times New Roman;serif"/>
          <w:b w:val="false"/>
          <w:color w:val="000000"/>
          <w:sz w:val="24"/>
        </w:rPr>
        <w:t>) and as a Purchaser.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 E C I T A L 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Seller, the Canadian Guarantor, the Servicers, the Structuring Agent and PNC Bank are parties to that certain Receivables Purchase Agreement, dated as of September 29, 2023 (as amended, supplemented or otherwise modified prior to the date hereof, the “</w:t>
      </w:r>
      <w:r>
        <w:rPr>
          <w:rFonts w:ascii="Times New Roman;serif" w:hAnsi="Times New Roman;serif"/>
          <w:b w:val="false"/>
          <w:color w:val="000000"/>
          <w:sz w:val="24"/>
          <w:u w:val="single"/>
        </w:rPr>
        <w:t>Receivables Purchase Agreement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B.    The U.S. Originator, the Transferor, as buyer and the U.S. Servicer, are parties to that certain First Tier Sale Agreement dated as of September 29, 2023 (as amended, supplemented or otherwise modified prior to the date hereof, the “</w:t>
      </w:r>
      <w:r>
        <w:rPr>
          <w:rFonts w:ascii="Times New Roman;serif" w:hAnsi="Times New Roman;serif"/>
          <w:b w:val="false"/>
          <w:color w:val="000000"/>
          <w:sz w:val="24"/>
          <w:u w:val="single"/>
        </w:rPr>
        <w:t>U.S. First Tier Sale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Transferor, the U.S. Servicer, and the Seller, as buyer, are parties to that certain Second Tier Sale and Contribution Agreement dated as of September 29, 2023 (as amended, supplemented or otherwise modified prior to the date hereof, the “</w:t>
      </w:r>
      <w:r>
        <w:rPr>
          <w:rFonts w:ascii="Times New Roman;serif" w:hAnsi="Times New Roman;serif"/>
          <w:b w:val="false"/>
          <w:color w:val="000000"/>
          <w:sz w:val="24"/>
          <w:u w:val="single"/>
        </w:rPr>
        <w:t>U.S. Second Tier Sale and Contribution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The UK Originator, the UK Servicer, and the Seller, as buyer, are parties to that certain UK Sale Agreement dated as of February 12, 2024 (as amended, supplemented or otherwise modified prior to the date hereof, the “</w:t>
      </w:r>
      <w:r>
        <w:rPr>
          <w:rFonts w:ascii="Times New Roman;serif" w:hAnsi="Times New Roman;serif"/>
          <w:b w:val="false"/>
          <w:color w:val="000000"/>
          <w:sz w:val="24"/>
          <w:u w:val="single"/>
        </w:rPr>
        <w:t>UK Sale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The Canadian Originator, the Canadian Servicer, the Canadian Guarantor, as buyer, and the Administrative Agent are parties to that certain Canadian Purchase and Sale Agreement dated as of February 12, 2024 (as amended, supplemented or otherwise modified prior to the date hereof, the “</w:t>
      </w:r>
      <w:r>
        <w:rPr>
          <w:rFonts w:ascii="Times New Roman;serif" w:hAnsi="Times New Roman;serif"/>
          <w:b w:val="false"/>
          <w:color w:val="000000"/>
          <w:sz w:val="24"/>
          <w:u w:val="single"/>
        </w:rPr>
        <w:t>Canadian Sale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F.    The Swiss Originator, the Swiss Servicer, and the Seller, as buyer, are parties to that certain Swiss Sale Agreement dated as of February 12, 2024 (as amended, supplemented or otherwise modified prior to the date hereof, the “</w:t>
      </w:r>
      <w:r>
        <w:rPr>
          <w:rFonts w:ascii="Times New Roman;serif" w:hAnsi="Times New Roman;serif"/>
          <w:b w:val="false"/>
          <w:color w:val="000000"/>
          <w:sz w:val="24"/>
          <w:u w:val="single"/>
        </w:rPr>
        <w:t>Swiss Sale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Concurrently herewith, the Seller, the Servicer, the Structuring Agent and the Administrative Agent are entering into that certain Amended and Restated Agent Fee Letter, dated as of the date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H.    The UCC-1 financing statements described below (each, a “</w:t>
      </w:r>
      <w:r>
        <w:rPr>
          <w:rFonts w:ascii="Times New Roman;serif" w:hAnsi="Times New Roman;serif"/>
          <w:b w:val="false"/>
          <w:color w:val="000000"/>
          <w:sz w:val="24"/>
          <w:u w:val="single"/>
        </w:rPr>
        <w:t>Subject Filing</w:t>
      </w:r>
      <w:r>
        <w:rPr>
          <w:color w:val="000000"/>
        </w:rPr>
        <w:t>”</w:t>
      </w:r>
      <w:r>
        <w:rPr>
          <w:rFonts w:ascii="Times New Roman;serif" w:hAnsi="Times New Roman;serif"/>
          <w:b w:val="false"/>
          <w:color w:val="000000"/>
          <w:sz w:val="24"/>
        </w:rPr>
        <w:t>) remain on file or in effect, and each Subject Filing purports to cover all of the U.S. Originator’s and the Transferor’s assets or property and therefor constitute Adverse Claims on the Supporting Assets (the “</w:t>
      </w:r>
      <w:r>
        <w:rPr>
          <w:rFonts w:ascii="Times New Roman;serif" w:hAnsi="Times New Roman;serif"/>
          <w:b w:val="false"/>
          <w:color w:val="000000"/>
          <w:sz w:val="24"/>
          <w:u w:val="single"/>
        </w:rPr>
        <w:t>Subject Adverse Claims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SPV Entity-Related Parties have advised the Administrative Agent that no Subject Filing is actually effective to perfect any existing ownership interest, security interest, lien or similar encumbrance on any Supporting Assets. As a result of the Subject Adverse Claims, (i) various representations and warranties of the SPV Entity-Related Parties under the Transaction Documents (including under Section 5.23 of the U.S. First Tier Sale Agreement and the U.S. Second Tier Sale and Contribution Agreement and Section 6.01(p) of the Receivables Purchase Agreement) were incorrect when made, (ii) the SPV Entity-Related Parties have breached various of their covenants under the Transaction Documents (including Sections 6.1(b)(D), 6.1(g), and 6.1(l) of the U.S. First Tier Sale Agreement and the U.S. Second Tier Sale and Contribution Agreement and Sections 7.01(d)(iv), 7.01(i), 7.01(p), 7.02(c)(iv) and 7.02(m) of the Receivables Purchase Agreement), and (iii) Events of Default have occurred and are continuing (including under Section 9.01(b), (c) and (g) of the Receivables Purchase Agreement). The foregoing misrepresentations, covenant breaches and Events of Default, together with any corresponding Transfer Termination Events, in each case, solely to the extent arising from the Subject Filings and the Subject Adverse Claims, are collectively referred to herein as the “</w:t>
      </w:r>
      <w:r>
        <w:rPr>
          <w:rFonts w:ascii="Times New Roman;serif" w:hAnsi="Times New Roman;serif"/>
          <w:b w:val="false"/>
          <w:color w:val="000000"/>
          <w:sz w:val="24"/>
          <w:u w:val="single"/>
        </w:rPr>
        <w:t>Specified Default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7"/>
        <w:gridCol w:w="1097"/>
        <w:gridCol w:w="1098"/>
        <w:gridCol w:w="637"/>
        <w:gridCol w:w="598"/>
        <w:gridCol w:w="599"/>
        <w:gridCol w:w="1069"/>
        <w:gridCol w:w="1001"/>
        <w:gridCol w:w="986"/>
        <w:gridCol w:w="206"/>
        <w:gridCol w:w="189"/>
        <w:gridCol w:w="1478"/>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442"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SPV Entity-Related Party Named as Debtor</w:t>
            </w:r>
          </w:p>
        </w:tc>
        <w:tc>
          <w:tcPr>
            <w:tcW w:w="1834"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Secured Party</w:t>
            </w:r>
          </w:p>
        </w:tc>
        <w:tc>
          <w:tcPr>
            <w:tcW w:w="30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Filing Office </w:t>
            </w:r>
          </w:p>
        </w:tc>
        <w:tc>
          <w:tcPr>
            <w:tcW w:w="1873"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File Number </w:t>
            </w:r>
          </w:p>
        </w:tc>
      </w:tr>
      <w:tr>
        <w:trPr/>
        <w:tc>
          <w:tcPr>
            <w:tcW w:w="344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Transferor</w:t>
            </w:r>
          </w:p>
        </w:tc>
        <w:tc>
          <w:tcPr>
            <w:tcW w:w="1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Citibank, N.A.</w:t>
            </w:r>
          </w:p>
        </w:tc>
        <w:tc>
          <w:tcPr>
            <w:tcW w:w="305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Secretary of State of the State of Delaware</w:t>
            </w:r>
          </w:p>
        </w:tc>
        <w:tc>
          <w:tcPr>
            <w:tcW w:w="1873" w:type="dxa"/>
            <w:gridSpan w:val="3"/>
            <w:tcBorders>
              <w:top w:val="single" w:sz="4" w:space="0" w:color="000000"/>
              <w:left w:val="single" w:sz="4" w:space="0" w:color="000000"/>
              <w:right w:val="single" w:sz="4" w:space="0" w:color="000000"/>
            </w:tcBorders>
            <w:tcMar>
              <w:top w:w="30" w:type="dxa"/>
              <w:bottom w:w="0" w:type="dxa"/>
              <w:right w:w="82"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2024 1625183</w:t>
            </w:r>
          </w:p>
        </w:tc>
      </w:tr>
      <w:tr>
        <w:trPr/>
        <w:tc>
          <w:tcPr>
            <w:tcW w:w="344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Originator</w:t>
            </w:r>
          </w:p>
        </w:tc>
        <w:tc>
          <w:tcPr>
            <w:tcW w:w="18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Citibank, N.A.</w:t>
            </w:r>
          </w:p>
        </w:tc>
        <w:tc>
          <w:tcPr>
            <w:tcW w:w="30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Secretary of State of the State of Delaware</w:t>
            </w:r>
          </w:p>
        </w:tc>
        <w:tc>
          <w:tcPr>
            <w:tcW w:w="187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82"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2024 1627494</w:t>
            </w:r>
          </w:p>
        </w:tc>
      </w:tr>
    </w:tbl>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The SPV Entity-Related Parties have requested that the Administrative Agent and the Purchasers waive the Specified Default, and the Administrative Agent and the Purchasers are willing to grant such waiver on the terms and subject conditions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The parties hereto desire to amend certain Transaction Documents as hereafter set forth.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other material covenants contained herein,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    </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Capitalized terms used but not otherwise defined herein have the respective meanings assigned thereto in, or by reference in, the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SECTION 2.    Limited Waiver of Specified Default. </w:t>
      </w:r>
    </w:p>
    <w:p>
      <w:pPr>
        <w:pStyle w:val="TextBody"/>
        <w:bidi w:val="0"/>
        <w:spacing w:lineRule="auto" w:line="288" w:before="0" w:after="240"/>
        <w:ind w:left="0" w:right="0" w:hanging="360"/>
        <w:jc w:val="both"/>
        <w:rPr/>
      </w:pPr>
      <w:r>
        <w:rPr>
          <w:rFonts w:ascii="Times New Roman;serif" w:hAnsi="Times New Roman;serif"/>
          <w:b w:val="false"/>
          <w:color w:val="000000"/>
          <w:sz w:val="24"/>
        </w:rPr>
        <w:t>(a)    </w:t>
      </w:r>
      <w:r>
        <w:rPr>
          <w:rFonts w:ascii="Times New Roman;serif" w:hAnsi="Times New Roman;serif"/>
          <w:b w:val="false"/>
          <w:i/>
          <w:color w:val="000000"/>
          <w:sz w:val="24"/>
        </w:rPr>
        <w:t>Limited Waiver</w:t>
      </w:r>
      <w:r>
        <w:rPr>
          <w:rFonts w:ascii="Times New Roman;serif" w:hAnsi="Times New Roman;serif"/>
          <w:b w:val="false"/>
          <w:color w:val="000000"/>
          <w:sz w:val="24"/>
        </w:rPr>
        <w:t>. Subject to the terms and conditions set forth herein, each of the Administrative Agent and the Purchasers hereby waives the occurrence of the Specified Default (the “</w:t>
      </w:r>
      <w:r>
        <w:rPr>
          <w:rFonts w:ascii="Times New Roman;serif" w:hAnsi="Times New Roman;serif"/>
          <w:b w:val="false"/>
          <w:color w:val="000000"/>
          <w:sz w:val="24"/>
          <w:u w:val="single"/>
        </w:rPr>
        <w:t>Limited Waiver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the Administrative Agent nor any Purchaser is hereby waiving any Event of Default or other breach of any Transaction Document arising from any Subject Adverse Claim that constitutes a perfected ownership interest, security interest, lien or similar encumbrance on any Sold Assets or Pledged Collateral (including any Pool Receivables and Related Rights). </w:t>
      </w:r>
    </w:p>
    <w:p>
      <w:pPr>
        <w:pStyle w:val="TextBody"/>
        <w:bidi w:val="0"/>
        <w:spacing w:lineRule="auto" w:line="288" w:before="0" w:after="240"/>
        <w:ind w:left="0" w:right="0" w:hanging="360"/>
        <w:jc w:val="both"/>
        <w:rPr/>
      </w:pPr>
      <w:r>
        <w:rPr>
          <w:rFonts w:ascii="Times New Roman;serif" w:hAnsi="Times New Roman;serif"/>
          <w:b w:val="false"/>
          <w:color w:val="000000"/>
          <w:sz w:val="24"/>
        </w:rPr>
        <w:t>(b)    </w:t>
      </w:r>
      <w:r>
        <w:rPr>
          <w:rFonts w:ascii="Times New Roman;serif" w:hAnsi="Times New Roman;serif"/>
          <w:b w:val="false"/>
          <w:i/>
          <w:color w:val="000000"/>
          <w:sz w:val="24"/>
        </w:rPr>
        <w:t xml:space="preserve">General Limitations. </w:t>
      </w:r>
      <w:r>
        <w:rPr>
          <w:rFonts w:ascii="Times New Roman;serif" w:hAnsi="Times New Roman;serif"/>
          <w:b w:val="false"/>
          <w:color w:val="000000"/>
          <w:sz w:val="24"/>
        </w:rPr>
        <w:t xml:space="preserve">Notwithstanding anything to the contrary herein or in the Transaction Documents, by executing this Amendment, each of the Administrative Agent and each Purchaser is not waiving, nor has it agreed to waive in the future (i) the breach of any provision of the Transaction Documents (whether presently or subsequently existing or arising), other than as expressly set forth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 xml:space="preserve">above, (ii) any Potential Default, Event of Default and Sale Termination Event under the Receivables Purchase Agreement, any Transfer Agreement or the other Transaction Documents (whether presently or subsequently existing or arising), other than as expressly set forth in </w:t>
      </w:r>
      <w:r>
        <w:rPr>
          <w:rFonts w:ascii="Times New Roman;serif" w:hAnsi="Times New Roman;serif"/>
          <w:b w:val="false"/>
          <w:color w:val="000000"/>
          <w:sz w:val="24"/>
          <w:u w:val="single"/>
        </w:rPr>
        <w:t>Section 1(a)</w:t>
      </w:r>
      <w:r>
        <w:rPr>
          <w:color w:val="000000"/>
        </w:rPr>
        <w:t xml:space="preserve"> </w:t>
      </w:r>
      <w:r>
        <w:rPr>
          <w:rFonts w:ascii="Times New Roman;serif" w:hAnsi="Times New Roman;serif"/>
          <w:b w:val="false"/>
          <w:color w:val="000000"/>
          <w:sz w:val="24"/>
        </w:rPr>
        <w:t xml:space="preserve">above, or (iii) any rights, powers or remedies presently or subsequently available to any of the Administrative Agent, each Purchaser party hereto or any other Person against the SPV Entity-Related Parties under the Receivables Purchase Agreement, the each Transfer Agreement or any of the other Transaction Documents, applicable Law or otherwise, relating to any matter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solely to the extent expressly waived herein, each of which rights, powers or remedies is hereby specifically and expressly reserved and continue.</w:t>
      </w:r>
    </w:p>
    <w:p>
      <w:pPr>
        <w:pStyle w:val="TextBody"/>
        <w:bidi w:val="0"/>
        <w:spacing w:lineRule="auto" w:line="288" w:before="0" w:after="240"/>
        <w:ind w:left="0" w:right="0" w:hanging="360"/>
        <w:jc w:val="both"/>
        <w:rPr/>
      </w:pPr>
      <w:r>
        <w:rPr>
          <w:rFonts w:ascii="Times New Roman;serif" w:hAnsi="Times New Roman;serif"/>
          <w:b w:val="false"/>
          <w:color w:val="000000"/>
          <w:sz w:val="24"/>
        </w:rPr>
        <w:t>(c)    </w:t>
      </w:r>
      <w:r>
        <w:rPr>
          <w:rFonts w:ascii="Times New Roman;serif" w:hAnsi="Times New Roman;serif"/>
          <w:b w:val="false"/>
          <w:i/>
          <w:color w:val="000000"/>
          <w:sz w:val="24"/>
        </w:rPr>
        <w:t>No Waiver of Indemnification, Etc</w:t>
      </w:r>
      <w:r>
        <w:rPr>
          <w:rFonts w:ascii="Times New Roman;serif" w:hAnsi="Times New Roman;serif"/>
          <w:b w:val="false"/>
          <w:color w:val="000000"/>
          <w:sz w:val="24"/>
        </w:rPr>
        <w:t>. Without limiting the generality of the foregoing and for the avoidance of doubt, the Administrative Agent and the Purchaser Party hereto are not hereby waiving or releasing, nor have they agreed to waive or release in the future, any right or claim to indemnification or reimbursement by, or damages from, any SPV Entity-Related Party or any other Person under any Transaction Document, including without limitation, for any liability, obligation, loss, damage, penalty, judgment, settlement, cost, expense or disbursement resulting or arising directly or indirectly from the Specified Default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    </w:t>
      </w:r>
      <w:r>
        <w:rPr>
          <w:rFonts w:ascii="Times New Roman;serif" w:hAnsi="Times New Roman;serif"/>
          <w:b w:val="false"/>
          <w:color w:val="000000"/>
          <w:sz w:val="24"/>
          <w:u w:val="single"/>
        </w:rPr>
        <w:t>Amendment to Certain Transaction Documents</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Receivables Purchase Agreement</w:t>
      </w:r>
      <w:r>
        <w:rPr>
          <w:rFonts w:ascii="Times New Roman;serif" w:hAnsi="Times New Roman;serif"/>
          <w:b w:val="false"/>
          <w:color w:val="000000"/>
          <w:sz w:val="24"/>
        </w:rPr>
        <w:t xml:space="preserve">. The Receivables Purchase Agreement is hereby amended as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such that all of the newly inserted double-underlined provisions therein (indicated textually in the same manner as the following example: </w:t>
      </w:r>
      <w:r>
        <w:rPr>
          <w:rFonts w:ascii="Times New Roman;serif" w:hAnsi="Times New Roman;serif"/>
          <w:b w:val="false"/>
          <w:color w:val="0F04EC"/>
          <w:sz w:val="24"/>
          <w:u w:val="single"/>
        </w:rPr>
        <w:t>double-underlined text</w:t>
      </w:r>
      <w:r>
        <w:rPr>
          <w:rFonts w:ascii="Times New Roman;serif" w:hAnsi="Times New Roman;serif"/>
          <w:b w:val="false"/>
          <w:color w:val="000000"/>
          <w:sz w:val="24"/>
        </w:rPr>
        <w:t xml:space="preserve">) shall be deemed to be inserted and all of the stricken text therein (indicated textually in the same manner as the following example: </w:t>
      </w:r>
      <w:r>
        <w:rPr>
          <w:rFonts w:ascii="Times New Roman;serif" w:hAnsi="Times New Roman;serif"/>
          <w:b w:val="false"/>
          <w:strike/>
          <w:color w:val="FF0000"/>
          <w:sz w:val="24"/>
        </w:rPr>
        <w:t>stricken text</w:t>
      </w:r>
      <w:r>
        <w:rPr>
          <w:rFonts w:ascii="Times New Roman;serif" w:hAnsi="Times New Roman;serif"/>
          <w:b w:val="false"/>
          <w:color w:val="000000"/>
          <w:sz w:val="24"/>
        </w:rPr>
        <w:t>) shall be deemed to be deleted therefrom.</w:t>
      </w:r>
    </w:p>
    <w:p>
      <w:pPr>
        <w:pStyle w:val="TextBody"/>
        <w:bidi w:val="0"/>
        <w:spacing w:lineRule="auto" w:line="288" w:before="0" w:after="240"/>
        <w:ind w:left="0" w:right="0" w:hanging="36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U.S. First Tier Sale Agreement</w:t>
      </w:r>
      <w:r>
        <w:rPr>
          <w:rFonts w:ascii="Times New Roman;serif" w:hAnsi="Times New Roman;serif"/>
          <w:b w:val="false"/>
          <w:color w:val="000000"/>
          <w:sz w:val="24"/>
        </w:rPr>
        <w:t>. The language in each of Section 5.15, Section 5.16 and Section 6.1(q) of the U.S. First Tier Sale Agreement is hereby replaced in its entirety with “[Reserved].”</w:t>
      </w:r>
    </w:p>
    <w:p>
      <w:pPr>
        <w:pStyle w:val="TextBody"/>
        <w:bidi w:val="0"/>
        <w:spacing w:lineRule="auto" w:line="288" w:before="0" w:after="240"/>
        <w:ind w:left="0" w:right="0" w:hanging="36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U.S. Second Tier Sale and Contribution Agreement</w:t>
      </w:r>
      <w:r>
        <w:rPr>
          <w:rFonts w:ascii="Times New Roman;serif" w:hAnsi="Times New Roman;serif"/>
          <w:b w:val="false"/>
          <w:color w:val="000000"/>
          <w:sz w:val="24"/>
        </w:rPr>
        <w:t>. The language in each of Section 5.15, Section 5.16 and Section 6.1(q) of the U.S. Second Tier Sale and Contribution Agreement is hereby replaced in its entirety with “[Reserved].”</w:t>
      </w:r>
    </w:p>
    <w:p>
      <w:pPr>
        <w:pStyle w:val="TextBody"/>
        <w:bidi w:val="0"/>
        <w:spacing w:lineRule="auto" w:line="288" w:before="0" w:after="240"/>
        <w:ind w:left="0" w:right="0" w:hanging="36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UK Sale Agreement</w:t>
      </w:r>
      <w:r>
        <w:rPr>
          <w:rFonts w:ascii="Times New Roman;serif" w:hAnsi="Times New Roman;serif"/>
          <w:b w:val="false"/>
          <w:color w:val="000000"/>
          <w:sz w:val="24"/>
        </w:rPr>
        <w:t>. The language in each of Section of 5.15, Section 5.16 and Section 6.1(q) of the UK Sale Agreement is hereby replaced in its entirety with “[Reserved].”</w:t>
      </w:r>
    </w:p>
    <w:p>
      <w:pPr>
        <w:pStyle w:val="TextBody"/>
        <w:bidi w:val="0"/>
        <w:spacing w:lineRule="auto" w:line="288" w:before="0" w:after="240"/>
        <w:ind w:left="0" w:right="0" w:hanging="36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Canadian Sale Agreement</w:t>
      </w:r>
      <w:r>
        <w:rPr>
          <w:rFonts w:ascii="Times New Roman;serif" w:hAnsi="Times New Roman;serif"/>
          <w:b w:val="false"/>
          <w:color w:val="000000"/>
          <w:sz w:val="24"/>
        </w:rPr>
        <w:t>. The language in each of Section 5.1(o) and Section 6.1(p) of the Canadian Sale Agreement is hereby replaced in its entirety with “[Reserved].”</w:t>
      </w:r>
    </w:p>
    <w:p>
      <w:pPr>
        <w:pStyle w:val="TextBody"/>
        <w:bidi w:val="0"/>
        <w:spacing w:lineRule="auto" w:line="288" w:before="0" w:after="240"/>
        <w:ind w:left="0" w:right="0" w:hanging="36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Swiss Sale Agreement</w:t>
      </w:r>
      <w:r>
        <w:rPr>
          <w:rFonts w:ascii="Times New Roman;serif" w:hAnsi="Times New Roman;serif"/>
          <w:b w:val="false"/>
          <w:color w:val="000000"/>
          <w:sz w:val="24"/>
        </w:rPr>
        <w:t>. The language in each of Section 5.15, Section 5.16 and Section 6.1(q) of the Swiss Sale Agreement is hereby replaced in its entirety with “[Reserved].”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    </w:t>
      </w:r>
      <w:r>
        <w:rPr>
          <w:rFonts w:ascii="Times New Roman;serif" w:hAnsi="Times New Roman;serif"/>
          <w:b w:val="false"/>
          <w:color w:val="000000"/>
          <w:sz w:val="24"/>
          <w:u w:val="single"/>
        </w:rPr>
        <w:t>Effect of Amendment; Ratification</w:t>
      </w:r>
      <w:r>
        <w:rPr>
          <w:rFonts w:ascii="Times New Roman;serif" w:hAnsi="Times New Roman;serif"/>
          <w:b w:val="false"/>
          <w:color w:val="000000"/>
          <w:sz w:val="24"/>
        </w:rPr>
        <w:t xml:space="preserve">. All provisions of the Transaction Documents, as expressly amended and modified by this Amendment, shall remain in full force and effect. After this Amendment becomes effective, all references in the Transaction Documents to “this Agreement”, “hereof”, “herein” or words of similar effect referring to any Transaction Document shall be deemed to be references to such Transaction Document as amended by this Amendment. This Amendment shall not be deemed, either expressly or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impliedly, to waive, amend or supplement any provision of the Transaction Documents other than as set forth herein. Each Transaction Documents, as amended by this Amendment, is hereby ratified and confirmed in all respects. This Amendment shall not be deemed to expressly or impliedly waive, amend or supplement any provision of the Agreement or any other Transaction Document other than as expressly set forth herein and is hereby ratified and confirmed. Notwithstanding the generality of the foregoing, the Seller (in its capacity as “Chargor” under the UK Security Agreement) confirms to the Administrative Agent (for the benefit of the Secured Parties) that its obligations under, and the Security Interests granted by it in and pursuant to (and as defined in), the UK Security Agreement (i) are not discharged or (except as set out in limb (ii)) otherwise affected by those amendments or the other provisions of this Amendment and shall accordingly remain in full force and effect; and (ii) the Secured Liabilities under and as defined in the UK Security Agreement shall, after the date of this Amendment, extend to the obligations of the Seller under the Transaction Documents including as so amended.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    </w:t>
      </w:r>
      <w:r>
        <w:rPr>
          <w:rFonts w:ascii="Times New Roman;serif" w:hAnsi="Times New Roman;serif"/>
          <w:b w:val="false"/>
          <w:color w:val="000000"/>
          <w:sz w:val="24"/>
          <w:u w:val="single"/>
        </w:rPr>
        <w:t>Effectiveness of this Amendment</w:t>
      </w:r>
      <w:r>
        <w:rPr>
          <w:rFonts w:ascii="Times New Roman;serif" w:hAnsi="Times New Roman;serif"/>
          <w:b w:val="false"/>
          <w:color w:val="000000"/>
          <w:sz w:val="24"/>
        </w:rPr>
        <w:t>. This Amendment shall become effective as of the first date (the “</w:t>
      </w:r>
      <w:r>
        <w:rPr>
          <w:rFonts w:ascii="Times New Roman;serif" w:hAnsi="Times New Roman;serif"/>
          <w:b w:val="false"/>
          <w:color w:val="000000"/>
          <w:sz w:val="24"/>
          <w:u w:val="single"/>
        </w:rPr>
        <w:t>Amendment Effective Date</w:t>
      </w:r>
      <w:r>
        <w:rPr>
          <w:color w:val="000000"/>
        </w:rPr>
        <w:t>”</w:t>
      </w:r>
      <w:r>
        <w:rPr>
          <w:rFonts w:ascii="Times New Roman;serif" w:hAnsi="Times New Roman;serif"/>
          <w:b w:val="false"/>
          <w:color w:val="000000"/>
          <w:sz w:val="24"/>
        </w:rPr>
        <w:t xml:space="preserve">) on which (a) the Administrative Agent shall have received each of the documents and agreements listed on the closing memorandum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 each case, in form and substance acceptable to the Administrative Agent, and (b) all fees and expenses payable by the Seller on the date hereof to the Purchaser Parties have been paid in full in accordance with the terms of the Transaction Documents.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Each of the SPV Entity-Related Party that is a party hereto hereby represents and warrants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representations and warranties made by it under each of the Transaction Documents to which it is a party are true and correct in all material respects as of the date hereof (unless stated to relate solely to an earlier date, in which case such representations and warranties were true and correct in all material respects as of such earlier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execution and delivery by such SPV Entity-Related Party of this Amendment, and the performance of its obligations under this Amendment and the Agreement, as amended hereby, are within its organizational powers and have been duly authorized by all necessary organizational action on its part. This Amendment and the Agreement, as amended hereby, are such SPV Entity-Related Party’s valid and legally binding obligations, enforceable in accordance with its respective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Both before and immediately after giving effect to this Amendment and the transactions contemplated hereby, no Potential Default or Event of Default exists.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    </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Amendment may be executed in any number of counterparts, each of which when so executed shall be deemed to be an original and all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which when taken together shall constitute one and the same agreement. Delivery of an executed counterpart hereof by facsimile or other electronic means shall be equally effective as delivery of an originally executed counterpart. The words “execution”, “executed”,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descriptive headings of the various sections of this Amendment are inserted for convenience of reference only and shall not be deemed to affect the meaning or construction of any of the provisions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Transaction Document</w:t>
      </w:r>
      <w:r>
        <w:rPr>
          <w:rFonts w:ascii="Times New Roman;serif" w:hAnsi="Times New Roman;serif"/>
          <w:b w:val="false"/>
          <w:color w:val="000000"/>
          <w:sz w:val="24"/>
        </w:rPr>
        <w:t>. This Amendment is a Transaction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SUBJECT TO SUB-PARAGRAPH (ii) BELOW, THIS AMENDMENT,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    Notwithstanding sub-paragraph (i) above,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paragraph (d)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and this sub-paragraph (ii)(1) shall be governed by, and construed in accordance with the laws of England and Wales (excluding its conflict of laws principles);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paragraph (e)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and this sub-paragraph (ii)(2) shall be governed by, and construed in accordance with the laws of the Province of British Columbia and the federal laws of Canada applicable therein (excluding its conflict of laws principles); and</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paragraph (f) of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and this sub-paragraph (ii)(3) shall be governed by, and construed in accordance with England and Wales (excluding its conflict of laws principles).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    </w:t>
      </w:r>
      <w:r>
        <w:rPr>
          <w:rFonts w:ascii="Times New Roman;serif" w:hAnsi="Times New Roman;serif"/>
          <w:b w:val="false"/>
          <w:color w:val="000000"/>
          <w:sz w:val="24"/>
          <w:u w:val="single"/>
        </w:rPr>
        <w:t>Ratification and Affirmation of Performance Guaranty</w:t>
      </w:r>
      <w:r>
        <w:rPr>
          <w:rFonts w:ascii="Times New Roman;serif" w:hAnsi="Times New Roman;serif"/>
          <w:b w:val="false"/>
          <w:color w:val="000000"/>
          <w:sz w:val="24"/>
        </w:rPr>
        <w:t>.  After giving effect to this Amendment and the transactions contemplated by this Amendment,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Amendment to be executed (in the case of Rackspace Limited as a deed) by their respective officers thereunto duly authorized, as of the date first above written.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24"/>
              </w:rPr>
            </w:pPr>
            <w:r>
              <w:rPr>
                <w:rFonts w:ascii="Times New Roman;serif" w:hAnsi="Times New Roman;serif"/>
                <w:b w:val="false"/>
                <w:color w:val="000000"/>
                <w:sz w:val="24"/>
              </w:rPr>
              <w:t>RACKSPACE RECEIVABLES II LLC, as Seller</w:t>
            </w:r>
          </w:p>
          <w:p>
            <w:pPr>
              <w:pStyle w:val="TableContents"/>
              <w:bidi w:val="0"/>
              <w:spacing w:lineRule="auto" w:line="288" w:before="0" w:after="0"/>
              <w:ind w:left="0" w:right="0" w:hanging="6"/>
              <w:jc w:val="left"/>
              <w:rPr/>
            </w:pP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/s/ Sarah Alexander</w:t>
            </w:r>
            <w:r>
              <w:rPr>
                <w:color w:val="000000"/>
              </w:rPr>
              <w:t>        </w:t>
            </w:r>
            <w:r>
              <w:rPr>
                <w:rFonts w:ascii="Times New Roman;serif" w:hAnsi="Times New Roman;serif"/>
                <w:b w:val="false"/>
                <w:color w:val="000000"/>
                <w:sz w:val="24"/>
              </w:rPr>
              <w:br/>
              <w:t>Name: Sarah Alexander</w:t>
              <w:br/>
              <w:t>Title: Vice President, Deputy General Counsel &amp; Asst.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RECEIVABLES CANADA LIMITED,</w:t>
              <w:br/>
              <w:t>as Canadian Guarantor</w:t>
            </w:r>
          </w:p>
          <w:p>
            <w:pPr>
              <w:pStyle w:val="TableContents"/>
              <w:bidi w:val="0"/>
              <w:spacing w:lineRule="auto" w:line="288" w:before="0" w:after="0"/>
              <w:jc w:val="left"/>
              <w:rPr/>
            </w:pPr>
            <w:r>
              <w:rPr>
                <w:rFonts w:ascii="Times New Roman;serif" w:hAnsi="Times New Roman;serif"/>
                <w:b w:val="false"/>
                <w:color w:val="000000"/>
                <w:sz w:val="24"/>
              </w:rPr>
              <w:br/>
              <w:br/>
              <w:t xml:space="preserve">By: </w:t>
            </w:r>
            <w:r>
              <w:rPr>
                <w:rFonts w:ascii="Times New Roman;serif" w:hAnsi="Times New Roman;serif"/>
                <w:b w:val="false"/>
                <w:color w:val="000000"/>
                <w:sz w:val="24"/>
                <w:u w:val="single"/>
              </w:rPr>
              <w:t>/s/ Aimee Marroquin</w:t>
            </w:r>
            <w:r>
              <w:rPr>
                <w:rFonts w:ascii="Times New Roman;serif" w:hAnsi="Times New Roman;serif"/>
                <w:b w:val="false"/>
                <w:color w:val="000000"/>
                <w:sz w:val="24"/>
              </w:rPr>
              <w:br/>
              <w:t>Name: Aimee Marroquin</w:t>
              <w:br/>
              <w:t>Title: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RACKSPACE US, INC., as U.S. Servicer and as Transferor</w:t>
              <w:br/>
              <w:br/>
              <w:br/>
              <w:t xml:space="preserve">By: </w:t>
            </w:r>
            <w:r>
              <w:rPr>
                <w:rFonts w:ascii="Times New Roman;serif" w:hAnsi="Times New Roman;serif"/>
                <w:b w:val="false"/>
                <w:color w:val="000000"/>
                <w:sz w:val="24"/>
                <w:u w:val="single"/>
              </w:rPr>
              <w:t>/s/ Sarah Alexander</w:t>
            </w:r>
            <w:r>
              <w:rPr>
                <w:color w:val="000000"/>
              </w:rPr>
              <w:t>        </w:t>
            </w:r>
            <w:r>
              <w:rPr>
                <w:rFonts w:ascii="Times New Roman;serif" w:hAnsi="Times New Roman;serif"/>
                <w:b w:val="false"/>
                <w:color w:val="000000"/>
                <w:sz w:val="24"/>
              </w:rPr>
              <w:br/>
              <w:t>Name: Sarah Alexander</w:t>
              <w:br/>
              <w:t>Title: Vice President, Deputy General Counsel &amp; Asst. Secretary</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EXECUTED as a deed by two directors, for and on behalf of RACKSPACE LIMITED, as UK Servicer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Antony Rook</w:t>
            </w:r>
            <w:r>
              <w:rPr>
                <w:rFonts w:ascii="Times New Roman;serif" w:hAnsi="Times New Roman;serif"/>
                <w:b w:val="false"/>
                <w:color w:val="000000"/>
                <w:sz w:val="24"/>
              </w:rPr>
              <w:br/>
              <w:t>Name: Antony Rook</w:t>
              <w:br/>
              <w:t>Title: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Aimee Marroquin</w:t>
            </w:r>
            <w:r>
              <w:rPr>
                <w:rFonts w:ascii="Times New Roman;serif" w:hAnsi="Times New Roman;serif"/>
                <w:b w:val="false"/>
                <w:color w:val="000000"/>
                <w:sz w:val="24"/>
              </w:rPr>
              <w:br/>
              <w:t>Name: Aimee Marroquin</w:t>
              <w:br/>
              <w:t>Title: Director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14960"/>
                <wp:effectExtent l="0" t="0" r="0" b="0"/>
                <wp:wrapNone/>
                <wp:docPr id="57" name="Frame5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7"/>
        <w:gridCol w:w="2878"/>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EXECUTED as a deed by two directors, for and on behalf of RACKSPACE LIMITED, as UK Originator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Aimee Marroquin</w:t>
            </w:r>
            <w:r>
              <w:rPr>
                <w:rFonts w:ascii="Times New Roman;serif" w:hAnsi="Times New Roman;serif"/>
                <w:b w:val="false"/>
                <w:color w:val="000000"/>
                <w:sz w:val="24"/>
              </w:rPr>
              <w:br/>
              <w:t>Name: Aimee Marroquin</w:t>
              <w:br/>
              <w:t>Title: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Antony Rook</w:t>
            </w:r>
            <w:r>
              <w:rPr>
                <w:rFonts w:ascii="Times New Roman;serif" w:hAnsi="Times New Roman;serif"/>
                <w:b w:val="false"/>
                <w:color w:val="000000"/>
                <w:sz w:val="24"/>
              </w:rPr>
              <w:br/>
              <w:t>Name: Antony Rook</w:t>
              <w:br/>
              <w:t>Title: Director</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ONICA TECHNOLOGIES CANADA INC., as Canadian Servicer and as Canadian Originator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Aimee Marroquin</w:t>
            </w:r>
            <w:r>
              <w:rPr>
                <w:rFonts w:ascii="Times New Roman;serif" w:hAnsi="Times New Roman;serif"/>
                <w:b w:val="false"/>
                <w:color w:val="000000"/>
                <w:sz w:val="24"/>
              </w:rPr>
              <w:br/>
              <w:t>Name: Aimee Marroquin</w:t>
              <w:br/>
              <w:t>Title: Director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INTERNATIONAL GMBH, as Swiss Servicer and as Swiss Originator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Dorothea Bruggler</w:t>
            </w:r>
            <w:r>
              <w:rPr>
                <w:rFonts w:ascii="Times New Roman;serif" w:hAnsi="Times New Roman;serif"/>
                <w:b w:val="false"/>
                <w:color w:val="000000"/>
                <w:sz w:val="24"/>
              </w:rPr>
              <w:br/>
              <w:t>Name: Dorothea Bruggler</w:t>
              <w:br/>
              <w:t>Title: Managing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ONICA GROUP LLC, as U.S. Originator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Alexander</w:t>
            </w:r>
            <w:r>
              <w:rPr>
                <w:color w:val="000000"/>
              </w:rPr>
              <w:t>        </w:t>
            </w:r>
            <w:r>
              <w:rPr>
                <w:rFonts w:ascii="Times New Roman;serif" w:hAnsi="Times New Roman;serif"/>
                <w:b w:val="false"/>
                <w:color w:val="000000"/>
                <w:sz w:val="24"/>
              </w:rPr>
              <w:br/>
              <w:t>Name: Sarah Alexander</w:t>
              <w:br/>
              <w:t>Title: Vice President, Deputy General Counsel &amp; Asst. Secretary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14960"/>
                <wp:effectExtent l="0" t="0" r="0" b="0"/>
                <wp:wrapNone/>
                <wp:docPr id="58" name="Frame5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p>
                    <w:p>
                      <w:pPr>
                        <w:pStyle w:val="TextBody"/>
                        <w:bidi w:val="0"/>
                        <w:spacing w:before="0" w:after="0"/>
                        <w:jc w:val="left"/>
                        <w:rPr/>
                      </w:pPr>
                      <w:r>
                        <w:rPr/>
                      </w:r>
                    </w:p>
                  </w:txbxContent>
                </v:textbox>
                <w10:wrap type="none"/>
              </v:rect>
            </w:pict>
          </mc:Fallback>
        </mc:AlternateContent>
      </w:r>
    </w:p>
    <w:tbl>
      <w:tblPr>
        <w:tblW w:w="4886" w:type="dxa"/>
        <w:jc w:val="left"/>
        <w:tblInd w:w="0" w:type="dxa"/>
        <w:tblLayout w:type="fixed"/>
        <w:tblCellMar>
          <w:top w:w="28" w:type="dxa"/>
          <w:left w:w="28" w:type="dxa"/>
          <w:bottom w:w="28" w:type="dxa"/>
          <w:right w:w="28" w:type="dxa"/>
        </w:tblCellMar>
      </w:tblPr>
      <w:tblGrid>
        <w:gridCol w:w="124"/>
        <w:gridCol w:w="109"/>
        <w:gridCol w:w="109"/>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val="false"/>
                <w:color w:val="000000"/>
                <w:sz w:val="24"/>
              </w:rPr>
              <w:t>PNC BANK, NATIONAL ASSOCIATION,</w:t>
              <w:br/>
              <w:t>as Administrative Agent</w:t>
              <w:br/>
              <w:br/>
              <w:br/>
              <w:t xml:space="preserve">By: </w:t>
            </w:r>
            <w:r>
              <w:rPr>
                <w:rFonts w:ascii="Times New Roman;serif" w:hAnsi="Times New Roman;serif"/>
                <w:b w:val="false"/>
                <w:color w:val="000000"/>
                <w:sz w:val="24"/>
                <w:u w:val="single"/>
              </w:rPr>
              <w:t>/s/ Imad Naja</w:t>
            </w:r>
            <w:r>
              <w:rPr>
                <w:color w:val="000000"/>
              </w:rPr>
              <w:t>    </w:t>
            </w:r>
            <w:r>
              <w:rPr>
                <w:rFonts w:ascii="Times New Roman;serif" w:hAnsi="Times New Roman;serif"/>
                <w:b w:val="false"/>
                <w:color w:val="000000"/>
                <w:sz w:val="24"/>
              </w:rPr>
              <w:br/>
              <w:t>Name: Imad Naja</w:t>
              <w:b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br/>
              <w:t>as a Purchaser</w:t>
            </w:r>
          </w:p>
          <w:p>
            <w:pPr>
              <w:pStyle w:val="TableContents"/>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Imad Naja</w:t>
            </w:r>
            <w:r>
              <w:rPr>
                <w:color w:val="000000"/>
              </w:rPr>
              <w:t>    </w:t>
            </w:r>
            <w:r>
              <w:rPr>
                <w:rFonts w:ascii="Times New Roman;serif" w:hAnsi="Times New Roman;serif"/>
                <w:b w:val="false"/>
                <w:color w:val="000000"/>
                <w:sz w:val="24"/>
              </w:rPr>
              <w:br/>
              <w:t>Name: Imad Naja</w:t>
              <w:br/>
              <w:t>Title: Senior Vice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CAPITAL MARKETS LLC,</w:t>
              <w:br/>
              <w:t>as Structuring Agent</w:t>
            </w:r>
          </w:p>
          <w:p>
            <w:pPr>
              <w:pStyle w:val="TableContents"/>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Imad Naja</w:t>
            </w:r>
            <w:r>
              <w:rPr>
                <w:color w:val="000000"/>
              </w:rPr>
              <w:t>    </w:t>
            </w:r>
            <w:r>
              <w:rPr>
                <w:rFonts w:ascii="Times New Roman;serif" w:hAnsi="Times New Roman;serif"/>
                <w:b w:val="false"/>
                <w:color w:val="000000"/>
                <w:sz w:val="24"/>
              </w:rPr>
              <w:br/>
              <w:t>Name: Imad Naja</w:t>
              <w:br/>
              <w:t>Title: Senior Vice President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14960"/>
                <wp:effectExtent l="0" t="0" r="0" b="0"/>
                <wp:wrapNone/>
                <wp:docPr id="59" name="Frame5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p>
                    <w:p>
                      <w:pPr>
                        <w:pStyle w:val="TextBody"/>
                        <w:bidi w:val="0"/>
                        <w:spacing w:before="0" w:after="0"/>
                        <w:jc w:val="left"/>
                        <w:rPr/>
                      </w:pPr>
                      <w:r>
                        <w:rPr/>
                      </w:r>
                    </w:p>
                  </w:txbxContent>
                </v:textbox>
                <w10:wrap type="none"/>
              </v:rect>
            </w:pict>
          </mc:Fallback>
        </mc:AlternateContent>
      </w:r>
    </w:p>
    <w:tbl>
      <w:tblPr>
        <w:tblW w:w="7646" w:type="dxa"/>
        <w:jc w:val="left"/>
        <w:tblInd w:w="0" w:type="dxa"/>
        <w:tblLayout w:type="fixed"/>
        <w:tblCellMar>
          <w:top w:w="28" w:type="dxa"/>
          <w:left w:w="28" w:type="dxa"/>
          <w:bottom w:w="28" w:type="dxa"/>
          <w:right w:w="28" w:type="dxa"/>
        </w:tblCellMar>
      </w:tblPr>
      <w:tblGrid>
        <w:gridCol w:w="124"/>
        <w:gridCol w:w="109"/>
        <w:gridCol w:w="109"/>
        <w:gridCol w:w="2138"/>
        <w:gridCol w:w="2138"/>
        <w:gridCol w:w="30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ACKNOWLEDGED AND ACCEPTED AS TO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HEREOF:</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INC., as Performance Guarantor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Sarah Alexander</w:t>
            </w:r>
            <w:r>
              <w:rPr>
                <w:color w:val="000000"/>
              </w:rPr>
              <w:t>        </w:t>
            </w:r>
            <w:r>
              <w:rPr>
                <w:rFonts w:ascii="Times New Roman;serif" w:hAnsi="Times New Roman;serif"/>
                <w:b w:val="false"/>
                <w:color w:val="000000"/>
                <w:sz w:val="24"/>
              </w:rPr>
              <w:br/>
              <w:t>Name: Sarah Alexander</w:t>
              <w:br/>
              <w:t>Title: Vice President, Deputy General Counsel &amp; Asst. Secretary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14960"/>
                <wp:effectExtent l="0" t="0" r="0" b="0"/>
                <wp:wrapNone/>
                <wp:docPr id="60" name="Frame6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 Signature Page to Omnibus Amendment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p>
      <w:pPr>
        <w:pStyle w:val="TextBody"/>
        <w:bidi w:val="0"/>
        <w:spacing w:before="0" w:after="0"/>
        <w:jc w:val="center"/>
        <w:rPr/>
      </w:pPr>
      <w:r>
        <w:rPr/>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Receivables Purchase Agreement - Conformed Version</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pPr>
      <w:r>
        <w:rPr>
          <w:rFonts w:ascii="Times New Roman;serif" w:hAnsi="Times New Roman;serif"/>
          <w:b/>
          <w:strike/>
          <w:color w:val="FF0000"/>
          <w:sz w:val="24"/>
        </w:rPr>
        <w:t>Conformed Copy</w:t>
      </w:r>
      <w:r>
        <w:rPr>
          <w:rFonts w:ascii="Times New Roman;serif" w:hAnsi="Times New Roman;serif"/>
          <w:b/>
          <w:color w:val="0000FF"/>
          <w:sz w:val="24"/>
          <w:u w:val="single"/>
        </w:rPr>
        <w:t>EXECUTION VERSION</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14960"/>
                <wp:effectExtent l="0" t="0" r="0" b="0"/>
                <wp:wrapNone/>
                <wp:docPr id="61" name="Frame6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–Omnibus Amendment – Exhibit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62.6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PNC/Rackspace –Omnibus Amendment – Exhibit A</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strike/>
          <w:color w:val="FF0000"/>
          <w:sz w:val="24"/>
        </w:rPr>
      </w:pPr>
      <w:r>
        <w:rPr>
          <w:rFonts w:ascii="Times New Roman;serif" w:hAnsi="Times New Roman;serif"/>
          <w:b/>
          <w:strike/>
          <w:color w:val="FF0000"/>
          <w:sz w:val="24"/>
        </w:rPr>
        <w:t>to Second Amendment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RECEIVABLES PURCHASE AGREEMENT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September 29, 2023</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RACKSPACE RECEIVABLES II LLC,</w:t>
        <w:br/>
        <w:t>as Seller,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RACKSPACE RECEIVABLES CANADA LIMITED</w:t>
        <w:br/>
        <w:t>as Canadian Guarantor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PERSONS FROM TIME TO TIME PARTY HERETO,</w:t>
        <w:br/>
        <w:t>as Purchasers,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PNC BANK, NATIONAL ASSOCIATION,</w:t>
        <w:br/>
        <w:t>as Administrative Agent,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RACKSPACE US, INC, RACKSPACE INTERNATIONAL GMBH, RACKSPACE LIMITED and ONICA TECHNOLOGIES CANADA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Servicers,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PNC CAPITAL MARKETS LLC,</w:t>
        <w:br/>
        <w:t>as Structuring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0" w:after="120"/>
        <w:ind w:left="0" w:right="0" w:hanging="1440"/>
        <w:jc w:val="left"/>
        <w:rPr>
          <w:rFonts w:ascii="Times New Roman;serif" w:hAnsi="Times New Roman;serif"/>
          <w:b/>
          <w:color w:val="000000"/>
          <w:sz w:val="24"/>
        </w:rPr>
      </w:pPr>
      <w:r>
        <w:rPr>
          <w:rFonts w:ascii="Times New Roman;serif" w:hAnsi="Times New Roman;serif"/>
          <w:b/>
          <w:color w:val="000000"/>
          <w:sz w:val="24"/>
        </w:rPr>
        <w:t>ARTICLE I DEFINITIONS    2</w:t>
      </w:r>
    </w:p>
    <w:p>
      <w:pPr>
        <w:pStyle w:val="TextBody"/>
        <w:bidi w:val="0"/>
        <w:spacing w:lineRule="auto" w:line="288" w:before="0" w:after="12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SECTION 1.01 Certain Defined Terms    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1.02 Construction    </w:t>
      </w:r>
      <w:r>
        <w:rPr>
          <w:rFonts w:ascii="Times New Roman;serif" w:hAnsi="Times New Roman;serif"/>
          <w:b w:val="false"/>
          <w:strike/>
          <w:color w:val="FF0000"/>
          <w:sz w:val="24"/>
        </w:rPr>
        <w:t>43</w:t>
      </w:r>
      <w:r>
        <w:rPr>
          <w:rFonts w:ascii="Times New Roman;serif" w:hAnsi="Times New Roman;serif"/>
          <w:b w:val="false"/>
          <w:color w:val="0000FF"/>
          <w:sz w:val="24"/>
          <w:u w:val="single"/>
        </w:rPr>
        <w:t>44</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1.03 Accounting Principles; Changes in GAAP    </w:t>
      </w:r>
      <w:r>
        <w:rPr>
          <w:rFonts w:ascii="Times New Roman;serif" w:hAnsi="Times New Roman;serif"/>
          <w:b w:val="false"/>
          <w:strike/>
          <w:color w:val="FF0000"/>
          <w:sz w:val="24"/>
        </w:rPr>
        <w:t>43</w:t>
      </w:r>
      <w:r>
        <w:rPr>
          <w:rFonts w:ascii="Times New Roman;serif" w:hAnsi="Times New Roman;serif"/>
          <w:b w:val="false"/>
          <w:color w:val="0000FF"/>
          <w:sz w:val="24"/>
          <w:u w:val="single"/>
        </w:rPr>
        <w:t>45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1.04 Benchmark Replacement Notification</w:t>
      </w:r>
      <w:r>
        <w:rPr>
          <w:rFonts w:ascii="Times New Roman;serif" w:hAnsi="Times New Roman;serif"/>
          <w:b w:val="false"/>
          <w:color w:val="0000FF"/>
          <w:sz w:val="24"/>
          <w:u w:val="single"/>
        </w:rPr>
        <w:t>; Rates</w:t>
      </w:r>
      <w:r>
        <w:rPr>
          <w:color w:val="000000"/>
        </w:rPr>
        <w:t>    </w:t>
      </w:r>
      <w:r>
        <w:rPr>
          <w:rFonts w:ascii="Times New Roman;serif" w:hAnsi="Times New Roman;serif"/>
          <w:b w:val="false"/>
          <w:strike/>
          <w:color w:val="FF0000"/>
          <w:sz w:val="24"/>
        </w:rPr>
        <w:t>44</w:t>
      </w:r>
      <w:r>
        <w:rPr>
          <w:rFonts w:ascii="Times New Roman;serif" w:hAnsi="Times New Roman;serif"/>
          <w:b w:val="false"/>
          <w:color w:val="0000FF"/>
          <w:sz w:val="24"/>
          <w:u w:val="single"/>
        </w:rPr>
        <w:t>45</w:t>
      </w:r>
    </w:p>
    <w:p>
      <w:pPr>
        <w:pStyle w:val="TextBody"/>
        <w:bidi w:val="0"/>
        <w:spacing w:lineRule="auto" w:line="288" w:before="0" w:after="120"/>
        <w:ind w:left="0" w:right="0" w:hanging="1440"/>
        <w:jc w:val="left"/>
        <w:rPr/>
      </w:pPr>
      <w:r>
        <w:rPr>
          <w:rFonts w:ascii="Times New Roman;serif" w:hAnsi="Times New Roman;serif"/>
          <w:b/>
          <w:color w:val="000000"/>
          <w:sz w:val="24"/>
        </w:rPr>
        <w:t>ARTICLE II TERMS OF THE INVESTMENTS    </w:t>
      </w:r>
      <w:r>
        <w:rPr>
          <w:rFonts w:ascii="Times New Roman;serif" w:hAnsi="Times New Roman;serif"/>
          <w:b/>
          <w:strike/>
          <w:color w:val="FF0000"/>
          <w:sz w:val="24"/>
        </w:rPr>
        <w:t>44</w:t>
      </w:r>
      <w:r>
        <w:rPr>
          <w:rFonts w:ascii="Times New Roman;serif" w:hAnsi="Times New Roman;serif"/>
          <w:b/>
          <w:color w:val="0000FF"/>
          <w:sz w:val="24"/>
          <w:u w:val="single"/>
        </w:rPr>
        <w:t>46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2.01 Purchase Facility    </w:t>
      </w:r>
      <w:r>
        <w:rPr>
          <w:rFonts w:ascii="Times New Roman;serif" w:hAnsi="Times New Roman;serif"/>
          <w:b w:val="false"/>
          <w:strike/>
          <w:color w:val="FF0000"/>
          <w:sz w:val="24"/>
        </w:rPr>
        <w:t>44</w:t>
      </w:r>
      <w:r>
        <w:rPr>
          <w:rFonts w:ascii="Times New Roman;serif" w:hAnsi="Times New Roman;serif"/>
          <w:b w:val="false"/>
          <w:color w:val="0000FF"/>
          <w:sz w:val="24"/>
          <w:u w:val="single"/>
        </w:rPr>
        <w:t>46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2.02 Making Investments; Repayment of Investments    </w:t>
      </w:r>
      <w:r>
        <w:rPr>
          <w:rFonts w:ascii="Times New Roman;serif" w:hAnsi="Times New Roman;serif"/>
          <w:b w:val="false"/>
          <w:strike/>
          <w:color w:val="FF0000"/>
          <w:sz w:val="24"/>
        </w:rPr>
        <w:t>46</w:t>
      </w:r>
      <w:r>
        <w:rPr>
          <w:rFonts w:ascii="Times New Roman;serif" w:hAnsi="Times New Roman;serif"/>
          <w:b w:val="false"/>
          <w:color w:val="0000FF"/>
          <w:sz w:val="24"/>
          <w:u w:val="single"/>
        </w:rPr>
        <w:t>47</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2.03 Yield and Fees    </w:t>
      </w:r>
      <w:r>
        <w:rPr>
          <w:rFonts w:ascii="Times New Roman;serif" w:hAnsi="Times New Roman;serif"/>
          <w:b w:val="false"/>
          <w:strike/>
          <w:color w:val="FF0000"/>
          <w:sz w:val="24"/>
        </w:rPr>
        <w:t>48</w:t>
      </w:r>
      <w:r>
        <w:rPr>
          <w:rFonts w:ascii="Times New Roman;serif" w:hAnsi="Times New Roman;serif"/>
          <w:b w:val="false"/>
          <w:color w:val="0000FF"/>
          <w:sz w:val="24"/>
          <w:u w:val="single"/>
        </w:rPr>
        <w:t>50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2.04 Rate Unascertainable; Increased Costs; Illegality; Benchmark Replacement Setting    </w:t>
      </w:r>
      <w:r>
        <w:rPr>
          <w:rFonts w:ascii="Times New Roman;serif" w:hAnsi="Times New Roman;serif"/>
          <w:b w:val="false"/>
          <w:strike/>
          <w:color w:val="FF0000"/>
          <w:sz w:val="24"/>
        </w:rPr>
        <w:t>50</w:t>
      </w:r>
      <w:r>
        <w:rPr>
          <w:rFonts w:ascii="Times New Roman;serif" w:hAnsi="Times New Roman;serif"/>
          <w:b w:val="false"/>
          <w:color w:val="0000FF"/>
          <w:sz w:val="24"/>
          <w:u w:val="single"/>
        </w:rPr>
        <w:t>52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2.05 Records of Investments    </w:t>
      </w:r>
      <w:r>
        <w:rPr>
          <w:rFonts w:ascii="Times New Roman;serif" w:hAnsi="Times New Roman;serif"/>
          <w:b w:val="false"/>
          <w:strike/>
          <w:color w:val="FF0000"/>
          <w:sz w:val="24"/>
        </w:rPr>
        <w:t>56</w:t>
      </w:r>
      <w:r>
        <w:rPr>
          <w:rFonts w:ascii="Times New Roman;serif" w:hAnsi="Times New Roman;serif"/>
          <w:b w:val="false"/>
          <w:color w:val="0000FF"/>
          <w:sz w:val="24"/>
          <w:u w:val="single"/>
        </w:rPr>
        <w:t>58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2.06 Defaulting Purchasers    </w:t>
      </w:r>
      <w:r>
        <w:rPr>
          <w:rFonts w:ascii="Times New Roman;serif" w:hAnsi="Times New Roman;serif"/>
          <w:b w:val="false"/>
          <w:strike/>
          <w:color w:val="FF0000"/>
          <w:sz w:val="24"/>
        </w:rPr>
        <w:t>56</w:t>
      </w:r>
      <w:r>
        <w:rPr>
          <w:rFonts w:ascii="Times New Roman;serif" w:hAnsi="Times New Roman;serif"/>
          <w:b w:val="false"/>
          <w:color w:val="0000FF"/>
          <w:sz w:val="24"/>
          <w:u w:val="single"/>
        </w:rPr>
        <w:t>58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2.07 Security Interest    </w:t>
      </w:r>
      <w:r>
        <w:rPr>
          <w:rFonts w:ascii="Times New Roman;serif" w:hAnsi="Times New Roman;serif"/>
          <w:b w:val="false"/>
          <w:strike/>
          <w:color w:val="FF0000"/>
          <w:sz w:val="24"/>
        </w:rPr>
        <w:t>57</w:t>
      </w:r>
      <w:r>
        <w:rPr>
          <w:rFonts w:ascii="Times New Roman;serif" w:hAnsi="Times New Roman;serif"/>
          <w:b w:val="false"/>
          <w:color w:val="0000FF"/>
          <w:sz w:val="24"/>
          <w:u w:val="single"/>
        </w:rPr>
        <w:t>60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2.08 SPV Entity Guaranty    </w:t>
      </w:r>
      <w:r>
        <w:rPr>
          <w:rFonts w:ascii="Times New Roman;serif" w:hAnsi="Times New Roman;serif"/>
          <w:b w:val="false"/>
          <w:strike/>
          <w:color w:val="FF0000"/>
          <w:sz w:val="24"/>
        </w:rPr>
        <w:t>58</w:t>
      </w:r>
      <w:r>
        <w:rPr>
          <w:rFonts w:ascii="Times New Roman;serif" w:hAnsi="Times New Roman;serif"/>
          <w:b w:val="false"/>
          <w:color w:val="0000FF"/>
          <w:sz w:val="24"/>
          <w:u w:val="single"/>
        </w:rPr>
        <w:t>61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2.09 Authorization to File Financing Statements; Further Assurances    </w:t>
      </w:r>
      <w:r>
        <w:rPr>
          <w:rFonts w:ascii="Times New Roman;serif" w:hAnsi="Times New Roman;serif"/>
          <w:b w:val="false"/>
          <w:strike/>
          <w:color w:val="FF0000"/>
          <w:sz w:val="24"/>
        </w:rPr>
        <w:t>63</w:t>
      </w:r>
      <w:r>
        <w:rPr>
          <w:rFonts w:ascii="Times New Roman;serif" w:hAnsi="Times New Roman;serif"/>
          <w:b w:val="false"/>
          <w:color w:val="0000FF"/>
          <w:sz w:val="24"/>
          <w:u w:val="single"/>
        </w:rPr>
        <w:t>66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2.10 Data Protection    </w:t>
      </w:r>
      <w:r>
        <w:rPr>
          <w:rFonts w:ascii="Times New Roman;serif" w:hAnsi="Times New Roman;serif"/>
          <w:b w:val="false"/>
          <w:strike/>
          <w:color w:val="FF0000"/>
          <w:sz w:val="24"/>
        </w:rPr>
        <w:t>63</w:t>
      </w:r>
      <w:r>
        <w:rPr>
          <w:rFonts w:ascii="Times New Roman;serif" w:hAnsi="Times New Roman;serif"/>
          <w:b w:val="false"/>
          <w:color w:val="0000FF"/>
          <w:sz w:val="24"/>
          <w:u w:val="single"/>
        </w:rPr>
        <w:t>66</w:t>
      </w:r>
    </w:p>
    <w:p>
      <w:pPr>
        <w:pStyle w:val="TextBody"/>
        <w:bidi w:val="0"/>
        <w:spacing w:lineRule="auto" w:line="288" w:before="0" w:after="120"/>
        <w:ind w:left="0" w:right="0" w:hanging="1440"/>
        <w:jc w:val="left"/>
        <w:rPr/>
      </w:pPr>
      <w:r>
        <w:rPr>
          <w:rFonts w:ascii="Times New Roman;serif" w:hAnsi="Times New Roman;serif"/>
          <w:b/>
          <w:color w:val="000000"/>
          <w:sz w:val="24"/>
        </w:rPr>
        <w:t>ARTICLE III SETTLEMENT PROCEDURES AND PAYMENT PROVISIONS    </w:t>
      </w:r>
      <w:r>
        <w:rPr>
          <w:rFonts w:ascii="Times New Roman;serif" w:hAnsi="Times New Roman;serif"/>
          <w:b/>
          <w:strike/>
          <w:color w:val="FF0000"/>
          <w:sz w:val="24"/>
        </w:rPr>
        <w:t>64</w:t>
      </w:r>
      <w:r>
        <w:rPr>
          <w:rFonts w:ascii="Times New Roman;serif" w:hAnsi="Times New Roman;serif"/>
          <w:b/>
          <w:color w:val="0000FF"/>
          <w:sz w:val="24"/>
          <w:u w:val="single"/>
        </w:rPr>
        <w:t>66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3.01 Settlement Procedures    </w:t>
      </w:r>
      <w:r>
        <w:rPr>
          <w:rFonts w:ascii="Times New Roman;serif" w:hAnsi="Times New Roman;serif"/>
          <w:b w:val="false"/>
          <w:strike/>
          <w:color w:val="FF0000"/>
          <w:sz w:val="24"/>
        </w:rPr>
        <w:t>64</w:t>
      </w:r>
      <w:r>
        <w:rPr>
          <w:rFonts w:ascii="Times New Roman;serif" w:hAnsi="Times New Roman;serif"/>
          <w:b w:val="false"/>
          <w:color w:val="0000FF"/>
          <w:sz w:val="24"/>
          <w:u w:val="single"/>
        </w:rPr>
        <w:t>66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3.02 Payments and Computations, Etc</w:t>
      </w:r>
      <w:r>
        <w:rPr>
          <w:rFonts w:ascii="Times New Roman;serif" w:hAnsi="Times New Roman;serif"/>
          <w:b w:val="false"/>
          <w:color w:val="0000FF"/>
          <w:sz w:val="24"/>
          <w:u w:val="single"/>
        </w:rPr>
        <w:t>.</w:t>
      </w:r>
      <w:r>
        <w:rPr>
          <w:color w:val="000000"/>
        </w:rPr>
        <w:t>    </w:t>
      </w:r>
      <w:r>
        <w:rPr>
          <w:rFonts w:ascii="Times New Roman;serif" w:hAnsi="Times New Roman;serif"/>
          <w:b w:val="false"/>
          <w:strike/>
          <w:color w:val="FF0000"/>
          <w:sz w:val="24"/>
        </w:rPr>
        <w:t>67</w:t>
      </w:r>
      <w:r>
        <w:rPr>
          <w:rFonts w:ascii="Times New Roman;serif" w:hAnsi="Times New Roman;serif"/>
          <w:b w:val="false"/>
          <w:color w:val="0000FF"/>
          <w:sz w:val="24"/>
          <w:u w:val="single"/>
        </w:rPr>
        <w:t>70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3.03 Sharing of Payments by Purchasers    </w:t>
      </w:r>
      <w:r>
        <w:rPr>
          <w:rFonts w:ascii="Times New Roman;serif" w:hAnsi="Times New Roman;serif"/>
          <w:b w:val="false"/>
          <w:strike/>
          <w:color w:val="FF0000"/>
          <w:sz w:val="24"/>
        </w:rPr>
        <w:t>69</w:t>
      </w:r>
      <w:r>
        <w:rPr>
          <w:rFonts w:ascii="Times New Roman;serif" w:hAnsi="Times New Roman;serif"/>
          <w:b w:val="false"/>
          <w:color w:val="0000FF"/>
          <w:sz w:val="24"/>
          <w:u w:val="single"/>
        </w:rPr>
        <w:t>71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3.04 Administrative Agent’s Clawback    </w:t>
      </w:r>
      <w:r>
        <w:rPr>
          <w:rFonts w:ascii="Times New Roman;serif" w:hAnsi="Times New Roman;serif"/>
          <w:b w:val="false"/>
          <w:strike/>
          <w:color w:val="FF0000"/>
          <w:sz w:val="24"/>
        </w:rPr>
        <w:t>69</w:t>
      </w:r>
      <w:r>
        <w:rPr>
          <w:rFonts w:ascii="Times New Roman;serif" w:hAnsi="Times New Roman;serif"/>
          <w:b w:val="false"/>
          <w:color w:val="0000FF"/>
          <w:sz w:val="24"/>
          <w:u w:val="single"/>
        </w:rPr>
        <w:t>72</w:t>
      </w:r>
    </w:p>
    <w:p>
      <w:pPr>
        <w:pStyle w:val="TextBody"/>
        <w:bidi w:val="0"/>
        <w:spacing w:lineRule="auto" w:line="288" w:before="0" w:after="120"/>
        <w:ind w:left="0" w:right="0" w:hanging="1440"/>
        <w:jc w:val="left"/>
        <w:rPr/>
      </w:pPr>
      <w:r>
        <w:rPr>
          <w:rFonts w:ascii="Times New Roman;serif" w:hAnsi="Times New Roman;serif"/>
          <w:b/>
          <w:color w:val="000000"/>
          <w:sz w:val="24"/>
        </w:rPr>
        <w:t>ARTICLE IV INCREASED COSTS; FUNDING LOSSES; TAXES; ILLEGALITY AND SECURITY INTEREST    </w:t>
      </w:r>
      <w:r>
        <w:rPr>
          <w:rFonts w:ascii="Times New Roman;serif" w:hAnsi="Times New Roman;serif"/>
          <w:b/>
          <w:strike/>
          <w:color w:val="FF0000"/>
          <w:sz w:val="24"/>
        </w:rPr>
        <w:t>70</w:t>
      </w:r>
      <w:r>
        <w:rPr>
          <w:rFonts w:ascii="Times New Roman;serif" w:hAnsi="Times New Roman;serif"/>
          <w:b/>
          <w:color w:val="0000FF"/>
          <w:sz w:val="24"/>
          <w:u w:val="single"/>
        </w:rPr>
        <w:t>73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4.01 Increased Costs    </w:t>
      </w:r>
      <w:r>
        <w:rPr>
          <w:rFonts w:ascii="Times New Roman;serif" w:hAnsi="Times New Roman;serif"/>
          <w:b w:val="false"/>
          <w:strike/>
          <w:color w:val="FF0000"/>
          <w:sz w:val="24"/>
        </w:rPr>
        <w:t>70</w:t>
      </w:r>
      <w:r>
        <w:rPr>
          <w:rFonts w:ascii="Times New Roman;serif" w:hAnsi="Times New Roman;serif"/>
          <w:b w:val="false"/>
          <w:color w:val="0000FF"/>
          <w:sz w:val="24"/>
          <w:u w:val="single"/>
        </w:rPr>
        <w:t>73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4.02 Indemnity for Funding Losses    </w:t>
      </w:r>
      <w:r>
        <w:rPr>
          <w:rFonts w:ascii="Times New Roman;serif" w:hAnsi="Times New Roman;serif"/>
          <w:b w:val="false"/>
          <w:strike/>
          <w:color w:val="FF0000"/>
          <w:sz w:val="24"/>
        </w:rPr>
        <w:t>71</w:t>
      </w:r>
      <w:r>
        <w:rPr>
          <w:rFonts w:ascii="Times New Roman;serif" w:hAnsi="Times New Roman;serif"/>
          <w:b w:val="false"/>
          <w:color w:val="0000FF"/>
          <w:sz w:val="24"/>
          <w:u w:val="single"/>
        </w:rPr>
        <w:t>74</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4.03 Taxes    </w:t>
      </w:r>
      <w:r>
        <w:rPr>
          <w:rFonts w:ascii="Times New Roman;serif" w:hAnsi="Times New Roman;serif"/>
          <w:b w:val="false"/>
          <w:strike/>
          <w:color w:val="FF0000"/>
          <w:sz w:val="24"/>
        </w:rPr>
        <w:t>72</w:t>
      </w:r>
      <w:r>
        <w:rPr>
          <w:rFonts w:ascii="Times New Roman;serif" w:hAnsi="Times New Roman;serif"/>
          <w:b w:val="false"/>
          <w:color w:val="0000FF"/>
          <w:sz w:val="24"/>
          <w:u w:val="single"/>
        </w:rPr>
        <w:t>75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4.04 Replacement of a Purchaser    </w:t>
      </w:r>
      <w:r>
        <w:rPr>
          <w:rFonts w:ascii="Times New Roman;serif" w:hAnsi="Times New Roman;serif"/>
          <w:b w:val="false"/>
          <w:strike/>
          <w:color w:val="FF0000"/>
          <w:sz w:val="24"/>
        </w:rPr>
        <w:t>77</w:t>
      </w:r>
      <w:r>
        <w:rPr>
          <w:rFonts w:ascii="Times New Roman;serif" w:hAnsi="Times New Roman;serif"/>
          <w:b w:val="false"/>
          <w:color w:val="0000FF"/>
          <w:sz w:val="24"/>
          <w:u w:val="single"/>
        </w:rPr>
        <w:t>80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4.05 Designation of a Different Lending Office    </w:t>
      </w:r>
      <w:r>
        <w:rPr>
          <w:rFonts w:ascii="Times New Roman;serif" w:hAnsi="Times New Roman;serif"/>
          <w:b w:val="false"/>
          <w:strike/>
          <w:color w:val="FF0000"/>
          <w:sz w:val="24"/>
        </w:rPr>
        <w:t>77</w:t>
      </w:r>
      <w:r>
        <w:rPr>
          <w:rFonts w:ascii="Times New Roman;serif" w:hAnsi="Times New Roman;serif"/>
          <w:b w:val="false"/>
          <w:color w:val="0000FF"/>
          <w:sz w:val="24"/>
          <w:u w:val="single"/>
        </w:rPr>
        <w:t>80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9920"/>
                <wp:effectExtent l="0" t="0" r="0" b="0"/>
                <wp:wrapNone/>
                <wp:docPr id="63"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1440"/>
        <w:jc w:val="left"/>
        <w:rPr/>
      </w:pPr>
      <w:r>
        <w:rPr>
          <w:rFonts w:ascii="Times New Roman;serif" w:hAnsi="Times New Roman;serif"/>
          <w:b/>
          <w:color w:val="000000"/>
          <w:sz w:val="24"/>
        </w:rPr>
        <w:t>ARTICLE V CONDITIONS TO EFFECTIVENESS AND INVESTMENTS    </w:t>
      </w:r>
      <w:r>
        <w:rPr>
          <w:rFonts w:ascii="Times New Roman;serif" w:hAnsi="Times New Roman;serif"/>
          <w:b/>
          <w:strike/>
          <w:color w:val="FF0000"/>
          <w:sz w:val="24"/>
        </w:rPr>
        <w:t>78</w:t>
      </w:r>
      <w:r>
        <w:rPr>
          <w:rFonts w:ascii="Times New Roman;serif" w:hAnsi="Times New Roman;serif"/>
          <w:b/>
          <w:color w:val="0000FF"/>
          <w:sz w:val="24"/>
          <w:u w:val="single"/>
        </w:rPr>
        <w:t>81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5.01 Conditions Precedent to Effectiveness and the Initial Investment    </w:t>
      </w:r>
      <w:r>
        <w:rPr>
          <w:rFonts w:ascii="Times New Roman;serif" w:hAnsi="Times New Roman;serif"/>
          <w:b w:val="false"/>
          <w:strike/>
          <w:color w:val="FF0000"/>
          <w:sz w:val="24"/>
        </w:rPr>
        <w:t>78</w:t>
      </w:r>
      <w:r>
        <w:rPr>
          <w:rFonts w:ascii="Times New Roman;serif" w:hAnsi="Times New Roman;serif"/>
          <w:b w:val="false"/>
          <w:color w:val="0000FF"/>
          <w:sz w:val="24"/>
          <w:u w:val="single"/>
        </w:rPr>
        <w:t>81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5.02 Conditions Precedent to All Investments    </w:t>
      </w:r>
      <w:r>
        <w:rPr>
          <w:rFonts w:ascii="Times New Roman;serif" w:hAnsi="Times New Roman;serif"/>
          <w:b w:val="false"/>
          <w:strike/>
          <w:color w:val="FF0000"/>
          <w:sz w:val="24"/>
        </w:rPr>
        <w:t>78</w:t>
      </w:r>
      <w:r>
        <w:rPr>
          <w:rFonts w:ascii="Times New Roman;serif" w:hAnsi="Times New Roman;serif"/>
          <w:b w:val="false"/>
          <w:color w:val="0000FF"/>
          <w:sz w:val="24"/>
          <w:u w:val="single"/>
        </w:rPr>
        <w:t>81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5.03 Conditions Precedent to All Releases    </w:t>
      </w:r>
      <w:r>
        <w:rPr>
          <w:rFonts w:ascii="Times New Roman;serif" w:hAnsi="Times New Roman;serif"/>
          <w:b w:val="false"/>
          <w:strike/>
          <w:color w:val="FF0000"/>
          <w:sz w:val="24"/>
        </w:rPr>
        <w:t>79</w:t>
      </w:r>
      <w:r>
        <w:rPr>
          <w:rFonts w:ascii="Times New Roman;serif" w:hAnsi="Times New Roman;serif"/>
          <w:b w:val="false"/>
          <w:color w:val="0000FF"/>
          <w:sz w:val="24"/>
          <w:u w:val="single"/>
        </w:rPr>
        <w:t>82</w:t>
      </w:r>
    </w:p>
    <w:p>
      <w:pPr>
        <w:pStyle w:val="TextBody"/>
        <w:bidi w:val="0"/>
        <w:spacing w:lineRule="auto" w:line="288" w:before="0" w:after="120"/>
        <w:ind w:left="0" w:right="0" w:hanging="1440"/>
        <w:jc w:val="left"/>
        <w:rPr/>
      </w:pPr>
      <w:r>
        <w:rPr>
          <w:rFonts w:ascii="Times New Roman;serif" w:hAnsi="Times New Roman;serif"/>
          <w:b/>
          <w:color w:val="000000"/>
          <w:sz w:val="24"/>
        </w:rPr>
        <w:t>ARTICLE VI REPRESENTATIONS AND WARRANTIES    </w:t>
      </w:r>
      <w:r>
        <w:rPr>
          <w:rFonts w:ascii="Times New Roman;serif" w:hAnsi="Times New Roman;serif"/>
          <w:b/>
          <w:strike/>
          <w:color w:val="FF0000"/>
          <w:sz w:val="24"/>
        </w:rPr>
        <w:t>79</w:t>
      </w:r>
      <w:r>
        <w:rPr>
          <w:rFonts w:ascii="Times New Roman;serif" w:hAnsi="Times New Roman;serif"/>
          <w:b/>
          <w:color w:val="0000FF"/>
          <w:sz w:val="24"/>
          <w:u w:val="single"/>
        </w:rPr>
        <w:t>82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6.01 Representations and Warranties of the SPV Entities    </w:t>
      </w:r>
      <w:r>
        <w:rPr>
          <w:rFonts w:ascii="Times New Roman;serif" w:hAnsi="Times New Roman;serif"/>
          <w:b w:val="false"/>
          <w:strike/>
          <w:color w:val="FF0000"/>
          <w:sz w:val="24"/>
        </w:rPr>
        <w:t>79</w:t>
      </w:r>
      <w:r>
        <w:rPr>
          <w:rFonts w:ascii="Times New Roman;serif" w:hAnsi="Times New Roman;serif"/>
          <w:b w:val="false"/>
          <w:color w:val="0000FF"/>
          <w:sz w:val="24"/>
          <w:u w:val="single"/>
        </w:rPr>
        <w:t>82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6.02 Representations and Warranties of the Servicers    </w:t>
      </w:r>
      <w:r>
        <w:rPr>
          <w:rFonts w:ascii="Times New Roman;serif" w:hAnsi="Times New Roman;serif"/>
          <w:b w:val="false"/>
          <w:strike/>
          <w:color w:val="FF0000"/>
          <w:sz w:val="24"/>
        </w:rPr>
        <w:t>87</w:t>
      </w:r>
      <w:r>
        <w:rPr>
          <w:rFonts w:ascii="Times New Roman;serif" w:hAnsi="Times New Roman;serif"/>
          <w:b w:val="false"/>
          <w:color w:val="0000FF"/>
          <w:sz w:val="24"/>
          <w:u w:val="single"/>
        </w:rPr>
        <w:t>91</w:t>
      </w:r>
    </w:p>
    <w:p>
      <w:pPr>
        <w:pStyle w:val="TextBody"/>
        <w:bidi w:val="0"/>
        <w:spacing w:lineRule="auto" w:line="288" w:before="0" w:after="120"/>
        <w:ind w:left="0" w:right="0" w:hanging="1440"/>
        <w:jc w:val="left"/>
        <w:rPr/>
      </w:pPr>
      <w:r>
        <w:rPr>
          <w:rFonts w:ascii="Times New Roman;serif" w:hAnsi="Times New Roman;serif"/>
          <w:b/>
          <w:color w:val="000000"/>
          <w:sz w:val="24"/>
        </w:rPr>
        <w:t>ARTICLE VII COVENANTS    </w:t>
      </w:r>
      <w:r>
        <w:rPr>
          <w:rFonts w:ascii="Times New Roman;serif" w:hAnsi="Times New Roman;serif"/>
          <w:b/>
          <w:strike/>
          <w:color w:val="FF0000"/>
          <w:sz w:val="24"/>
        </w:rPr>
        <w:t>93</w:t>
      </w:r>
      <w:r>
        <w:rPr>
          <w:rFonts w:ascii="Times New Roman;serif" w:hAnsi="Times New Roman;serif"/>
          <w:b/>
          <w:color w:val="0000FF"/>
          <w:sz w:val="24"/>
          <w:u w:val="single"/>
        </w:rPr>
        <w:t>97</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7.01 Covenants of the SPV Entities    </w:t>
      </w:r>
      <w:r>
        <w:rPr>
          <w:rFonts w:ascii="Times New Roman;serif" w:hAnsi="Times New Roman;serif"/>
          <w:b w:val="false"/>
          <w:strike/>
          <w:color w:val="FF0000"/>
          <w:sz w:val="24"/>
        </w:rPr>
        <w:t>93</w:t>
      </w:r>
      <w:r>
        <w:rPr>
          <w:rFonts w:ascii="Times New Roman;serif" w:hAnsi="Times New Roman;serif"/>
          <w:b w:val="false"/>
          <w:color w:val="0000FF"/>
          <w:sz w:val="24"/>
          <w:u w:val="single"/>
        </w:rPr>
        <w:t>97</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7.02 Covenants of the Servicers    </w:t>
      </w:r>
      <w:r>
        <w:rPr>
          <w:rFonts w:ascii="Times New Roman;serif" w:hAnsi="Times New Roman;serif"/>
          <w:b w:val="false"/>
          <w:strike/>
          <w:color w:val="FF0000"/>
          <w:sz w:val="24"/>
        </w:rPr>
        <w:t>103</w:t>
      </w:r>
      <w:r>
        <w:rPr>
          <w:rFonts w:ascii="Times New Roman;serif" w:hAnsi="Times New Roman;serif"/>
          <w:b w:val="false"/>
          <w:color w:val="0000FF"/>
          <w:sz w:val="24"/>
          <w:u w:val="single"/>
        </w:rPr>
        <w:t>108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7.03 Separate Existence of the SPV Entities    </w:t>
      </w:r>
      <w:r>
        <w:rPr>
          <w:rFonts w:ascii="Times New Roman;serif" w:hAnsi="Times New Roman;serif"/>
          <w:b w:val="false"/>
          <w:strike/>
          <w:color w:val="FF0000"/>
          <w:sz w:val="24"/>
        </w:rPr>
        <w:t>109</w:t>
      </w:r>
      <w:r>
        <w:rPr>
          <w:rFonts w:ascii="Times New Roman;serif" w:hAnsi="Times New Roman;serif"/>
          <w:b w:val="false"/>
          <w:color w:val="0000FF"/>
          <w:sz w:val="24"/>
          <w:u w:val="single"/>
        </w:rPr>
        <w:t>115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7.04 Post-Closing Covenant Regarding Foreign Accounts    </w:t>
      </w:r>
      <w:r>
        <w:rPr>
          <w:rFonts w:ascii="Times New Roman;serif" w:hAnsi="Times New Roman;serif"/>
          <w:b w:val="false"/>
          <w:strike/>
          <w:color w:val="FF0000"/>
          <w:sz w:val="24"/>
        </w:rPr>
        <w:t>113</w:t>
      </w:r>
      <w:r>
        <w:rPr>
          <w:rFonts w:ascii="Times New Roman;serif" w:hAnsi="Times New Roman;serif"/>
          <w:b w:val="false"/>
          <w:color w:val="0000FF"/>
          <w:sz w:val="24"/>
          <w:u w:val="single"/>
        </w:rPr>
        <w:t>118</w:t>
      </w:r>
    </w:p>
    <w:p>
      <w:pPr>
        <w:pStyle w:val="TextBody"/>
        <w:bidi w:val="0"/>
        <w:spacing w:lineRule="auto" w:line="288" w:before="0" w:after="120"/>
        <w:ind w:left="0" w:right="0" w:hanging="1440"/>
        <w:jc w:val="left"/>
        <w:rPr/>
      </w:pPr>
      <w:r>
        <w:rPr>
          <w:rFonts w:ascii="Times New Roman;serif" w:hAnsi="Times New Roman;serif"/>
          <w:b/>
          <w:color w:val="000000"/>
          <w:sz w:val="24"/>
        </w:rPr>
        <w:t>ARTICLE VIII ADMINISTRATION AND COLLECTION OF RECEIVABLES    </w:t>
      </w:r>
      <w:r>
        <w:rPr>
          <w:rFonts w:ascii="Times New Roman;serif" w:hAnsi="Times New Roman;serif"/>
          <w:b/>
          <w:strike/>
          <w:color w:val="FF0000"/>
          <w:sz w:val="24"/>
        </w:rPr>
        <w:t>114</w:t>
      </w:r>
      <w:r>
        <w:rPr>
          <w:rFonts w:ascii="Times New Roman;serif" w:hAnsi="Times New Roman;serif"/>
          <w:b/>
          <w:color w:val="0000FF"/>
          <w:sz w:val="24"/>
          <w:u w:val="single"/>
        </w:rPr>
        <w:t>119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8.01 Appointment of the Servicers    </w:t>
      </w:r>
      <w:r>
        <w:rPr>
          <w:rFonts w:ascii="Times New Roman;serif" w:hAnsi="Times New Roman;serif"/>
          <w:b w:val="false"/>
          <w:strike/>
          <w:color w:val="FF0000"/>
          <w:sz w:val="24"/>
        </w:rPr>
        <w:t>114</w:t>
      </w:r>
      <w:r>
        <w:rPr>
          <w:rFonts w:ascii="Times New Roman;serif" w:hAnsi="Times New Roman;serif"/>
          <w:b w:val="false"/>
          <w:color w:val="0000FF"/>
          <w:sz w:val="24"/>
          <w:u w:val="single"/>
        </w:rPr>
        <w:t>119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8.02 Duties of the Servicers    </w:t>
      </w:r>
      <w:r>
        <w:rPr>
          <w:rFonts w:ascii="Times New Roman;serif" w:hAnsi="Times New Roman;serif"/>
          <w:b w:val="false"/>
          <w:strike/>
          <w:color w:val="FF0000"/>
          <w:sz w:val="24"/>
        </w:rPr>
        <w:t>115</w:t>
      </w:r>
      <w:r>
        <w:rPr>
          <w:rFonts w:ascii="Times New Roman;serif" w:hAnsi="Times New Roman;serif"/>
          <w:b w:val="false"/>
          <w:color w:val="0000FF"/>
          <w:sz w:val="24"/>
          <w:u w:val="single"/>
        </w:rPr>
        <w:t>121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8.03 Collection Account Arrangements    </w:t>
      </w:r>
      <w:r>
        <w:rPr>
          <w:rFonts w:ascii="Times New Roman;serif" w:hAnsi="Times New Roman;serif"/>
          <w:b w:val="false"/>
          <w:strike/>
          <w:color w:val="FF0000"/>
          <w:sz w:val="24"/>
        </w:rPr>
        <w:t>116</w:t>
      </w:r>
      <w:r>
        <w:rPr>
          <w:rFonts w:ascii="Times New Roman;serif" w:hAnsi="Times New Roman;serif"/>
          <w:b w:val="false"/>
          <w:color w:val="0000FF"/>
          <w:sz w:val="24"/>
          <w:u w:val="single"/>
        </w:rPr>
        <w:t>122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8.04 Enforcement Rights    </w:t>
      </w:r>
      <w:r>
        <w:rPr>
          <w:rFonts w:ascii="Times New Roman;serif" w:hAnsi="Times New Roman;serif"/>
          <w:b w:val="false"/>
          <w:strike/>
          <w:color w:val="FF0000"/>
          <w:sz w:val="24"/>
        </w:rPr>
        <w:t>117</w:t>
      </w:r>
      <w:r>
        <w:rPr>
          <w:rFonts w:ascii="Times New Roman;serif" w:hAnsi="Times New Roman;serif"/>
          <w:b w:val="false"/>
          <w:color w:val="0000FF"/>
          <w:sz w:val="24"/>
          <w:u w:val="single"/>
        </w:rPr>
        <w:t>123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8.05 Responsibilities of the SPV Entities    </w:t>
      </w:r>
      <w:r>
        <w:rPr>
          <w:rFonts w:ascii="Times New Roman;serif" w:hAnsi="Times New Roman;serif"/>
          <w:b w:val="false"/>
          <w:strike/>
          <w:color w:val="FF0000"/>
          <w:sz w:val="24"/>
        </w:rPr>
        <w:t>119</w:t>
      </w:r>
      <w:r>
        <w:rPr>
          <w:rFonts w:ascii="Times New Roman;serif" w:hAnsi="Times New Roman;serif"/>
          <w:b w:val="false"/>
          <w:color w:val="0000FF"/>
          <w:sz w:val="24"/>
          <w:u w:val="single"/>
        </w:rPr>
        <w:t>125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8.06 Servicing Fee    </w:t>
      </w:r>
      <w:r>
        <w:rPr>
          <w:rFonts w:ascii="Times New Roman;serif" w:hAnsi="Times New Roman;serif"/>
          <w:b w:val="false"/>
          <w:strike/>
          <w:color w:val="FF0000"/>
          <w:sz w:val="24"/>
        </w:rPr>
        <w:t>119</w:t>
      </w:r>
      <w:r>
        <w:rPr>
          <w:rFonts w:ascii="Times New Roman;serif" w:hAnsi="Times New Roman;serif"/>
          <w:b w:val="false"/>
          <w:color w:val="0000FF"/>
          <w:sz w:val="24"/>
          <w:u w:val="single"/>
        </w:rPr>
        <w:t>125</w:t>
      </w:r>
    </w:p>
    <w:p>
      <w:pPr>
        <w:pStyle w:val="TextBody"/>
        <w:bidi w:val="0"/>
        <w:spacing w:lineRule="auto" w:line="288" w:before="0" w:after="120"/>
        <w:ind w:left="0" w:right="0" w:hanging="1440"/>
        <w:jc w:val="left"/>
        <w:rPr/>
      </w:pPr>
      <w:r>
        <w:rPr>
          <w:rFonts w:ascii="Times New Roman;serif" w:hAnsi="Times New Roman;serif"/>
          <w:b/>
          <w:color w:val="000000"/>
          <w:sz w:val="24"/>
        </w:rPr>
        <w:t>ARTICLE IX EVENTS OF DEFAULT    </w:t>
      </w:r>
      <w:r>
        <w:rPr>
          <w:rFonts w:ascii="Times New Roman;serif" w:hAnsi="Times New Roman;serif"/>
          <w:b/>
          <w:strike/>
          <w:color w:val="FF0000"/>
          <w:sz w:val="24"/>
        </w:rPr>
        <w:t>120</w:t>
      </w:r>
      <w:r>
        <w:rPr>
          <w:rFonts w:ascii="Times New Roman;serif" w:hAnsi="Times New Roman;serif"/>
          <w:b/>
          <w:color w:val="0000FF"/>
          <w:sz w:val="24"/>
          <w:u w:val="single"/>
        </w:rPr>
        <w:t>126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9.01 Events of Default    </w:t>
      </w:r>
      <w:r>
        <w:rPr>
          <w:rFonts w:ascii="Times New Roman;serif" w:hAnsi="Times New Roman;serif"/>
          <w:b w:val="false"/>
          <w:strike/>
          <w:color w:val="FF0000"/>
          <w:sz w:val="24"/>
        </w:rPr>
        <w:t>120</w:t>
      </w:r>
      <w:r>
        <w:rPr>
          <w:rFonts w:ascii="Times New Roman;serif" w:hAnsi="Times New Roman;serif"/>
          <w:b w:val="false"/>
          <w:color w:val="0000FF"/>
          <w:sz w:val="24"/>
          <w:u w:val="single"/>
        </w:rPr>
        <w:t>126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9.02 Consequences of an Event of Default    </w:t>
      </w:r>
      <w:r>
        <w:rPr>
          <w:rFonts w:ascii="Times New Roman;serif" w:hAnsi="Times New Roman;serif"/>
          <w:b w:val="false"/>
          <w:strike/>
          <w:color w:val="FF0000"/>
          <w:sz w:val="24"/>
        </w:rPr>
        <w:t>123</w:t>
      </w:r>
      <w:r>
        <w:rPr>
          <w:rFonts w:ascii="Times New Roman;serif" w:hAnsi="Times New Roman;serif"/>
          <w:b w:val="false"/>
          <w:color w:val="0000FF"/>
          <w:sz w:val="24"/>
          <w:u w:val="single"/>
        </w:rPr>
        <w:t>129</w:t>
      </w:r>
    </w:p>
    <w:p>
      <w:pPr>
        <w:pStyle w:val="TextBody"/>
        <w:bidi w:val="0"/>
        <w:spacing w:lineRule="auto" w:line="288" w:before="0" w:after="120"/>
        <w:ind w:left="0" w:right="0" w:hanging="1440"/>
        <w:jc w:val="left"/>
        <w:rPr/>
      </w:pPr>
      <w:r>
        <w:rPr>
          <w:rFonts w:ascii="Times New Roman;serif" w:hAnsi="Times New Roman;serif"/>
          <w:b/>
          <w:color w:val="000000"/>
          <w:sz w:val="24"/>
        </w:rPr>
        <w:t>ARTICLE X THE ADMINISTRATIVE AGENT    </w:t>
      </w:r>
      <w:r>
        <w:rPr>
          <w:rFonts w:ascii="Times New Roman;serif" w:hAnsi="Times New Roman;serif"/>
          <w:b/>
          <w:strike/>
          <w:color w:val="FF0000"/>
          <w:sz w:val="24"/>
        </w:rPr>
        <w:t>125</w:t>
      </w:r>
      <w:r>
        <w:rPr>
          <w:rFonts w:ascii="Times New Roman;serif" w:hAnsi="Times New Roman;serif"/>
          <w:b/>
          <w:color w:val="0000FF"/>
          <w:sz w:val="24"/>
          <w:u w:val="single"/>
        </w:rPr>
        <w:t>131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10.01 Appointment and Authority    </w:t>
      </w:r>
      <w:r>
        <w:rPr>
          <w:rFonts w:ascii="Times New Roman;serif" w:hAnsi="Times New Roman;serif"/>
          <w:b w:val="false"/>
          <w:strike/>
          <w:color w:val="FF0000"/>
          <w:sz w:val="24"/>
        </w:rPr>
        <w:t>125</w:t>
      </w:r>
      <w:r>
        <w:rPr>
          <w:rFonts w:ascii="Times New Roman;serif" w:hAnsi="Times New Roman;serif"/>
          <w:b w:val="false"/>
          <w:color w:val="0000FF"/>
          <w:sz w:val="24"/>
          <w:u w:val="single"/>
        </w:rPr>
        <w:t>131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10.02 Rights as a Purchaser    </w:t>
      </w:r>
      <w:r>
        <w:rPr>
          <w:rFonts w:ascii="Times New Roman;serif" w:hAnsi="Times New Roman;serif"/>
          <w:b w:val="false"/>
          <w:strike/>
          <w:color w:val="FF0000"/>
          <w:sz w:val="24"/>
        </w:rPr>
        <w:t>126</w:t>
      </w:r>
      <w:r>
        <w:rPr>
          <w:rFonts w:ascii="Times New Roman;serif" w:hAnsi="Times New Roman;serif"/>
          <w:b w:val="false"/>
          <w:color w:val="0000FF"/>
          <w:sz w:val="24"/>
          <w:u w:val="single"/>
        </w:rPr>
        <w:t>131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10.03 Exculpatory Provisions    </w:t>
      </w:r>
      <w:r>
        <w:rPr>
          <w:rFonts w:ascii="Times New Roman;serif" w:hAnsi="Times New Roman;serif"/>
          <w:b w:val="false"/>
          <w:strike/>
          <w:color w:val="FF0000"/>
          <w:sz w:val="24"/>
        </w:rPr>
        <w:t>126</w:t>
      </w:r>
      <w:r>
        <w:rPr>
          <w:rFonts w:ascii="Times New Roman;serif" w:hAnsi="Times New Roman;serif"/>
          <w:b w:val="false"/>
          <w:color w:val="0000FF"/>
          <w:sz w:val="24"/>
          <w:u w:val="single"/>
        </w:rPr>
        <w:t>132</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10.04 Reliance by Administrative Agent    </w:t>
      </w:r>
      <w:r>
        <w:rPr>
          <w:rFonts w:ascii="Times New Roman;serif" w:hAnsi="Times New Roman;serif"/>
          <w:b w:val="false"/>
          <w:strike/>
          <w:color w:val="FF0000"/>
          <w:sz w:val="24"/>
        </w:rPr>
        <w:t>127</w:t>
      </w:r>
      <w:r>
        <w:rPr>
          <w:rFonts w:ascii="Times New Roman;serif" w:hAnsi="Times New Roman;serif"/>
          <w:b w:val="false"/>
          <w:color w:val="0000FF"/>
          <w:sz w:val="24"/>
          <w:u w:val="single"/>
        </w:rPr>
        <w:t>133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10.05 Delegation of Duties    </w:t>
      </w:r>
      <w:r>
        <w:rPr>
          <w:rFonts w:ascii="Times New Roman;serif" w:hAnsi="Times New Roman;serif"/>
          <w:b w:val="false"/>
          <w:strike/>
          <w:color w:val="FF0000"/>
          <w:sz w:val="24"/>
        </w:rPr>
        <w:t>127</w:t>
      </w:r>
      <w:r>
        <w:rPr>
          <w:rFonts w:ascii="Times New Roman;serif" w:hAnsi="Times New Roman;serif"/>
          <w:b w:val="false"/>
          <w:color w:val="0000FF"/>
          <w:sz w:val="24"/>
          <w:u w:val="single"/>
        </w:rPr>
        <w:t>133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9920"/>
                <wp:effectExtent l="0" t="0" r="0" b="0"/>
                <wp:wrapNone/>
                <wp:docPr id="64"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10.06 Resignation of Administrative Agent    </w:t>
      </w:r>
      <w:r>
        <w:rPr>
          <w:rFonts w:ascii="Times New Roman;serif" w:hAnsi="Times New Roman;serif"/>
          <w:b w:val="false"/>
          <w:strike/>
          <w:color w:val="FF0000"/>
          <w:sz w:val="24"/>
        </w:rPr>
        <w:t>128</w:t>
      </w:r>
      <w:r>
        <w:rPr>
          <w:rFonts w:ascii="Times New Roman;serif" w:hAnsi="Times New Roman;serif"/>
          <w:b w:val="false"/>
          <w:color w:val="0000FF"/>
          <w:sz w:val="24"/>
          <w:u w:val="single"/>
        </w:rPr>
        <w:t>133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10.07 Non-Reliance on Administrative Agent and Other Purchasers    </w:t>
      </w:r>
      <w:r>
        <w:rPr>
          <w:rFonts w:ascii="Times New Roman;serif" w:hAnsi="Times New Roman;serif"/>
          <w:b w:val="false"/>
          <w:strike/>
          <w:color w:val="FF0000"/>
          <w:sz w:val="24"/>
        </w:rPr>
        <w:t>129</w:t>
      </w:r>
      <w:r>
        <w:rPr>
          <w:rFonts w:ascii="Times New Roman;serif" w:hAnsi="Times New Roman;serif"/>
          <w:b w:val="false"/>
          <w:color w:val="0000FF"/>
          <w:sz w:val="24"/>
          <w:u w:val="single"/>
        </w:rPr>
        <w:t>135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10.08 No Other Duties, Etc</w:t>
      </w:r>
      <w:r>
        <w:rPr>
          <w:rFonts w:ascii="Times New Roman;serif" w:hAnsi="Times New Roman;serif"/>
          <w:b w:val="false"/>
          <w:color w:val="0000FF"/>
          <w:sz w:val="24"/>
          <w:u w:val="single"/>
        </w:rPr>
        <w:t>.</w:t>
      </w:r>
      <w:r>
        <w:rPr>
          <w:color w:val="000000"/>
        </w:rPr>
        <w:t>    </w:t>
      </w:r>
      <w:r>
        <w:rPr>
          <w:rFonts w:ascii="Times New Roman;serif" w:hAnsi="Times New Roman;serif"/>
          <w:b w:val="false"/>
          <w:strike/>
          <w:color w:val="FF0000"/>
          <w:sz w:val="24"/>
        </w:rPr>
        <w:t>129</w:t>
      </w:r>
      <w:r>
        <w:rPr>
          <w:rFonts w:ascii="Times New Roman;serif" w:hAnsi="Times New Roman;serif"/>
          <w:b w:val="false"/>
          <w:color w:val="0000FF"/>
          <w:sz w:val="24"/>
          <w:u w:val="single"/>
        </w:rPr>
        <w:t>135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10.09 Administrative Agent May File Proofs of Claim    </w:t>
      </w:r>
      <w:r>
        <w:rPr>
          <w:rFonts w:ascii="Times New Roman;serif" w:hAnsi="Times New Roman;serif"/>
          <w:b w:val="false"/>
          <w:strike/>
          <w:color w:val="FF0000"/>
          <w:sz w:val="24"/>
        </w:rPr>
        <w:t>129</w:t>
      </w:r>
      <w:r>
        <w:rPr>
          <w:rFonts w:ascii="Times New Roman;serif" w:hAnsi="Times New Roman;serif"/>
          <w:b w:val="false"/>
          <w:color w:val="0000FF"/>
          <w:sz w:val="24"/>
          <w:u w:val="single"/>
        </w:rPr>
        <w:t>135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10.10 Collateral and Guaranty Matters    </w:t>
      </w:r>
      <w:r>
        <w:rPr>
          <w:rFonts w:ascii="Times New Roman;serif" w:hAnsi="Times New Roman;serif"/>
          <w:b w:val="false"/>
          <w:strike/>
          <w:color w:val="FF0000"/>
          <w:sz w:val="24"/>
        </w:rPr>
        <w:t>130</w:t>
      </w:r>
      <w:r>
        <w:rPr>
          <w:rFonts w:ascii="Times New Roman;serif" w:hAnsi="Times New Roman;serif"/>
          <w:b w:val="false"/>
          <w:color w:val="0000FF"/>
          <w:sz w:val="24"/>
          <w:u w:val="single"/>
        </w:rPr>
        <w:t>136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10.11 No Reliance on Administrative Agent’s Customer Identification Program    </w:t>
      </w:r>
      <w:r>
        <w:rPr>
          <w:rFonts w:ascii="Times New Roman;serif" w:hAnsi="Times New Roman;serif"/>
          <w:b w:val="false"/>
          <w:strike/>
          <w:color w:val="FF0000"/>
          <w:sz w:val="24"/>
        </w:rPr>
        <w:t>130</w:t>
      </w:r>
      <w:r>
        <w:rPr>
          <w:rFonts w:ascii="Times New Roman;serif" w:hAnsi="Times New Roman;serif"/>
          <w:b w:val="false"/>
          <w:color w:val="0000FF"/>
          <w:sz w:val="24"/>
          <w:u w:val="single"/>
        </w:rPr>
        <w:t>136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10.12 Certain ERISA Matters    </w:t>
      </w:r>
      <w:r>
        <w:rPr>
          <w:rFonts w:ascii="Times New Roman;serif" w:hAnsi="Times New Roman;serif"/>
          <w:b w:val="false"/>
          <w:strike/>
          <w:color w:val="FF0000"/>
          <w:sz w:val="24"/>
        </w:rPr>
        <w:t>131</w:t>
      </w:r>
      <w:r>
        <w:rPr>
          <w:rFonts w:ascii="Times New Roman;serif" w:hAnsi="Times New Roman;serif"/>
          <w:b w:val="false"/>
          <w:color w:val="0000FF"/>
          <w:sz w:val="24"/>
          <w:u w:val="single"/>
        </w:rPr>
        <w:t>136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10.13 Erroneous Payments    </w:t>
      </w:r>
      <w:r>
        <w:rPr>
          <w:rFonts w:ascii="Times New Roman;serif" w:hAnsi="Times New Roman;serif"/>
          <w:b w:val="false"/>
          <w:strike/>
          <w:color w:val="FF0000"/>
          <w:sz w:val="24"/>
        </w:rPr>
        <w:t>132</w:t>
      </w:r>
      <w:r>
        <w:rPr>
          <w:rFonts w:ascii="Times New Roman;serif" w:hAnsi="Times New Roman;serif"/>
          <w:b w:val="false"/>
          <w:color w:val="0000FF"/>
          <w:sz w:val="24"/>
          <w:u w:val="single"/>
        </w:rPr>
        <w:t>138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10.14 UK Security Agreement    </w:t>
      </w:r>
      <w:r>
        <w:rPr>
          <w:rFonts w:ascii="Times New Roman;serif" w:hAnsi="Times New Roman;serif"/>
          <w:b w:val="false"/>
          <w:strike/>
          <w:color w:val="FF0000"/>
          <w:sz w:val="24"/>
        </w:rPr>
        <w:t>134</w:t>
      </w:r>
      <w:r>
        <w:rPr>
          <w:rFonts w:ascii="Times New Roman;serif" w:hAnsi="Times New Roman;serif"/>
          <w:b w:val="false"/>
          <w:color w:val="0000FF"/>
          <w:sz w:val="24"/>
          <w:u w:val="single"/>
        </w:rPr>
        <w:t>140</w:t>
      </w:r>
    </w:p>
    <w:p>
      <w:pPr>
        <w:pStyle w:val="TextBody"/>
        <w:bidi w:val="0"/>
        <w:spacing w:lineRule="auto" w:line="288" w:before="0" w:after="120"/>
        <w:ind w:left="0" w:right="0" w:hanging="1440"/>
        <w:jc w:val="left"/>
        <w:rPr/>
      </w:pPr>
      <w:r>
        <w:rPr>
          <w:rFonts w:ascii="Times New Roman;serif" w:hAnsi="Times New Roman;serif"/>
          <w:b/>
          <w:color w:val="000000"/>
          <w:sz w:val="24"/>
        </w:rPr>
        <w:t>ARTICLE XI EXPENSES; INDEMNITY; DAMAGE WAIVER    </w:t>
      </w:r>
      <w:r>
        <w:rPr>
          <w:rFonts w:ascii="Times New Roman;serif" w:hAnsi="Times New Roman;serif"/>
          <w:b/>
          <w:strike/>
          <w:color w:val="FF0000"/>
          <w:sz w:val="24"/>
        </w:rPr>
        <w:t>135</w:t>
      </w:r>
      <w:r>
        <w:rPr>
          <w:rFonts w:ascii="Times New Roman;serif" w:hAnsi="Times New Roman;serif"/>
          <w:b/>
          <w:color w:val="0000FF"/>
          <w:sz w:val="24"/>
          <w:u w:val="single"/>
        </w:rPr>
        <w:t>140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11.01 Costs and Expenses    </w:t>
      </w:r>
      <w:r>
        <w:rPr>
          <w:rFonts w:ascii="Times New Roman;serif" w:hAnsi="Times New Roman;serif"/>
          <w:b w:val="false"/>
          <w:strike/>
          <w:color w:val="FF0000"/>
          <w:sz w:val="24"/>
        </w:rPr>
        <w:t>135</w:t>
      </w:r>
      <w:r>
        <w:rPr>
          <w:rFonts w:ascii="Times New Roman;serif" w:hAnsi="Times New Roman;serif"/>
          <w:b w:val="false"/>
          <w:color w:val="0000FF"/>
          <w:sz w:val="24"/>
          <w:u w:val="single"/>
        </w:rPr>
        <w:t>140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11.02 Indemnification by the SPV Entities    </w:t>
      </w:r>
      <w:r>
        <w:rPr>
          <w:rFonts w:ascii="Times New Roman;serif" w:hAnsi="Times New Roman;serif"/>
          <w:b w:val="false"/>
          <w:strike/>
          <w:color w:val="FF0000"/>
          <w:sz w:val="24"/>
        </w:rPr>
        <w:t>135</w:t>
      </w:r>
      <w:r>
        <w:rPr>
          <w:rFonts w:ascii="Times New Roman;serif" w:hAnsi="Times New Roman;serif"/>
          <w:b w:val="false"/>
          <w:color w:val="0000FF"/>
          <w:sz w:val="24"/>
          <w:u w:val="single"/>
        </w:rPr>
        <w:t>141</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11.03 Indemnification by the Servicers    </w:t>
      </w:r>
      <w:r>
        <w:rPr>
          <w:rFonts w:ascii="Times New Roman;serif" w:hAnsi="Times New Roman;serif"/>
          <w:b w:val="false"/>
          <w:strike/>
          <w:color w:val="FF0000"/>
          <w:sz w:val="24"/>
        </w:rPr>
        <w:t>138</w:t>
      </w:r>
      <w:r>
        <w:rPr>
          <w:rFonts w:ascii="Times New Roman;serif" w:hAnsi="Times New Roman;serif"/>
          <w:b w:val="false"/>
          <w:color w:val="0000FF"/>
          <w:sz w:val="24"/>
          <w:u w:val="single"/>
        </w:rPr>
        <w:t>143</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11.04 Reimbursement by Purchasers    </w:t>
      </w:r>
      <w:r>
        <w:rPr>
          <w:rFonts w:ascii="Times New Roman;serif" w:hAnsi="Times New Roman;serif"/>
          <w:b w:val="false"/>
          <w:strike/>
          <w:color w:val="FF0000"/>
          <w:sz w:val="24"/>
        </w:rPr>
        <w:t>140</w:t>
      </w:r>
      <w:r>
        <w:rPr>
          <w:rFonts w:ascii="Times New Roman;serif" w:hAnsi="Times New Roman;serif"/>
          <w:b w:val="false"/>
          <w:color w:val="0000FF"/>
          <w:sz w:val="24"/>
          <w:u w:val="single"/>
        </w:rPr>
        <w:t>145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11.05 Waiver of Consequential Damages, Etc</w:t>
      </w:r>
      <w:r>
        <w:rPr>
          <w:rFonts w:ascii="Times New Roman;serif" w:hAnsi="Times New Roman;serif"/>
          <w:b w:val="false"/>
          <w:color w:val="0000FF"/>
          <w:sz w:val="24"/>
          <w:u w:val="single"/>
        </w:rPr>
        <w:t>.</w:t>
      </w:r>
      <w:r>
        <w:rPr>
          <w:color w:val="000000"/>
        </w:rPr>
        <w:t>    </w:t>
      </w:r>
      <w:r>
        <w:rPr>
          <w:rFonts w:ascii="Times New Roman;serif" w:hAnsi="Times New Roman;serif"/>
          <w:b w:val="false"/>
          <w:strike/>
          <w:color w:val="FF0000"/>
          <w:sz w:val="24"/>
        </w:rPr>
        <w:t>140</w:t>
      </w:r>
      <w:r>
        <w:rPr>
          <w:rFonts w:ascii="Times New Roman;serif" w:hAnsi="Times New Roman;serif"/>
          <w:b w:val="false"/>
          <w:color w:val="0000FF"/>
          <w:sz w:val="24"/>
          <w:u w:val="single"/>
        </w:rPr>
        <w:t>145</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11.06 Payments    </w:t>
      </w:r>
      <w:r>
        <w:rPr>
          <w:rFonts w:ascii="Times New Roman;serif" w:hAnsi="Times New Roman;serif"/>
          <w:b w:val="false"/>
          <w:strike/>
          <w:color w:val="FF0000"/>
          <w:sz w:val="24"/>
        </w:rPr>
        <w:t>140</w:t>
      </w:r>
      <w:r>
        <w:rPr>
          <w:rFonts w:ascii="Times New Roman;serif" w:hAnsi="Times New Roman;serif"/>
          <w:b w:val="false"/>
          <w:color w:val="0000FF"/>
          <w:sz w:val="24"/>
          <w:u w:val="single"/>
        </w:rPr>
        <w:t>146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11.07 Survival    </w:t>
      </w:r>
      <w:r>
        <w:rPr>
          <w:rFonts w:ascii="Times New Roman;serif" w:hAnsi="Times New Roman;serif"/>
          <w:b w:val="false"/>
          <w:strike/>
          <w:color w:val="FF0000"/>
          <w:sz w:val="24"/>
        </w:rPr>
        <w:t>140</w:t>
      </w:r>
      <w:r>
        <w:rPr>
          <w:rFonts w:ascii="Times New Roman;serif" w:hAnsi="Times New Roman;serif"/>
          <w:b w:val="false"/>
          <w:color w:val="0000FF"/>
          <w:sz w:val="24"/>
          <w:u w:val="single"/>
        </w:rPr>
        <w:t>146</w:t>
      </w:r>
    </w:p>
    <w:p>
      <w:pPr>
        <w:pStyle w:val="TextBody"/>
        <w:bidi w:val="0"/>
        <w:spacing w:lineRule="auto" w:line="288" w:before="0" w:after="120"/>
        <w:ind w:left="0" w:right="0" w:hanging="1440"/>
        <w:jc w:val="left"/>
        <w:rPr/>
      </w:pPr>
      <w:r>
        <w:rPr>
          <w:rFonts w:ascii="Times New Roman;serif" w:hAnsi="Times New Roman;serif"/>
          <w:b/>
          <w:color w:val="000000"/>
          <w:sz w:val="24"/>
        </w:rPr>
        <w:t>ARTICLE XII MISCELLANEOUS    </w:t>
      </w:r>
      <w:r>
        <w:rPr>
          <w:rFonts w:ascii="Times New Roman;serif" w:hAnsi="Times New Roman;serif"/>
          <w:b/>
          <w:strike/>
          <w:color w:val="FF0000"/>
          <w:sz w:val="24"/>
        </w:rPr>
        <w:t>140</w:t>
      </w:r>
      <w:r>
        <w:rPr>
          <w:rFonts w:ascii="Times New Roman;serif" w:hAnsi="Times New Roman;serif"/>
          <w:b/>
          <w:color w:val="0000FF"/>
          <w:sz w:val="24"/>
          <w:u w:val="single"/>
        </w:rPr>
        <w:t>146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12.01 Amendments, Etc</w:t>
      </w:r>
      <w:r>
        <w:rPr>
          <w:rFonts w:ascii="Times New Roman;serif" w:hAnsi="Times New Roman;serif"/>
          <w:b w:val="false"/>
          <w:color w:val="0000FF"/>
          <w:sz w:val="24"/>
          <w:u w:val="single"/>
        </w:rPr>
        <w:t>.</w:t>
      </w:r>
      <w:r>
        <w:rPr>
          <w:color w:val="000000"/>
        </w:rPr>
        <w:t>    </w:t>
      </w:r>
      <w:r>
        <w:rPr>
          <w:rFonts w:ascii="Times New Roman;serif" w:hAnsi="Times New Roman;serif"/>
          <w:b w:val="false"/>
          <w:strike/>
          <w:color w:val="FF0000"/>
          <w:sz w:val="24"/>
        </w:rPr>
        <w:t>140</w:t>
      </w:r>
      <w:r>
        <w:rPr>
          <w:rFonts w:ascii="Times New Roman;serif" w:hAnsi="Times New Roman;serif"/>
          <w:b w:val="false"/>
          <w:color w:val="0000FF"/>
          <w:sz w:val="24"/>
          <w:u w:val="single"/>
        </w:rPr>
        <w:t>146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12.02 No Implied Waivers; Cumulative Remedies    </w:t>
      </w:r>
      <w:r>
        <w:rPr>
          <w:rFonts w:ascii="Times New Roman;serif" w:hAnsi="Times New Roman;serif"/>
          <w:b w:val="false"/>
          <w:strike/>
          <w:color w:val="FF0000"/>
          <w:sz w:val="24"/>
        </w:rPr>
        <w:t>142</w:t>
      </w:r>
      <w:r>
        <w:rPr>
          <w:rFonts w:ascii="Times New Roman;serif" w:hAnsi="Times New Roman;serif"/>
          <w:b w:val="false"/>
          <w:color w:val="0000FF"/>
          <w:sz w:val="24"/>
          <w:u w:val="single"/>
        </w:rPr>
        <w:t>147</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12.03 Notices; Effectiveness; Electronic Communication    </w:t>
      </w:r>
      <w:r>
        <w:rPr>
          <w:rFonts w:ascii="Times New Roman;serif" w:hAnsi="Times New Roman;serif"/>
          <w:b w:val="false"/>
          <w:strike/>
          <w:color w:val="FF0000"/>
          <w:sz w:val="24"/>
        </w:rPr>
        <w:t>142</w:t>
      </w:r>
      <w:r>
        <w:rPr>
          <w:rFonts w:ascii="Times New Roman;serif" w:hAnsi="Times New Roman;serif"/>
          <w:b w:val="false"/>
          <w:color w:val="0000FF"/>
          <w:sz w:val="24"/>
          <w:u w:val="single"/>
        </w:rPr>
        <w:t>148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12.04 Severability    </w:t>
      </w:r>
      <w:r>
        <w:rPr>
          <w:rFonts w:ascii="Times New Roman;serif" w:hAnsi="Times New Roman;serif"/>
          <w:b w:val="false"/>
          <w:strike/>
          <w:color w:val="FF0000"/>
          <w:sz w:val="24"/>
        </w:rPr>
        <w:t>143</w:t>
      </w:r>
      <w:r>
        <w:rPr>
          <w:rFonts w:ascii="Times New Roman;serif" w:hAnsi="Times New Roman;serif"/>
          <w:b w:val="false"/>
          <w:color w:val="0000FF"/>
          <w:sz w:val="24"/>
          <w:u w:val="single"/>
        </w:rPr>
        <w:t>149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12.05 Duration; Survival    </w:t>
      </w:r>
      <w:r>
        <w:rPr>
          <w:rFonts w:ascii="Times New Roman;serif" w:hAnsi="Times New Roman;serif"/>
          <w:b w:val="false"/>
          <w:strike/>
          <w:color w:val="FF0000"/>
          <w:sz w:val="24"/>
        </w:rPr>
        <w:t>144</w:t>
      </w:r>
      <w:r>
        <w:rPr>
          <w:rFonts w:ascii="Times New Roman;serif" w:hAnsi="Times New Roman;serif"/>
          <w:b w:val="false"/>
          <w:color w:val="0000FF"/>
          <w:sz w:val="24"/>
          <w:u w:val="single"/>
        </w:rPr>
        <w:t>149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12.06 Successors and Assigns    </w:t>
      </w:r>
      <w:r>
        <w:rPr>
          <w:rFonts w:ascii="Times New Roman;serif" w:hAnsi="Times New Roman;serif"/>
          <w:b w:val="false"/>
          <w:strike/>
          <w:color w:val="FF0000"/>
          <w:sz w:val="24"/>
        </w:rPr>
        <w:t>144</w:t>
      </w:r>
      <w:r>
        <w:rPr>
          <w:rFonts w:ascii="Times New Roman;serif" w:hAnsi="Times New Roman;serif"/>
          <w:b w:val="false"/>
          <w:color w:val="0000FF"/>
          <w:sz w:val="24"/>
          <w:u w:val="single"/>
        </w:rPr>
        <w:t>150</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12.07 No Proceedings    </w:t>
      </w:r>
      <w:r>
        <w:rPr>
          <w:rFonts w:ascii="Times New Roman;serif" w:hAnsi="Times New Roman;serif"/>
          <w:b w:val="false"/>
          <w:strike/>
          <w:color w:val="FF0000"/>
          <w:sz w:val="24"/>
        </w:rPr>
        <w:t>148</w:t>
      </w:r>
      <w:r>
        <w:rPr>
          <w:rFonts w:ascii="Times New Roman;serif" w:hAnsi="Times New Roman;serif"/>
          <w:b w:val="false"/>
          <w:color w:val="0000FF"/>
          <w:sz w:val="24"/>
          <w:u w:val="single"/>
        </w:rPr>
        <w:t>154</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12.08 Confidentiality    </w:t>
      </w:r>
      <w:r>
        <w:rPr>
          <w:rFonts w:ascii="Times New Roman;serif" w:hAnsi="Times New Roman;serif"/>
          <w:b w:val="false"/>
          <w:strike/>
          <w:color w:val="FF0000"/>
          <w:sz w:val="24"/>
        </w:rPr>
        <w:t>148</w:t>
      </w:r>
      <w:r>
        <w:rPr>
          <w:rFonts w:ascii="Times New Roman;serif" w:hAnsi="Times New Roman;serif"/>
          <w:b w:val="false"/>
          <w:color w:val="0000FF"/>
          <w:sz w:val="24"/>
          <w:u w:val="single"/>
        </w:rPr>
        <w:t>154</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12.09 Counterparts; Integration; Effectiveness; Electronic Execution    </w:t>
      </w:r>
      <w:r>
        <w:rPr>
          <w:rFonts w:ascii="Times New Roman;serif" w:hAnsi="Times New Roman;serif"/>
          <w:b w:val="false"/>
          <w:strike/>
          <w:color w:val="FF0000"/>
          <w:sz w:val="24"/>
        </w:rPr>
        <w:t>150</w:t>
      </w:r>
      <w:r>
        <w:rPr>
          <w:rFonts w:ascii="Times New Roman;serif" w:hAnsi="Times New Roman;serif"/>
          <w:b w:val="false"/>
          <w:color w:val="0000FF"/>
          <w:sz w:val="24"/>
          <w:u w:val="single"/>
        </w:rPr>
        <w:t>156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9920"/>
                <wp:effectExtent l="0" t="0" r="0" b="0"/>
                <wp:wrapNone/>
                <wp:docPr id="65"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162.15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12.10 CHOICE OF LAW; SUBMISSION TO JURISDICTION; WAIVER OF VENUE; SERVICE OF PROCESS; WAIVER OF JURY TRIAL    </w:t>
      </w:r>
      <w:r>
        <w:rPr>
          <w:rFonts w:ascii="Times New Roman;serif" w:hAnsi="Times New Roman;serif"/>
          <w:b w:val="false"/>
          <w:strike/>
          <w:color w:val="FF0000"/>
          <w:sz w:val="24"/>
        </w:rPr>
        <w:t>150</w:t>
      </w:r>
      <w:r>
        <w:rPr>
          <w:rFonts w:ascii="Times New Roman;serif" w:hAnsi="Times New Roman;serif"/>
          <w:b w:val="false"/>
          <w:color w:val="0000FF"/>
          <w:sz w:val="24"/>
          <w:u w:val="single"/>
        </w:rPr>
        <w:t>156</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12.11 Intent of the Parties    </w:t>
      </w:r>
      <w:r>
        <w:rPr>
          <w:rFonts w:ascii="Times New Roman;serif" w:hAnsi="Times New Roman;serif"/>
          <w:b w:val="false"/>
          <w:strike/>
          <w:color w:val="FF0000"/>
          <w:sz w:val="24"/>
        </w:rPr>
        <w:t>152</w:t>
      </w:r>
      <w:r>
        <w:rPr>
          <w:rFonts w:ascii="Times New Roman;serif" w:hAnsi="Times New Roman;serif"/>
          <w:b w:val="false"/>
          <w:color w:val="0000FF"/>
          <w:sz w:val="24"/>
          <w:u w:val="single"/>
        </w:rPr>
        <w:t>158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12.12 Mutual Negotiations    </w:t>
      </w:r>
      <w:r>
        <w:rPr>
          <w:rFonts w:ascii="Times New Roman;serif" w:hAnsi="Times New Roman;serif"/>
          <w:b w:val="false"/>
          <w:strike/>
          <w:color w:val="FF0000"/>
          <w:sz w:val="24"/>
        </w:rPr>
        <w:t>152</w:t>
      </w:r>
      <w:r>
        <w:rPr>
          <w:rFonts w:ascii="Times New Roman;serif" w:hAnsi="Times New Roman;serif"/>
          <w:b w:val="false"/>
          <w:color w:val="0000FF"/>
          <w:sz w:val="24"/>
          <w:u w:val="single"/>
        </w:rPr>
        <w:t>158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12.13 Acknowledgement and Consent to Bail-In of Affected Financial Institutions    </w:t>
      </w:r>
      <w:r>
        <w:rPr>
          <w:rFonts w:ascii="Times New Roman;serif" w:hAnsi="Times New Roman;serif"/>
          <w:b w:val="false"/>
          <w:strike/>
          <w:color w:val="FF0000"/>
          <w:sz w:val="24"/>
        </w:rPr>
        <w:t>153</w:t>
      </w:r>
      <w:r>
        <w:rPr>
          <w:rFonts w:ascii="Times New Roman;serif" w:hAnsi="Times New Roman;serif"/>
          <w:b w:val="false"/>
          <w:color w:val="0000FF"/>
          <w:sz w:val="24"/>
          <w:u w:val="single"/>
        </w:rPr>
        <w:t>158</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12.14 USA PATRIOT Act Notice    </w:t>
      </w:r>
      <w:r>
        <w:rPr>
          <w:rFonts w:ascii="Times New Roman;serif" w:hAnsi="Times New Roman;serif"/>
          <w:b w:val="false"/>
          <w:strike/>
          <w:color w:val="FF0000"/>
          <w:sz w:val="24"/>
        </w:rPr>
        <w:t>153</w:t>
      </w:r>
      <w:r>
        <w:rPr>
          <w:rFonts w:ascii="Times New Roman;serif" w:hAnsi="Times New Roman;serif"/>
          <w:b w:val="false"/>
          <w:color w:val="0000FF"/>
          <w:sz w:val="24"/>
          <w:u w:val="single"/>
        </w:rPr>
        <w:t>159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12.15 Acknowledgement Regarding Any Supported QFCs    </w:t>
      </w:r>
      <w:r>
        <w:rPr>
          <w:rFonts w:ascii="Times New Roman;serif" w:hAnsi="Times New Roman;serif"/>
          <w:b w:val="false"/>
          <w:strike/>
          <w:color w:val="FF0000"/>
          <w:sz w:val="24"/>
        </w:rPr>
        <w:t>153</w:t>
      </w:r>
      <w:r>
        <w:rPr>
          <w:rFonts w:ascii="Times New Roman;serif" w:hAnsi="Times New Roman;serif"/>
          <w:b w:val="false"/>
          <w:color w:val="0000FF"/>
          <w:sz w:val="24"/>
          <w:u w:val="single"/>
        </w:rPr>
        <w:t>159</w:t>
      </w:r>
    </w:p>
    <w:p>
      <w:pPr>
        <w:pStyle w:val="TextBody"/>
        <w:bidi w:val="0"/>
        <w:spacing w:lineRule="auto" w:line="288" w:before="0" w:after="120"/>
        <w:ind w:left="0" w:right="0" w:hanging="1440"/>
        <w:jc w:val="left"/>
        <w:rPr/>
      </w:pPr>
      <w:r>
        <w:rPr>
          <w:rFonts w:ascii="Times New Roman;serif" w:hAnsi="Times New Roman;serif"/>
          <w:b w:val="false"/>
          <w:color w:val="000000"/>
          <w:sz w:val="24"/>
        </w:rPr>
        <w:t>SECTION 12.16 Limited Recourse    </w:t>
      </w:r>
      <w:r>
        <w:rPr>
          <w:rFonts w:ascii="Times New Roman;serif" w:hAnsi="Times New Roman;serif"/>
          <w:b w:val="false"/>
          <w:strike/>
          <w:color w:val="FF0000"/>
          <w:sz w:val="24"/>
        </w:rPr>
        <w:t>154</w:t>
      </w:r>
      <w:r>
        <w:rPr>
          <w:rFonts w:ascii="Times New Roman;serif" w:hAnsi="Times New Roman;serif"/>
          <w:b w:val="false"/>
          <w:color w:val="0000FF"/>
          <w:sz w:val="24"/>
          <w:u w:val="single"/>
        </w:rPr>
        <w:t>160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9920"/>
                <wp:effectExtent l="0" t="0" r="0" b="0"/>
                <wp:wrapNone/>
                <wp:docPr id="66" name="Frame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    Form of Investment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    Form of Reduction Notice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    Form of Assignment and Assumption Agreement</w:t>
        <w:br/>
        <w:t>EXHIBIT D        –    [Reserved]</w:t>
        <w:br/>
        <w:t>EXHIBIT E        –    Forms of Pool Reports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F        –    Form of Compliance Certificate</w:t>
        <w:br/>
        <w:t>EXHIBIT G        –    Closing Memorandum</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H    –    Forms of Tax Compliance Certificates</w:t>
      </w:r>
    </w:p>
    <w:p>
      <w:pPr>
        <w:pStyle w:val="TextBody"/>
        <w:bidi w:val="0"/>
        <w:spacing w:before="0" w:after="0"/>
        <w:ind w:left="0" w:right="0" w:hanging="2880"/>
        <w:jc w:val="left"/>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I        –    Purchasers &amp; Commitments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II    –    Account Details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III    –    Notice Addresses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9920"/>
                <wp:effectExtent l="0" t="0" r="0" b="0"/>
                <wp:wrapNone/>
                <wp:docPr id="67"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RECEIVABLES PURCHASE AGREEMENT (as amended, restated, supplemented or otherwise modified from time to time,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as of September 29, 2023, by and among the following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    RACKSPACE RECEIVABLES II LLC, a Delaware limited liability company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RACKSPACE RECEIVABLES CANADA LIMITED, a company incorporated under the laws of British Columbia, as a guarantor (the “</w:t>
      </w:r>
      <w:r>
        <w:rPr>
          <w:rFonts w:ascii="Times New Roman;serif" w:hAnsi="Times New Roman;serif"/>
          <w:b w:val="false"/>
          <w:color w:val="000000"/>
          <w:sz w:val="24"/>
          <w:u w:val="single"/>
        </w:rPr>
        <w:t>Canadian Guarantor</w:t>
      </w:r>
      <w:r>
        <w:rPr>
          <w:color w:val="000000"/>
        </w:rPr>
        <w:t>”</w:t>
      </w:r>
      <w:r>
        <w:rPr>
          <w:rFonts w:ascii="Times New Roman;serif" w:hAnsi="Times New Roman;serif"/>
          <w:b w:val="false"/>
          <w:color w:val="000000"/>
          <w:sz w:val="24"/>
        </w:rPr>
        <w:t>; together with the Seller, collectively, the “</w:t>
      </w:r>
      <w:r>
        <w:rPr>
          <w:rFonts w:ascii="Times New Roman;serif" w:hAnsi="Times New Roman;serif"/>
          <w:b w:val="false"/>
          <w:color w:val="000000"/>
          <w:sz w:val="24"/>
          <w:u w:val="single"/>
        </w:rPr>
        <w:t>SPV Entities</w:t>
      </w:r>
      <w:r>
        <w:rPr>
          <w:color w:val="000000"/>
        </w:rPr>
        <w:t>”</w:t>
      </w:r>
      <w:r>
        <w:rPr>
          <w:rFonts w:ascii="Times New Roman;serif" w:hAnsi="Times New Roman;serif"/>
          <w:b w:val="false"/>
          <w:color w:val="000000"/>
          <w:sz w:val="24"/>
        </w:rPr>
        <w:t>, and each an “</w:t>
      </w:r>
      <w:r>
        <w:rPr>
          <w:rFonts w:ascii="Times New Roman;serif" w:hAnsi="Times New Roman;serif"/>
          <w:b w:val="false"/>
          <w:color w:val="000000"/>
          <w:sz w:val="24"/>
          <w:u w:val="single"/>
        </w:rPr>
        <w:t>SPV Entity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Persons from time to time party hereto as Purchasers;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PNC BANK, NATIONAL ASSOCIATION (“</w:t>
      </w:r>
      <w:r>
        <w:rPr>
          <w:rFonts w:ascii="Times New Roman;serif" w:hAnsi="Times New Roman;serif"/>
          <w:b w:val="false"/>
          <w:color w:val="000000"/>
          <w:sz w:val="24"/>
          <w:u w:val="single"/>
        </w:rPr>
        <w:t>PNC</w:t>
      </w:r>
      <w:r>
        <w:rPr>
          <w:color w:val="000000"/>
        </w:rPr>
        <w:t>”</w:t>
      </w:r>
      <w:r>
        <w:rPr>
          <w:rFonts w:ascii="Times New Roman;serif" w:hAnsi="Times New Roman;serif"/>
          <w:b w:val="false"/>
          <w:color w:val="000000"/>
          <w:sz w:val="24"/>
        </w:rPr>
        <w:t>), as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(v)    RACKSPACE US, INC., a Delaware corporation in its individual capacity (“</w:t>
      </w:r>
      <w:r>
        <w:rPr>
          <w:rFonts w:ascii="Times New Roman;serif" w:hAnsi="Times New Roman;serif"/>
          <w:b w:val="false"/>
          <w:color w:val="000000"/>
          <w:sz w:val="24"/>
          <w:u w:val="single"/>
        </w:rPr>
        <w:t>Rackspace</w:t>
      </w:r>
      <w:r>
        <w:rPr>
          <w:color w:val="000000"/>
        </w:rPr>
        <w:t>”</w:t>
      </w:r>
      <w:r>
        <w:rPr>
          <w:rFonts w:ascii="Times New Roman;serif" w:hAnsi="Times New Roman;serif"/>
          <w:b w:val="false"/>
          <w:color w:val="000000"/>
          <w:sz w:val="24"/>
        </w:rPr>
        <w:t>) and as a Servicer (in such capacity, together with its successors and assigns in such capacity, the “</w:t>
      </w:r>
      <w:r>
        <w:rPr>
          <w:rFonts w:ascii="Times New Roman;serif" w:hAnsi="Times New Roman;serif"/>
          <w:b w:val="false"/>
          <w:color w:val="000000"/>
          <w:sz w:val="24"/>
          <w:u w:val="single"/>
        </w:rPr>
        <w:t>U.S Servicer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RACKSPACE LIMITED, a private limited company incorporated under the laws of England and Wales, in its individual capacity (“</w:t>
      </w:r>
      <w:r>
        <w:rPr>
          <w:rFonts w:ascii="Times New Roman;serif" w:hAnsi="Times New Roman;serif"/>
          <w:b w:val="false"/>
          <w:color w:val="000000"/>
          <w:sz w:val="24"/>
          <w:u w:val="single"/>
        </w:rPr>
        <w:t>Rackspace UK</w:t>
      </w:r>
      <w:r>
        <w:rPr>
          <w:color w:val="000000"/>
        </w:rPr>
        <w:t>”</w:t>
      </w:r>
      <w:r>
        <w:rPr>
          <w:rFonts w:ascii="Times New Roman;serif" w:hAnsi="Times New Roman;serif"/>
          <w:b w:val="false"/>
          <w:color w:val="000000"/>
          <w:sz w:val="24"/>
        </w:rPr>
        <w:t>) and as a Servicer (in such capacity, together with its successors and assigns in such capacity, the “</w:t>
      </w:r>
      <w:r>
        <w:rPr>
          <w:rFonts w:ascii="Times New Roman;serif" w:hAnsi="Times New Roman;serif"/>
          <w:b w:val="false"/>
          <w:color w:val="000000"/>
          <w:sz w:val="24"/>
          <w:u w:val="single"/>
        </w:rPr>
        <w:t>UK Servicer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    ONICA TECHNOLOGIES CANADA INC., a company incorporated under the laws of the Province of British Columbia, in its individual capacity (“</w:t>
      </w:r>
      <w:r>
        <w:rPr>
          <w:rFonts w:ascii="Times New Roman;serif" w:hAnsi="Times New Roman;serif"/>
          <w:b w:val="false"/>
          <w:color w:val="000000"/>
          <w:sz w:val="24"/>
          <w:u w:val="single"/>
        </w:rPr>
        <w:t>Rackspace CA</w:t>
      </w:r>
      <w:r>
        <w:rPr>
          <w:color w:val="000000"/>
        </w:rPr>
        <w:t>”</w:t>
      </w:r>
      <w:r>
        <w:rPr>
          <w:rFonts w:ascii="Times New Roman;serif" w:hAnsi="Times New Roman;serif"/>
          <w:b w:val="false"/>
          <w:color w:val="000000"/>
          <w:sz w:val="24"/>
        </w:rPr>
        <w:t>) and as a Servicer (in such capacity, together with its successors and assigns in such capacity, the “</w:t>
      </w:r>
      <w:r>
        <w:rPr>
          <w:rFonts w:ascii="Times New Roman;serif" w:hAnsi="Times New Roman;serif"/>
          <w:b w:val="false"/>
          <w:color w:val="000000"/>
          <w:sz w:val="24"/>
          <w:u w:val="single"/>
        </w:rPr>
        <w:t>Canadian Servicer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(viii)    RACKSPACE INTERNATIONAL GMBH, a limited liability company (</w:t>
      </w:r>
      <w:r>
        <w:rPr>
          <w:rFonts w:ascii="Times New Roman;serif" w:hAnsi="Times New Roman;serif"/>
          <w:b w:val="false"/>
          <w:i/>
          <w:color w:val="000000"/>
          <w:sz w:val="24"/>
        </w:rPr>
        <w:t>Gesellschaft mit beschränkter Haftung</w:t>
      </w:r>
      <w:r>
        <w:rPr>
          <w:rFonts w:ascii="Times New Roman;serif" w:hAnsi="Times New Roman;serif"/>
          <w:b w:val="false"/>
          <w:color w:val="000000"/>
          <w:sz w:val="24"/>
        </w:rPr>
        <w:t>) incorporated and organized under the laws of Switzerland, with registered offices at Baslerstrasse 30, 8048 Zurich, Switzerland, registered with the Commercial Register of the Canton of Zurich under company registration no. CHE-418.096.119, in its individual capacity (“</w:t>
      </w:r>
      <w:r>
        <w:rPr>
          <w:rFonts w:ascii="Times New Roman;serif" w:hAnsi="Times New Roman;serif"/>
          <w:b w:val="false"/>
          <w:color w:val="000000"/>
          <w:sz w:val="24"/>
          <w:u w:val="single"/>
        </w:rPr>
        <w:t>Rackspace Swiss</w:t>
      </w:r>
      <w:r>
        <w:rPr>
          <w:color w:val="000000"/>
        </w:rPr>
        <w:t>”</w:t>
      </w:r>
      <w:r>
        <w:rPr>
          <w:rFonts w:ascii="Times New Roman;serif" w:hAnsi="Times New Roman;serif"/>
          <w:b w:val="false"/>
          <w:color w:val="000000"/>
          <w:sz w:val="24"/>
        </w:rPr>
        <w:t>) and as a Servicer (in such capacity, together with its successors and assigns in such capacity, the “</w:t>
      </w:r>
      <w:r>
        <w:rPr>
          <w:rFonts w:ascii="Times New Roman;serif" w:hAnsi="Times New Roman;serif"/>
          <w:b w:val="false"/>
          <w:color w:val="000000"/>
          <w:sz w:val="24"/>
          <w:u w:val="single"/>
        </w:rPr>
        <w:t>Swiss Servicer</w:t>
      </w:r>
      <w:r>
        <w:rPr>
          <w:color w:val="000000"/>
        </w:rPr>
        <w:t>”</w:t>
      </w:r>
      <w:r>
        <w:rPr>
          <w:rFonts w:ascii="Times New Roman;serif" w:hAnsi="Times New Roman;serif"/>
          <w:b w:val="false"/>
          <w:color w:val="000000"/>
          <w:sz w:val="24"/>
        </w:rPr>
        <w:t>, together with the U.S. Servicer, the UK Servicer and the Canadian Servicer, collectively the “</w:t>
      </w:r>
      <w:r>
        <w:rPr>
          <w:rFonts w:ascii="Times New Roman;serif" w:hAnsi="Times New Roman;serif"/>
          <w:b w:val="false"/>
          <w:color w:val="000000"/>
          <w:sz w:val="24"/>
          <w:u w:val="single"/>
        </w:rPr>
        <w:t>Servicers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Servicer</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PNC CAPITAL MARKETS LLC, a Pennsylvania limited liability company, as Structuring Agent.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PRELIMINARY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First Tier Transfer Agreement, the Aggregator has acquired, and will acquire from time to time, U.S. Receivables from the U.S. Originators.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Second Tier Transfer Agreement, the Seller has acquired, and will acquire from time to time, the U.S. Receivables acquired by the Aggregator from the U.S. Originators and Receivables originated by the Aggregator.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Canadian Transfer Agreement, the Canadian Guarantor has acquired, and will acquire from time to time, the Canadian Receivables from the Canadian Originators.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UK Transfer Agreement, the Seller has acquired, and will acquire from time to time, the UK Receivables from the UK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Swiss Transfer Agreement, the Seller has acquired, and will acquire from time to time, the Swiss Receivables from the Swiss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Seller has requested that the Purchasers make Investments from time to time on the terms and subject to the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Investments made hereunder, the parties hereto have requested that the Canadian Guarantor act as a guarantor hereunder and the Canadian Guarantor has agreed to act as a guarantor hereunder.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agreements, provisions and covenants contained herein, the sufficiency of which is hereby acknowledged, intending to be legally bound hereby, the parties hereto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br/>
        <w:br/>
        <w:t>DEFINITIONS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 </w:t>
      </w:r>
      <w:r>
        <w:rPr>
          <w:rFonts w:ascii="Times New Roman;serif" w:hAnsi="Times New Roman;serif"/>
          <w:b w:val="false"/>
          <w:color w:val="000000"/>
          <w:sz w:val="24"/>
          <w:u w:val="single"/>
        </w:rPr>
        <w:t>Certain Defined Terms</w:t>
      </w:r>
      <w:r>
        <w:rPr>
          <w:rFonts w:ascii="Times New Roman;serif" w:hAnsi="Times New Roman;serif"/>
          <w:b w:val="false"/>
          <w:color w:val="000000"/>
          <w:sz w:val="24"/>
        </w:rPr>
        <w:t>. As used in this Agreement, the following terms shall have the following meanings (such meanings to be equally applicable to both the singular and plural forms of the terms defined):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Account Control Agreement</w:t>
      </w:r>
      <w:r>
        <w:rPr>
          <w:color w:val="000000"/>
        </w:rPr>
        <w:t xml:space="preserve">” </w:t>
      </w:r>
      <w:r>
        <w:rPr>
          <w:rFonts w:ascii="Times New Roman;serif" w:hAnsi="Times New Roman;serif"/>
          <w:b w:val="false"/>
          <w:color w:val="000000"/>
          <w:sz w:val="24"/>
        </w:rPr>
        <w:t>means each agreement among the Seller, a Servicer (if applicable), the Administrative Agent and a Collection Account Bank, governing the terms of one or more Collection Accounts that (i) provides the Administrative Agent with the right to assume exclusive operational control of such Collection Accounts, (ii) with respect to any such U.S. Collection Accounts, provides the Administrative Agent with “control” (within the meaning of the UCC) over such Collection Account(s) and (iii) is in form and substance satisfactory to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means PNC, in its capacity as contractual representative for the Purchaser Parties, and any successor thereto in such capacity appointed in accordance with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Adverse Claim</w:t>
      </w:r>
      <w:r>
        <w:rPr>
          <w:color w:val="000000"/>
        </w:rPr>
        <w:t xml:space="preserve">” </w:t>
      </w:r>
      <w:r>
        <w:rPr>
          <w:rFonts w:ascii="Times New Roman;serif" w:hAnsi="Times New Roman;serif"/>
          <w:b w:val="false"/>
          <w:color w:val="000000"/>
          <w:sz w:val="24"/>
        </w:rPr>
        <w:t>means any Lien, other than a Lien in favor of or assigned to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Affected Person</w:t>
      </w:r>
      <w:r>
        <w:rPr>
          <w:color w:val="000000"/>
        </w:rPr>
        <w:t xml:space="preserve">” </w:t>
      </w:r>
      <w:r>
        <w:rPr>
          <w:rFonts w:ascii="Times New Roman;serif" w:hAnsi="Times New Roman;serif"/>
          <w:b w:val="false"/>
          <w:color w:val="000000"/>
          <w:sz w:val="24"/>
        </w:rPr>
        <w:t>means each Purchaser Party and each of their respective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with respect to a specified Person, another Person that directly or indirectly through one or more intermediaries, Controls or is Controlled by or is under common Control with the Person specified. With respect to the SPV Entity-Related Parties, this definition shall exclude the Sponsor or any funds or accounts managed by the Sponsor and any of such managed funds’ or accounts’ portfolio companies;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no such Person shall constitute an Eligible Assignee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Agent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12.03</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Capital</w:t>
      </w:r>
      <w:r>
        <w:rPr>
          <w:color w:val="000000"/>
        </w:rPr>
        <w:t xml:space="preserve">” </w:t>
      </w:r>
      <w:r>
        <w:rPr>
          <w:rFonts w:ascii="Times New Roman;serif" w:hAnsi="Times New Roman;serif"/>
          <w:b w:val="false"/>
          <w:color w:val="000000"/>
          <w:sz w:val="24"/>
        </w:rPr>
        <w:t>means, at any time, the aggregate outstanding Capital of all Purchasers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Aggregate Yield</w:t>
      </w:r>
      <w:r>
        <w:rPr>
          <w:color w:val="000000"/>
        </w:rPr>
        <w:t xml:space="preserve">” </w:t>
      </w:r>
      <w:r>
        <w:rPr>
          <w:rFonts w:ascii="Times New Roman;serif" w:hAnsi="Times New Roman;serif"/>
          <w:b w:val="false"/>
          <w:color w:val="000000"/>
          <w:sz w:val="24"/>
        </w:rPr>
        <w:t>means, at any time, the aggregate accrued and unpaid Yield on the outstanding Investments of all Purchasers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Aggregator</w:t>
      </w:r>
      <w:r>
        <w:rPr>
          <w:color w:val="000000"/>
        </w:rPr>
        <w:t xml:space="preserve">” </w:t>
      </w:r>
      <w:r>
        <w:rPr>
          <w:rFonts w:ascii="Times New Roman;serif" w:hAnsi="Times New Roman;serif"/>
          <w:b w:val="false"/>
          <w:color w:val="000000"/>
          <w:sz w:val="24"/>
        </w:rPr>
        <w:t>means Rackspace.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Alternative Currency</w:t>
      </w:r>
      <w:r>
        <w:rPr>
          <w:color w:val="000000"/>
        </w:rPr>
        <w:t xml:space="preserve">” </w:t>
      </w:r>
      <w:r>
        <w:rPr>
          <w:rFonts w:ascii="Times New Roman;serif" w:hAnsi="Times New Roman;serif"/>
          <w:b w:val="false"/>
          <w:color w:val="000000"/>
          <w:sz w:val="24"/>
        </w:rPr>
        <w:t>means Sterling, Euro, Canadian Dollars and Australian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FF"/>
          <w:sz w:val="24"/>
          <w:u w:val="single"/>
        </w:rPr>
        <w:t xml:space="preserve">(a) </w:t>
      </w:r>
      <w:r>
        <w:rPr>
          <w:rFonts w:ascii="Times New Roman;serif" w:hAnsi="Times New Roman;serif"/>
          <w:b w:val="false"/>
          <w:color w:val="000000"/>
          <w:sz w:val="24"/>
        </w:rPr>
        <w:t xml:space="preserve">the </w:t>
      </w:r>
      <w:r>
        <w:rPr>
          <w:rFonts w:ascii="Times New Roman;serif" w:hAnsi="Times New Roman;serif"/>
          <w:b w:val="false"/>
          <w:strike/>
          <w:color w:val="FF0000"/>
          <w:sz w:val="24"/>
        </w:rPr>
        <w:t>United States</w:t>
      </w:r>
      <w:r>
        <w:rPr>
          <w:rFonts w:ascii="Times New Roman;serif" w:hAnsi="Times New Roman;serif"/>
          <w:b w:val="false"/>
          <w:color w:val="0000FF"/>
          <w:sz w:val="24"/>
          <w:u w:val="single"/>
        </w:rPr>
        <w:t>U.S.</w:t>
      </w:r>
      <w:r>
        <w:rPr>
          <w:color w:val="000000"/>
        </w:rPr>
        <w:t xml:space="preserve"> </w:t>
      </w:r>
      <w:r>
        <w:rPr>
          <w:rFonts w:ascii="Times New Roman;serif" w:hAnsi="Times New Roman;serif"/>
          <w:b w:val="false"/>
          <w:color w:val="000000"/>
          <w:sz w:val="24"/>
        </w:rPr>
        <w:t xml:space="preserve">Foreign Corrupt Practices Act of 1977, </w:t>
      </w:r>
      <w:r>
        <w:rPr>
          <w:rFonts w:ascii="Times New Roman;serif" w:hAnsi="Times New Roman;serif"/>
          <w:b w:val="false"/>
          <w:color w:val="0000FF"/>
          <w:sz w:val="24"/>
          <w:u w:val="single"/>
        </w:rPr>
        <w:t xml:space="preserve">as amended; (b) </w:t>
      </w:r>
      <w:r>
        <w:rPr>
          <w:rFonts w:ascii="Times New Roman;serif" w:hAnsi="Times New Roman;serif"/>
          <w:b w:val="false"/>
          <w:color w:val="000000"/>
          <w:sz w:val="24"/>
        </w:rPr>
        <w:t xml:space="preserve">the </w:t>
      </w:r>
      <w:r>
        <w:rPr>
          <w:rFonts w:ascii="Times New Roman;serif" w:hAnsi="Times New Roman;serif"/>
          <w:b w:val="false"/>
          <w:strike/>
          <w:color w:val="FF0000"/>
          <w:sz w:val="24"/>
        </w:rPr>
        <w:t>UK</w:t>
      </w:r>
      <w:r>
        <w:rPr>
          <w:rFonts w:ascii="Times New Roman;serif" w:hAnsi="Times New Roman;serif"/>
          <w:b w:val="false"/>
          <w:color w:val="0000FF"/>
          <w:sz w:val="24"/>
          <w:u w:val="single"/>
        </w:rPr>
        <w:t>U.K.</w:t>
      </w:r>
      <w:r>
        <w:rPr>
          <w:color w:val="000000"/>
        </w:rPr>
        <w:t xml:space="preserve"> </w:t>
      </w:r>
      <w:r>
        <w:rPr>
          <w:rFonts w:ascii="Times New Roman;serif" w:hAnsi="Times New Roman;serif"/>
          <w:b w:val="false"/>
          <w:color w:val="000000"/>
          <w:sz w:val="24"/>
        </w:rPr>
        <w:t xml:space="preserve">Bribery Act 2010, </w:t>
      </w:r>
      <w:r>
        <w:rPr>
          <w:rFonts w:ascii="Times New Roman;serif" w:hAnsi="Times New Roman;serif"/>
          <w:b w:val="false"/>
          <w:color w:val="0000FF"/>
          <w:sz w:val="24"/>
          <w:u w:val="single"/>
        </w:rPr>
        <w:t xml:space="preserve">as amended; </w:t>
      </w:r>
      <w:r>
        <w:rPr>
          <w:rFonts w:ascii="Times New Roman;serif" w:hAnsi="Times New Roman;serif"/>
          <w:b w:val="false"/>
          <w:color w:val="000000"/>
          <w:sz w:val="24"/>
        </w:rPr>
        <w:t xml:space="preserve">the Corruption of Foreign Public Officials Act (Canada), the Criminal Code (Canada), and </w:t>
      </w:r>
      <w:r>
        <w:rPr>
          <w:rFonts w:ascii="Times New Roman;serif" w:hAnsi="Times New Roman;serif"/>
          <w:b w:val="false"/>
          <w:color w:val="0000FF"/>
          <w:sz w:val="24"/>
          <w:u w:val="single"/>
        </w:rPr>
        <w:t xml:space="preserve">(c) </w:t>
      </w:r>
      <w:r>
        <w:rPr>
          <w:rFonts w:ascii="Times New Roman;serif" w:hAnsi="Times New Roman;serif"/>
          <w:b w:val="false"/>
          <w:color w:val="000000"/>
          <w:sz w:val="24"/>
        </w:rPr>
        <w:t xml:space="preserve">any other </w:t>
      </w:r>
      <w:r>
        <w:rPr>
          <w:rFonts w:ascii="Times New Roman;serif" w:hAnsi="Times New Roman;serif"/>
          <w:b w:val="false"/>
          <w:strike/>
          <w:color w:val="FF0000"/>
          <w:sz w:val="24"/>
        </w:rPr>
        <w:t>similar</w:t>
      </w:r>
      <w:r>
        <w:rPr>
          <w:rFonts w:ascii="Times New Roman;serif" w:hAnsi="Times New Roman;serif"/>
          <w:b w:val="false"/>
          <w:color w:val="0000FF"/>
          <w:sz w:val="24"/>
          <w:u w:val="single"/>
        </w:rPr>
        <w:t>applicable Law relating to ani-bribery or</w:t>
      </w:r>
      <w:r>
        <w:rPr>
          <w:color w:val="000000"/>
        </w:rPr>
        <w:t xml:space="preserve"> </w:t>
      </w:r>
      <w:r>
        <w:rPr>
          <w:rFonts w:ascii="Times New Roman;serif" w:hAnsi="Times New Roman;serif"/>
          <w:b w:val="false"/>
          <w:color w:val="000000"/>
          <w:sz w:val="24"/>
        </w:rPr>
        <w:t xml:space="preserve">anti-corruption </w:t>
      </w:r>
      <w:r>
        <w:rPr>
          <w:rFonts w:ascii="Times New Roman;serif" w:hAnsi="Times New Roman;serif"/>
          <w:b w:val="false"/>
          <w:strike/>
          <w:color w:val="FF0000"/>
          <w:sz w:val="24"/>
        </w:rPr>
        <w:t xml:space="preserve">Laws or regulations administered or enforced </w:t>
      </w:r>
      <w:r>
        <w:rPr>
          <w:rFonts w:ascii="Times New Roman;serif" w:hAnsi="Times New Roman;serif"/>
          <w:b w:val="false"/>
          <w:color w:val="000000"/>
          <w:sz w:val="24"/>
        </w:rPr>
        <w:t xml:space="preserve">in any jurisdiction in which any SPV Entity-Related Party </w:t>
      </w:r>
      <w:r>
        <w:rPr>
          <w:rFonts w:ascii="Times New Roman;serif" w:hAnsi="Times New Roman;serif"/>
          <w:b w:val="false"/>
          <w:strike/>
          <w:color w:val="FF0000"/>
          <w:sz w:val="24"/>
        </w:rPr>
        <w:t>or any of its Subsidiaries conduct</w:t>
      </w:r>
      <w:r>
        <w:rPr>
          <w:rFonts w:ascii="Times New Roman;serif" w:hAnsi="Times New Roman;serif"/>
          <w:b w:val="false"/>
          <w:color w:val="0000FF"/>
          <w:sz w:val="24"/>
          <w:u w:val="single"/>
        </w:rPr>
        <w:t>is located doing</w:t>
      </w:r>
      <w:r>
        <w:rPr>
          <w:color w:val="000000"/>
        </w:rPr>
        <w:t xml:space="preserve"> </w:t>
      </w:r>
      <w:r>
        <w:rPr>
          <w:rFonts w:ascii="Times New Roman;serif" w:hAnsi="Times New Roman;serif"/>
          <w:b w:val="false"/>
          <w:color w:val="000000"/>
          <w:sz w:val="24"/>
        </w:rPr>
        <w:t>business, in each case, as amended.</w:t>
      </w:r>
    </w:p>
    <w:p>
      <w:pPr>
        <w:pStyle w:val="TextBody"/>
        <w:bidi w:val="0"/>
        <w:spacing w:lineRule="auto" w:line="288" w:before="0" w:after="240"/>
        <w:ind w:left="0" w:right="0" w:firstLine="720"/>
        <w:jc w:val="both"/>
        <w:rPr/>
      </w:pPr>
      <w:r>
        <w:rPr>
          <w:strike/>
          <w:color w:val="FF0000"/>
        </w:rPr>
        <w:t>“</w:t>
      </w:r>
      <w:r>
        <w:rPr>
          <w:rFonts w:ascii="Times New Roman;serif" w:hAnsi="Times New Roman;serif"/>
          <w:b w:val="false"/>
          <w:strike/>
          <w:color w:val="FF0000"/>
          <w:sz w:val="24"/>
          <w:u w:val="single"/>
        </w:rPr>
        <w:t>Anti-Terrorism Law</w:t>
      </w:r>
      <w:r>
        <w:rPr>
          <w:strike/>
          <w:color w:val="FF0000"/>
        </w:rPr>
        <w:t xml:space="preserve">” </w:t>
      </w:r>
      <w:r>
        <w:rPr>
          <w:rFonts w:ascii="Times New Roman;serif" w:hAnsi="Times New Roman;serif"/>
          <w:b w:val="false"/>
          <w:strike/>
          <w:color w:val="FF0000"/>
          <w:sz w:val="24"/>
        </w:rPr>
        <w:t xml:space="preserve">means any Law in force or hereinafter enacted related to terrorism, money laundering, or economic sanctions, including the Bank Secrecy Act, 31 U.S.C. § 5311 </w:t>
      </w:r>
      <w:r>
        <w:rPr>
          <w:rFonts w:ascii="Times New Roman;serif" w:hAnsi="Times New Roman;serif"/>
          <w:b w:val="false"/>
          <w:i/>
          <w:strike/>
          <w:color w:val="FF0000"/>
          <w:sz w:val="24"/>
        </w:rPr>
        <w:t>et seq.</w:t>
      </w:r>
      <w:r>
        <w:rPr>
          <w:rFonts w:ascii="Times New Roman;serif" w:hAnsi="Times New Roman;serif"/>
          <w:b w:val="false"/>
          <w:strike/>
          <w:color w:val="FF0000"/>
          <w:sz w:val="24"/>
        </w:rPr>
        <w:t xml:space="preserve">, the USA PATRIOT Act, the International Emergency Economic Powers Act, 50 U.S.C. 1701, </w:t>
      </w:r>
      <w:r>
        <w:rPr>
          <w:rFonts w:ascii="Times New Roman;serif" w:hAnsi="Times New Roman;serif"/>
          <w:b w:val="false"/>
          <w:i/>
          <w:strike/>
          <w:color w:val="FF0000"/>
          <w:sz w:val="24"/>
        </w:rPr>
        <w:t>et seq.,</w:t>
      </w:r>
      <w:r>
        <w:rPr>
          <w:strike/>
          <w:color w:val="FF0000"/>
        </w:rPr>
        <w:t xml:space="preserve"> </w:t>
      </w:r>
      <w:r>
        <w:rPr>
          <w:rFonts w:ascii="Times New Roman;serif" w:hAnsi="Times New Roman;serif"/>
          <w:b w:val="false"/>
          <w:strike/>
          <w:color w:val="FF0000"/>
          <w:sz w:val="24"/>
        </w:rPr>
        <w:t xml:space="preserve">the Trading with the Enemy Act, 50 U.S.C. App. 1, </w:t>
      </w:r>
      <w:r>
        <w:rPr>
          <w:rFonts w:ascii="Times New Roman;serif" w:hAnsi="Times New Roman;serif"/>
          <w:b w:val="false"/>
          <w:i/>
          <w:strike/>
          <w:color w:val="FF0000"/>
          <w:sz w:val="24"/>
        </w:rPr>
        <w:t>et seq.</w:t>
      </w:r>
      <w:r>
        <w:rPr>
          <w:rFonts w:ascii="Times New Roman;serif" w:hAnsi="Times New Roman;serif"/>
          <w:b w:val="false"/>
          <w:strike/>
          <w:color w:val="FF0000"/>
          <w:sz w:val="24"/>
        </w:rPr>
        <w:t>, 18 U.S.C. § 2332d, and 18 U.S.C. § 2339B, the Proceeds of Crime (Money Laundering) and Terrorist Financing Act (Canada) and any regulations or directives promulgated under these provisions, in each case, as amended.</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 xml:space="preserve">Anti-Money Laundering Laws” means (a) the Bank Secrecy Act and the Uniting and Strengthening America by Providing Appropriate Tools Required to Intercept and Obstruct Terrorism (USA PATRIOT) Act of 2001, each as amended; (b) the U.K. Proceeds of Crime Act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FF"/>
          <w:sz w:val="24"/>
          <w:u w:val="single"/>
        </w:rPr>
        <w:t xml:space="preserve">2002, the Money Laundering Regulations 2017 and the Terrorist Asset-Freezing Act 2010, each as amended; (c) the Proceeds of Crime (Money Laundering) and Terrorist Financing Act (Canada), and (d) any other applicable Law relating to anti-money laundering and countering the financing of terrorism and related financial record keeping and reporting requirements </w:t>
      </w:r>
      <w:r>
        <w:rPr>
          <w:rFonts w:ascii="Times New Roman;serif" w:hAnsi="Times New Roman;serif"/>
          <w:b w:val="false"/>
          <w:color w:val="008000"/>
          <w:sz w:val="24"/>
          <w:u w:val="single"/>
        </w:rPr>
        <w:t xml:space="preserve">in any jurisdiction in which any </w:t>
      </w:r>
      <w:r>
        <w:rPr>
          <w:rFonts w:ascii="Times New Roman;serif" w:hAnsi="Times New Roman;serif"/>
          <w:b w:val="false"/>
          <w:color w:val="0000FF"/>
          <w:sz w:val="24"/>
          <w:u w:val="single"/>
        </w:rPr>
        <w:t>SPV Entity-Related Party is located or doing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means any Fund that is administered or managed by (a) a Purchaser, (b) an Affiliate of a Purchaser or (c) an entity or an Affiliate of an entity that administers or manages a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and Assumption Agreement</w:t>
      </w:r>
      <w:r>
        <w:rPr>
          <w:color w:val="000000"/>
        </w:rPr>
        <w:t xml:space="preserve">” </w:t>
      </w:r>
      <w:r>
        <w:rPr>
          <w:rFonts w:ascii="Times New Roman;serif" w:hAnsi="Times New Roman;serif"/>
          <w:b w:val="false"/>
          <w:color w:val="000000"/>
          <w:sz w:val="24"/>
        </w:rPr>
        <w:t xml:space="preserve">means an assignment and assumption entered into by a Purchaser and an Eligible Assignee (with the consent of any party whose consent is required by </w:t>
      </w:r>
      <w:r>
        <w:rPr>
          <w:rFonts w:ascii="Times New Roman;serif" w:hAnsi="Times New Roman;serif"/>
          <w:b w:val="false"/>
          <w:color w:val="000000"/>
          <w:sz w:val="24"/>
          <w:u w:val="single"/>
        </w:rPr>
        <w:t>Section 12.06</w:t>
      </w:r>
      <w:r>
        <w:rPr>
          <w:rFonts w:ascii="Times New Roman;serif" w:hAnsi="Times New Roman;serif"/>
          <w:b w:val="false"/>
          <w:color w:val="000000"/>
          <w:sz w:val="24"/>
        </w:rPr>
        <w:t xml:space="preserve">), and accepted by the Administrative Agent, in substantially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Attorney Costs</w:t>
      </w:r>
      <w:r>
        <w:rPr>
          <w:color w:val="000000"/>
        </w:rPr>
        <w:t xml:space="preserve">” </w:t>
      </w:r>
      <w:r>
        <w:rPr>
          <w:rFonts w:ascii="Times New Roman;serif" w:hAnsi="Times New Roman;serif"/>
          <w:b w:val="false"/>
          <w:color w:val="000000"/>
          <w:sz w:val="24"/>
        </w:rPr>
        <w:t>means and includes all reasonable and documented fees, costs, expenses and disbursements of any law firm or other external counsel but excludes all disbursements of internal counsel.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Australian Dollar</w:t>
      </w:r>
      <w:r>
        <w:rPr>
          <w:color w:val="000000"/>
        </w:rPr>
        <w:t xml:space="preserve">” </w:t>
      </w:r>
      <w:r>
        <w:rPr>
          <w:rFonts w:ascii="Times New Roman;serif" w:hAnsi="Times New Roman;serif"/>
          <w:b w:val="false"/>
          <w:color w:val="000000"/>
          <w:sz w:val="24"/>
        </w:rPr>
        <w:t>means the lawful currency of Australia.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Authorized Officer</w:t>
      </w:r>
      <w:r>
        <w:rPr>
          <w:color w:val="000000"/>
        </w:rPr>
        <w:t xml:space="preserve">” </w:t>
      </w:r>
      <w:r>
        <w:rPr>
          <w:rFonts w:ascii="Times New Roman;serif" w:hAnsi="Times New Roman;serif"/>
          <w:b w:val="false"/>
          <w:color w:val="000000"/>
          <w:sz w:val="24"/>
        </w:rPr>
        <w:t xml:space="preserve">means, with respect to any SPV Entity-Related Party, the Chief Legal Officer, Executive Vice President, Senior Vice President, Vice President, President, Chief Financial Officer, Treasurer or Assistant Treasurer of such SPV Entity-Related Party, any manager, director or the members (as applicable) in the case of any SPV Entity-Related Party which is a limited liability company, </w:t>
      </w:r>
      <w:r>
        <w:rPr>
          <w:rFonts w:ascii="Times New Roman;serif" w:hAnsi="Times New Roman;serif"/>
          <w:b w:val="false"/>
          <w:strike/>
          <w:color w:val="FF0000"/>
          <w:sz w:val="24"/>
        </w:rPr>
        <w:t>or</w:t>
      </w:r>
      <w:r>
        <w:rPr>
          <w:rFonts w:ascii="Times New Roman;serif" w:hAnsi="Times New Roman;serif"/>
          <w:b w:val="false"/>
          <w:color w:val="0000FF"/>
          <w:sz w:val="24"/>
          <w:u w:val="single"/>
        </w:rPr>
        <w:t>and</w:t>
      </w:r>
      <w:r>
        <w:rPr>
          <w:color w:val="000000"/>
        </w:rPr>
        <w:t xml:space="preserve"> </w:t>
      </w:r>
      <w:r>
        <w:rPr>
          <w:rFonts w:ascii="Times New Roman;serif" w:hAnsi="Times New Roman;serif"/>
          <w:b w:val="false"/>
          <w:color w:val="000000"/>
          <w:sz w:val="24"/>
        </w:rPr>
        <w:t>such other individuals, designated by written notice to the Administrative Agent from the Seller, authorized to execute notices, reports and other documents on behalf of such SPV Entity-Related Party required hereunder</w:t>
      </w:r>
      <w:r>
        <w:rPr>
          <w:color w:val="0000FF"/>
          <w:u w:val="single"/>
        </w:rPr>
        <w:t xml:space="preserve"> </w:t>
      </w:r>
      <w:r>
        <w:rPr>
          <w:rFonts w:ascii="Times New Roman;serif" w:hAnsi="Times New Roman;serif"/>
          <w:b w:val="false"/>
          <w:color w:val="0000FF"/>
          <w:sz w:val="24"/>
          <w:u w:val="single"/>
        </w:rPr>
        <w:t>(including but not limited to Investment Requests, Reduction Notices and Pool Reports)</w:t>
      </w:r>
      <w:r>
        <w:rPr>
          <w:rFonts w:ascii="Times New Roman;serif" w:hAnsi="Times New Roman;serif"/>
          <w:b w:val="false"/>
          <w:color w:val="000000"/>
          <w:sz w:val="24"/>
        </w:rPr>
        <w:t>. The Seller may amend such list of individuals from time to time by giving written notice of such amendment to the Administrative Agent.</w:t>
      </w:r>
      <w:r>
        <w:rPr>
          <w:color w:val="0000FF"/>
          <w:u w:val="single"/>
        </w:rPr>
        <w:t xml:space="preserve"> </w:t>
      </w:r>
      <w:r>
        <w:rPr>
          <w:rFonts w:ascii="Times New Roman;serif" w:hAnsi="Times New Roman;serif"/>
          <w:b w:val="false"/>
          <w:color w:val="0000FF"/>
          <w:sz w:val="24"/>
          <w:u w:val="single"/>
        </w:rPr>
        <w:t xml:space="preserve">Any notice, report or document delivered hereunder or under any other Transaction Document that is signed or delivered by an Authorized Officer </w:t>
      </w:r>
      <w:r>
        <w:rPr>
          <w:rFonts w:ascii="Times New Roman;serif" w:hAnsi="Times New Roman;serif"/>
          <w:b w:val="false"/>
          <w:color w:val="008000"/>
          <w:sz w:val="24"/>
          <w:u w:val="single"/>
        </w:rPr>
        <w:t xml:space="preserve">of a SPV Entity-Related Party </w:t>
      </w:r>
      <w:r>
        <w:rPr>
          <w:rFonts w:ascii="Times New Roman;serif" w:hAnsi="Times New Roman;serif"/>
          <w:b w:val="false"/>
          <w:color w:val="0000FF"/>
          <w:sz w:val="24"/>
          <w:u w:val="single"/>
        </w:rPr>
        <w:t>shall be conclusively presumed to have been duly authorized by all necessary action on the part of such SPV Entity-Related Party, and such Authorized Officer shall be conclusively presumed to have acted on behalf of such SPV Entity-Related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AWS Days Payable Outstanding</w:t>
      </w:r>
      <w:r>
        <w:rPr>
          <w:color w:val="000000"/>
        </w:rPr>
        <w:t xml:space="preserve">” </w:t>
      </w:r>
      <w:r>
        <w:rPr>
          <w:rFonts w:ascii="Times New Roman;serif" w:hAnsi="Times New Roman;serif"/>
          <w:b w:val="false"/>
          <w:color w:val="000000"/>
          <w:sz w:val="24"/>
        </w:rPr>
        <w:t xml:space="preserve">means, at any time, the quotient (calculated as of the last day of the most recently ended calendar month) 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sum of the following amounts calculated for each of the AWS Payables that were paid by or on behalf of the SPV Entity-Related Parties and their respective Subsidiaries during such Fiscal Month or that remain outstanding at the end of such Fiscal Month: an amount equal to the product of (x) the number of days between the invoice or billing date of such AWS Payable and the date on which such AWS Payable was paid or, if such payment was not made during such Fiscal Month, the later 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due date of such payment and the last day of such Fiscal Month, and (y) the original outstanding amount of such AWS Payable;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aggregate outstanding amount of all AWS Payables as of the last day of such Fiscal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AWS Past-Due Payable Amount</w:t>
      </w:r>
      <w:r>
        <w:rPr>
          <w:color w:val="000000"/>
        </w:rPr>
        <w:t xml:space="preserve">” </w:t>
      </w:r>
      <w:r>
        <w:rPr>
          <w:rFonts w:ascii="Times New Roman;serif" w:hAnsi="Times New Roman;serif"/>
          <w:b w:val="false"/>
          <w:color w:val="000000"/>
          <w:sz w:val="24"/>
        </w:rPr>
        <w:t>means, at any time, an amount equal to (a) if no DPO Event is continuing, zero ($0), and (b) if a DPO Event is continuing, the aggregate outstanding amount, determined as of the last day of the most recently ended Fiscal Month, of all AWS Payables that remained unpaid (in whole or in part) as of the last day of such Fiscal Month for more than 60 days after the original due dates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AWS Payable</w:t>
      </w:r>
      <w:r>
        <w:rPr>
          <w:color w:val="000000"/>
        </w:rPr>
        <w:t xml:space="preserve">” </w:t>
      </w:r>
      <w:r>
        <w:rPr>
          <w:rFonts w:ascii="Times New Roman;serif" w:hAnsi="Times New Roman;serif"/>
          <w:b w:val="false"/>
          <w:color w:val="000000"/>
          <w:sz w:val="24"/>
        </w:rPr>
        <w:t>means any account payable or other payment obligation owing by the SPV Entity-Related Parties and their respective Subsidiaries to Amazon Web Services Inc. or any of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Bankruptcy and Insolvency Act (Canada)</w:t>
      </w:r>
      <w:r>
        <w:rPr>
          <w:color w:val="000000"/>
        </w:rPr>
        <w:t xml:space="preserve">” </w:t>
      </w:r>
      <w:r>
        <w:rPr>
          <w:rFonts w:ascii="Times New Roman;serif" w:hAnsi="Times New Roman;serif"/>
          <w:b w:val="false"/>
          <w:color w:val="000000"/>
          <w:sz w:val="24"/>
        </w:rPr>
        <w:t>means the Bankruptcy and Insolvency Act, RSC 1985, c B-3.</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means the United States Bankruptcy Reform Act of 1978 (11 U.S.C. § 101, et seq.).</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means, for any day, a fluctuating per annum rate of interest equal to the highest of (i) the Overnight Bank Funding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0.50%, (ii) the Prime Rate, and (iii) Daily Simple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1.00%, so long as Daily Simple SOFR is offered, ascertainable and not unlawful;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serif" w:hAnsi="Times New Roman;serif"/>
          <w:b w:val="false"/>
          <w:color w:val="000000"/>
          <w:sz w:val="24"/>
          <w:u w:val="single"/>
        </w:rPr>
        <w:t>Section 2.04(a)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2.04(b)</w:t>
      </w:r>
      <w:r>
        <w:rPr>
          <w:rFonts w:ascii="Times New Roman;serif" w:hAnsi="Times New Roman;serif"/>
          <w:b w:val="false"/>
          <w:color w:val="000000"/>
          <w:sz w:val="24"/>
        </w:rPr>
        <w:t xml:space="preserve">, to the extent any such determination affects the calculation of Base Rate, the definition hereof shall be calculated without reference to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above until the circumstances giving rise to such event no longer exist.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 Capital</w:t>
      </w:r>
      <w:r>
        <w:rPr>
          <w:color w:val="000000"/>
        </w:rPr>
        <w:t xml:space="preserve">” </w:t>
      </w:r>
      <w:r>
        <w:rPr>
          <w:rFonts w:ascii="Times New Roman;serif" w:hAnsi="Times New Roman;serif"/>
          <w:b w:val="false"/>
          <w:color w:val="000000"/>
          <w:sz w:val="24"/>
        </w:rPr>
        <w:t>means, at any time, any Capital on which Yield accrues by reference to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means, for the Seller, each of the following: (a) each individual, if any, who, directly or indirectly, owns 25.00% or more of the Seller’s Equity Interests; and (b) a single individual with significant responsibility to control, manage, or direct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or Sunday or a legal holiday on which commercial banks are authorized or required to be closed, or are in fact closed, for business in New York, New York, Pittsburgh, Pennsylvania (or, if otherwise, the Lending Office of the Administrative Agent) or Toronto, Ontario;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t>
      </w:r>
      <w:r>
        <w:rPr>
          <w:rFonts w:ascii="Times New Roman;serif" w:hAnsi="Times New Roman;serif"/>
          <w:b w:val="false"/>
          <w:strike/>
          <w:color w:val="008000"/>
          <w:sz w:val="24"/>
        </w:rPr>
        <w:t xml:space="preserve">when used in connection with </w:t>
      </w:r>
      <w:r>
        <w:rPr>
          <w:rFonts w:ascii="Times New Roman;serif" w:hAnsi="Times New Roman;serif"/>
          <w:b w:val="false"/>
          <w:strike/>
          <w:color w:val="FF0000"/>
          <w:sz w:val="24"/>
        </w:rPr>
        <w:t>an amount that bears interest at a rate based on SOFR or</w:t>
      </w:r>
      <w:r>
        <w:rPr>
          <w:rFonts w:ascii="Times New Roman;serif" w:hAnsi="Times New Roman;serif"/>
          <w:b w:val="false"/>
          <w:color w:val="0000FF"/>
          <w:sz w:val="24"/>
          <w:u w:val="single"/>
        </w:rPr>
        <w:t>for purposes of</w:t>
      </w:r>
      <w:r>
        <w:rPr>
          <w:color w:val="000000"/>
        </w:rPr>
        <w:t xml:space="preserve"> </w:t>
      </w:r>
      <w:r>
        <w:rPr>
          <w:rFonts w:ascii="Times New Roman;serif" w:hAnsi="Times New Roman;serif"/>
          <w:b w:val="false"/>
          <w:color w:val="000000"/>
          <w:sz w:val="24"/>
        </w:rPr>
        <w:t>any direct or indirect calculation or determination of</w:t>
      </w:r>
      <w:r>
        <w:rPr>
          <w:rFonts w:ascii="Times New Roman;serif" w:hAnsi="Times New Roman;serif"/>
          <w:b w:val="false"/>
          <w:color w:val="0000FF"/>
          <w:sz w:val="24"/>
          <w:u w:val="single"/>
        </w:rPr>
        <w:t>, or</w:t>
      </w:r>
      <w:r>
        <w:rPr>
          <w:color w:val="008000"/>
          <w:u w:val="single"/>
        </w:rPr>
        <w:t xml:space="preserve"> </w:t>
      </w:r>
      <w:r>
        <w:rPr>
          <w:rFonts w:ascii="Times New Roman;serif" w:hAnsi="Times New Roman;serif"/>
          <w:b w:val="false"/>
          <w:color w:val="008000"/>
          <w:sz w:val="24"/>
          <w:u w:val="single"/>
        </w:rPr>
        <w:t xml:space="preserve">when used in connection with </w:t>
      </w:r>
      <w:r>
        <w:rPr>
          <w:rFonts w:ascii="Times New Roman;serif" w:hAnsi="Times New Roman;serif"/>
          <w:b w:val="false"/>
          <w:color w:val="0000FF"/>
          <w:sz w:val="24"/>
          <w:u w:val="single"/>
        </w:rPr>
        <w:t xml:space="preserve">any interest rate settings, fundings, disbursements, settlements, payments, or other dealings with respect to, </w:t>
      </w:r>
      <w:r>
        <w:rPr>
          <w:rFonts w:ascii="Times New Roman;serif" w:hAnsi="Times New Roman;serif"/>
          <w:b w:val="false"/>
          <w:color w:val="000000"/>
          <w:sz w:val="24"/>
        </w:rPr>
        <w:t>SOFR, the term “Business Day” means any such day that is also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Collection Account</w:t>
      </w:r>
      <w:r>
        <w:rPr>
          <w:color w:val="000000"/>
        </w:rPr>
        <w:t xml:space="preserve">” </w:t>
      </w:r>
      <w:r>
        <w:rPr>
          <w:rFonts w:ascii="Times New Roman;serif" w:hAnsi="Times New Roman;serif"/>
          <w:b w:val="false"/>
          <w:color w:val="000000"/>
          <w:sz w:val="24"/>
        </w:rPr>
        <w:t xml:space="preserve">means each account listed as a Canadian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connection with the closing or opening of any Collection Account in accordance with the terms hereof) (in each case, in the name of the Person specified as the account holder at the Collection Account Bank specified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Defined Benefit Plan</w:t>
      </w:r>
      <w:r>
        <w:rPr>
          <w:color w:val="000000"/>
        </w:rPr>
        <w:t xml:space="preserve">” </w:t>
      </w:r>
      <w:r>
        <w:rPr>
          <w:rFonts w:ascii="Times New Roman;serif" w:hAnsi="Times New Roman;serif"/>
          <w:b w:val="false"/>
          <w:color w:val="000000"/>
          <w:sz w:val="24"/>
        </w:rPr>
        <w:t>means a pension plan registered under the ITA or any other applicable pension standards legislation which contains a “defined benefit provision”, as such term is defined in subsection 147.1(1) of the ITA.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Dollar</w:t>
      </w:r>
      <w:r>
        <w:rPr>
          <w:color w:val="000000"/>
        </w:rPr>
        <w:t xml:space="preserve">” </w:t>
      </w:r>
      <w:r>
        <w:rPr>
          <w:rFonts w:ascii="Times New Roman;serif" w:hAnsi="Times New Roman;serif"/>
          <w:b w:val="false"/>
          <w:color w:val="000000"/>
          <w:sz w:val="24"/>
        </w:rPr>
        <w:t>means the lawful currency of Canada.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Guarantor</w:t>
      </w:r>
      <w:r>
        <w:rPr>
          <w:color w:val="000000"/>
        </w:rPr>
        <w:t xml:space="preserve">” </w:t>
      </w:r>
      <w:r>
        <w:rPr>
          <w:rFonts w:ascii="Times New Roman;serif" w:hAnsi="Times New Roman;serif"/>
          <w:b w:val="false"/>
          <w:color w:val="000000"/>
          <w:sz w:val="24"/>
        </w:rPr>
        <w:t>has the meaning set forth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Originator</w:t>
      </w:r>
      <w:r>
        <w:rPr>
          <w:color w:val="000000"/>
        </w:rPr>
        <w:t xml:space="preserve">” </w:t>
      </w:r>
      <w:r>
        <w:rPr>
          <w:rFonts w:ascii="Times New Roman;serif" w:hAnsi="Times New Roman;serif"/>
          <w:b w:val="false"/>
          <w:color w:val="000000"/>
          <w:sz w:val="24"/>
        </w:rPr>
        <w:t>means any Person organized in Canada (or any province, territory or political subdivision thereof) from time to time a party to the Canadian Transfer Agreement as an “Originator” thereunder, and “</w:t>
      </w:r>
      <w:r>
        <w:rPr>
          <w:rFonts w:ascii="Times New Roman;serif" w:hAnsi="Times New Roman;serif"/>
          <w:b w:val="false"/>
          <w:color w:val="000000"/>
          <w:sz w:val="24"/>
          <w:u w:val="single"/>
        </w:rPr>
        <w:t>Canadian Originators</w:t>
      </w:r>
      <w:r>
        <w:rPr>
          <w:color w:val="000000"/>
        </w:rPr>
        <w:t xml:space="preserve">” </w:t>
      </w:r>
      <w:r>
        <w:rPr>
          <w:rFonts w:ascii="Times New Roman;serif" w:hAnsi="Times New Roman;serif"/>
          <w:b w:val="false"/>
          <w:color w:val="000000"/>
          <w:sz w:val="24"/>
        </w:rPr>
        <w:t>means all of them collectively.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Receivable</w:t>
      </w:r>
      <w:r>
        <w:rPr>
          <w:color w:val="000000"/>
        </w:rPr>
        <w:t xml:space="preserve">” </w:t>
      </w:r>
      <w:r>
        <w:rPr>
          <w:rFonts w:ascii="Times New Roman;serif" w:hAnsi="Times New Roman;serif"/>
          <w:b w:val="false"/>
          <w:color w:val="000000"/>
          <w:sz w:val="24"/>
        </w:rPr>
        <w:t>means each Pool Receivable originated by a Canadian Originator.</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Sales Tax</w:t>
      </w:r>
      <w:r>
        <w:rPr>
          <w:color w:val="000000"/>
        </w:rPr>
        <w:t xml:space="preserve">” </w:t>
      </w:r>
      <w:r>
        <w:rPr>
          <w:rFonts w:ascii="Times New Roman;serif" w:hAnsi="Times New Roman;serif"/>
          <w:b w:val="false"/>
          <w:color w:val="000000"/>
          <w:sz w:val="24"/>
        </w:rPr>
        <w:t>means, collectively, GST, PST and any other value added sales, provincial sales, use, transfer and other similar taxes now or hereafter imposed by any Governmental Authority in Canada and all interest, penalties, addition to tax and any similar liabilities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Servicer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Servicing Fee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Canadian Transfer Agreement</w:t>
      </w:r>
      <w:r>
        <w:rPr>
          <w:color w:val="000000"/>
        </w:rPr>
        <w:t xml:space="preserve">” </w:t>
      </w:r>
      <w:r>
        <w:rPr>
          <w:rFonts w:ascii="Times New Roman;serif" w:hAnsi="Times New Roman;serif"/>
          <w:b w:val="false"/>
          <w:color w:val="000000"/>
          <w:sz w:val="24"/>
        </w:rPr>
        <w:t>means (i) the Ontario-law governed Canadian purchase and sale agreement, dated as of the First Amendment Effective Date, among the Canadian Servicer, the Canadian Originators, as originators and the Canadian Guarantor, as buyer, and (ii) any other transfer agreement governed by Canadian law and entered into from time to time among the Canadian Servicer, an affiliate of Rackspace Canada incorporated in Canada as an originator and the Canadian Guarantor as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w:t>
      </w:r>
      <w:r>
        <w:rPr>
          <w:color w:val="000000"/>
        </w:rPr>
        <w:t xml:space="preserve">” </w:t>
      </w:r>
      <w:r>
        <w:rPr>
          <w:rFonts w:ascii="Times New Roman;serif" w:hAnsi="Times New Roman;serif"/>
          <w:b w:val="false"/>
          <w:color w:val="000000"/>
          <w:sz w:val="24"/>
        </w:rPr>
        <w:t xml:space="preserve">means, with respect to any Purchaser, the aggregate amounts paid to, or on behalf of, the Seller in connection with all Investments made by such Purchaser pursuant to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as reduced from time to time by Collections or other funds of the Seller that have been distributed to such Purchaser and applied as a repayment of Capital in accordance with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Coverage Amount</w:t>
      </w:r>
      <w:r>
        <w:rPr>
          <w:color w:val="000000"/>
        </w:rPr>
        <w:t xml:space="preserve">” </w:t>
      </w:r>
      <w:r>
        <w:rPr>
          <w:rFonts w:ascii="Times New Roman;serif" w:hAnsi="Times New Roman;serif"/>
          <w:b w:val="false"/>
          <w:color w:val="000000"/>
          <w:sz w:val="24"/>
        </w:rPr>
        <w:t xml:space="preserve">means, at any time, the amount equal to the lesser of (a) the Facility Limit and (b) the amount equal to (i) the Net Receivables Pool Balance at such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(ii) the Total Reserves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Coverage Amount Deficit</w:t>
      </w:r>
      <w:r>
        <w:rPr>
          <w:color w:val="000000"/>
        </w:rPr>
        <w:t xml:space="preserve">” </w:t>
      </w:r>
      <w:r>
        <w:rPr>
          <w:rFonts w:ascii="Times New Roman;serif" w:hAnsi="Times New Roman;serif"/>
          <w:b w:val="false"/>
          <w:color w:val="000000"/>
          <w:sz w:val="24"/>
        </w:rPr>
        <w:t xml:space="preserve">means, at any time, the amount, if any, by which (a) the Aggregate Capital at such time, </w:t>
      </w:r>
      <w:r>
        <w:rPr>
          <w:rFonts w:ascii="Times New Roman;serif" w:hAnsi="Times New Roman;serif"/>
          <w:b w:val="false"/>
          <w:color w:val="000000"/>
          <w:sz w:val="24"/>
          <w:u w:val="single"/>
        </w:rPr>
        <w:t>exceeds</w:t>
      </w:r>
      <w:r>
        <w:rPr>
          <w:color w:val="000000"/>
        </w:rPr>
        <w:t xml:space="preserve"> </w:t>
      </w:r>
      <w:r>
        <w:rPr>
          <w:rFonts w:ascii="Times New Roman;serif" w:hAnsi="Times New Roman;serif"/>
          <w:b w:val="false"/>
          <w:color w:val="000000"/>
          <w:sz w:val="24"/>
        </w:rPr>
        <w:t>(b) the Capital Coverage Amount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Tranche</w:t>
      </w:r>
      <w:r>
        <w:rPr>
          <w:color w:val="000000"/>
        </w:rPr>
        <w:t xml:space="preserve">” </w:t>
      </w:r>
      <w:r>
        <w:rPr>
          <w:rFonts w:ascii="Times New Roman;serif" w:hAnsi="Times New Roman;serif"/>
          <w:b w:val="false"/>
          <w:color w:val="000000"/>
          <w:sz w:val="24"/>
        </w:rPr>
        <w:t xml:space="preserve">means specified portions of Capital outstanding as follows: (a) all Capital (or portions thereof) for which the applicable Yield Rate is determined by reference to Daily 1M SOFR shall constitute one Borrowing Tranche, (b) all Capital (or portions thereof) for which the applicable Yield Rate is determined by reference to </w:t>
      </w:r>
      <w:r>
        <w:rPr>
          <w:rFonts w:ascii="Times New Roman;serif" w:hAnsi="Times New Roman;serif"/>
          <w:b w:val="false"/>
          <w:color w:val="0000FF"/>
          <w:sz w:val="24"/>
          <w:u w:val="single"/>
        </w:rPr>
        <w:t xml:space="preserve">the </w:t>
      </w:r>
      <w:r>
        <w:rPr>
          <w:rFonts w:ascii="Times New Roman;serif" w:hAnsi="Times New Roman;serif"/>
          <w:b w:val="false"/>
          <w:color w:val="000000"/>
          <w:sz w:val="24"/>
        </w:rPr>
        <w:t>Base Rate shall constitute one Borrowing Tranche, and (c) all Capital for which the applicable Yield Rate is determined by reference to the Term SOFR Rate with the same Yield Period shall constitute one Capital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Dominion Administration Account</w:t>
      </w:r>
      <w:r>
        <w:rPr>
          <w:color w:val="000000"/>
        </w:rPr>
        <w:t xml:space="preserve">” </w:t>
      </w:r>
      <w:r>
        <w:rPr>
          <w:rFonts w:ascii="Times New Roman;serif" w:hAnsi="Times New Roman;serif"/>
          <w:b w:val="false"/>
          <w:color w:val="000000"/>
          <w:sz w:val="24"/>
        </w:rPr>
        <w:t>means one or more deposit accounts established at PNC and at any time designated as a Cash Dominion Administration Account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Certificate of Beneficial Ownership</w:t>
      </w:r>
      <w:r>
        <w:rPr>
          <w:color w:val="000000"/>
        </w:rPr>
        <w:t xml:space="preserve">” </w:t>
      </w:r>
      <w:r>
        <w:rPr>
          <w:rFonts w:ascii="Times New Roman;serif" w:hAnsi="Times New Roman;serif"/>
          <w:b w:val="false"/>
          <w:color w:val="000000"/>
          <w:sz w:val="24"/>
        </w:rPr>
        <w:t xml:space="preserve">means, for the Seller, a certificate in form and substance acceptable to the Administrative Agent (as such form may be amended or modified by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from time to time in its sole discretion), certifying, among other things, the Beneficial Owner of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Rackspace ceases to own, directly, 100.00% of the Equity Interests of the Seller free and clear of all Adverse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Parent ceases to own, directly or indirectly, 100.00% of the Equity Interests of Rackspace, any Originator or the Canadian Guarantor;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Canadian Servicer cease to own, directly, 100% of the issued and outstanding Equity Interests of the Canadian Guarantor free and clear of all Adverse Claims;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Originators cease to own, directly, 100% of the Subordinated Notes or the Subordinated Loan Agreements (as applicable) free and clear of all Adverse Claims; 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a “Change in Control” (as defined in the First Lien Credit Agreement, as in effect on the </w:t>
      </w:r>
      <w:r>
        <w:rPr>
          <w:rFonts w:ascii="Times New Roman;serif" w:hAnsi="Times New Roman;serif"/>
          <w:b w:val="false"/>
          <w:strike/>
          <w:color w:val="FF0000"/>
          <w:sz w:val="24"/>
        </w:rPr>
        <w:t>Closing</w:t>
      </w:r>
      <w:r>
        <w:rPr>
          <w:rFonts w:ascii="Times New Roman;serif" w:hAnsi="Times New Roman;serif"/>
          <w:b w:val="false"/>
          <w:color w:val="0000FF"/>
          <w:sz w:val="24"/>
          <w:u w:val="single"/>
        </w:rPr>
        <w:t>Third Amendment Effective</w:t>
      </w:r>
      <w:r>
        <w:rPr>
          <w:color w:val="000000"/>
        </w:rPr>
        <w:t xml:space="preserve"> </w:t>
      </w:r>
      <w:r>
        <w:rPr>
          <w:rFonts w:ascii="Times New Roman;serif" w:hAnsi="Times New Roman;serif"/>
          <w:b w:val="false"/>
          <w:color w:val="000000"/>
          <w:sz w:val="24"/>
        </w:rPr>
        <w:t>Date without giving effect to any amendment or modification thereto or any termination thereof) shall occur with respect to the Parent (other than under clause (a) of the definition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the occurrence, after the Closing Date,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CIP Regulations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September 29,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the same may be amended or supplemented from time to time, and any successor statute of similar import, and the rules and regulations thereunder, as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w:t>
      </w:r>
      <w:r>
        <w:rPr>
          <w:color w:val="000000"/>
        </w:rPr>
        <w:t xml:space="preserve">” </w:t>
      </w:r>
      <w:r>
        <w:rPr>
          <w:rFonts w:ascii="Times New Roman;serif" w:hAnsi="Times New Roman;serif"/>
          <w:b w:val="false"/>
          <w:color w:val="000000"/>
          <w:sz w:val="24"/>
        </w:rPr>
        <w:t>means each U.S. Collection Account, Canadian Collection Account and UK Collection Account,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 Account Bank</w:t>
      </w:r>
      <w:r>
        <w:rPr>
          <w:color w:val="000000"/>
        </w:rPr>
        <w:t xml:space="preserve">” </w:t>
      </w:r>
      <w:r>
        <w:rPr>
          <w:rFonts w:ascii="Times New Roman;serif" w:hAnsi="Times New Roman;serif"/>
          <w:b w:val="false"/>
          <w:color w:val="000000"/>
          <w:sz w:val="24"/>
        </w:rPr>
        <w:t>means any of the banks or other financial institutions holding one or more Collection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Collections</w:t>
      </w:r>
      <w:r>
        <w:rPr>
          <w:color w:val="000000"/>
        </w:rPr>
        <w:t xml:space="preserve">” </w:t>
      </w:r>
      <w:r>
        <w:rPr>
          <w:rFonts w:ascii="Times New Roman;serif" w:hAnsi="Times New Roman;serif"/>
          <w:b w:val="false"/>
          <w:color w:val="000000"/>
          <w:sz w:val="24"/>
        </w:rPr>
        <w:t>means, with respect to any Pool Receivable: (a) all funds that are received by any SPV Entity-Related Party or any other Person on their behalf in payment of any amounts owed in respect of such Pool Receivable (including purchase price, service charges, finance charges, interest, fees and all other charges and (i) in the case of any Pool Receivables purchased by the Canadian Guarantor from a Canadian Originator, any amounts received on account of Canadian Sales Taxes and (ii) in the case of any Pool Receivables purchased by the Seller from any other Originator, any amounts received on account of VAT where such VAT was included in the Outstanding Balance for the relevant Pool Receivables), or applied to amounts owed in respect of such Pool Receivable (including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(d) all other proceeds of such Pool Receivable, and (e) the amount of any refund or credit for the VAT component of any Pool Receivable obtained by any Person pursuant to a claim for bad debt relief in respect of the relevant Pool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any Purchaser, the maximum aggregate amount of Capital which such Person is obligated to pay hereunder on account of all Investments, on a combined basis, as set forth on </w:t>
      </w:r>
      <w:r>
        <w:rPr>
          <w:rFonts w:ascii="Times New Roman;serif" w:hAnsi="Times New Roman;serif"/>
          <w:b w:val="false"/>
          <w:color w:val="000000"/>
          <w:sz w:val="24"/>
          <w:u w:val="single"/>
        </w:rPr>
        <w:t>Schedule I</w:t>
      </w:r>
      <w:r>
        <w:rPr>
          <w:rFonts w:ascii="Times New Roman;serif" w:hAnsi="Times New Roman;serif"/>
          <w:b w:val="false"/>
          <w:color w:val="000000"/>
          <w:sz w:val="24"/>
        </w:rPr>
        <w:t>, as such Commitment is thereafter assigned or modified. If the context so requires, “Commitment” also refers to a Purchaser’s obligation to make Investments hereunder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12.03(d)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val="false"/>
          <w:color w:val="0000FF"/>
          <w:sz w:val="24"/>
          <w:u w:val="single"/>
        </w:rPr>
        <w:t xml:space="preserve">Compliance Authority” means (a) any Official Body of the United States (including </w:t>
      </w:r>
      <w:r>
        <w:rPr>
          <w:rFonts w:ascii="Times New Roman;serif" w:hAnsi="Times New Roman;serif"/>
          <w:b w:val="false"/>
          <w:color w:val="008000"/>
          <w:sz w:val="24"/>
          <w:u w:val="single"/>
        </w:rPr>
        <w:t xml:space="preserve">the U.S. Department of </w:t>
      </w:r>
      <w:r>
        <w:rPr>
          <w:rFonts w:ascii="Times New Roman;serif" w:hAnsi="Times New Roman;serif"/>
          <w:b w:val="false"/>
          <w:color w:val="0000FF"/>
          <w:sz w:val="24"/>
          <w:u w:val="single"/>
        </w:rPr>
        <w:t>the Treasury, OFAC and the U.S. Department of State), the European Union, the United Kingdom or Canada; (b) the United Nations Security Council; and (c) any other Official Body with jurisdiction over the parties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Percentage</w:t>
      </w:r>
      <w:r>
        <w:rPr>
          <w:color w:val="000000"/>
        </w:rPr>
        <w:t xml:space="preserve">” </w:t>
      </w:r>
      <w:r>
        <w:rPr>
          <w:rFonts w:ascii="Times New Roman;serif" w:hAnsi="Times New Roman;serif"/>
          <w:b w:val="false"/>
          <w:color w:val="000000"/>
          <w:sz w:val="24"/>
        </w:rPr>
        <w:t>means (a) for any Group A Obligor, 12.50%, (b) for any Group B Obligor, 10.00%, (c) for any Group C Obligor, 7.50%, and (d) for any Group D Obligor, 5.00%.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Concentration Reserve Percentage</w:t>
      </w:r>
      <w:r>
        <w:rPr>
          <w:color w:val="000000"/>
        </w:rPr>
        <w:t xml:space="preserve">” </w:t>
      </w:r>
      <w:r>
        <w:rPr>
          <w:rFonts w:ascii="Times New Roman;serif" w:hAnsi="Times New Roman;serif"/>
          <w:b w:val="false"/>
          <w:color w:val="000000"/>
          <w:sz w:val="24"/>
        </w:rPr>
        <w:t>means, at any time, the largest of: (a) the sum of the five largest Obligor Percentages of the Group D Obligors, (b) the sum of the three largest Obligor Percentages of the Group C Obligors, (c) the sum of the two largest Obligor Percentages of the Group B Obligors and (d) the largest Obligor Percentage of the Group A Obligors.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Daily 1M SOFR, the Term SOFR Rate or any Benchmark Replacement in relation thereto, any technical, administrative or operational changes (including changes to the definition of “Base Rate,” the definition of “Business Day,” the definition of “Yield Period,” the definition of “U.S. Governmental Securities Business Day,” timing and frequency of determining rates and making payments of yield, timing of investment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 xml:space="preserve">means (a) each SPV Entity-Related Party and </w:t>
      </w:r>
      <w:r>
        <w:rPr>
          <w:rFonts w:ascii="Times New Roman;serif" w:hAnsi="Times New Roman;serif"/>
          <w:b w:val="false"/>
          <w:color w:val="0000FF"/>
          <w:sz w:val="24"/>
          <w:u w:val="single"/>
        </w:rPr>
        <w:t xml:space="preserve">each of </w:t>
      </w:r>
      <w:r>
        <w:rPr>
          <w:rFonts w:ascii="Times New Roman;serif" w:hAnsi="Times New Roman;serif"/>
          <w:b w:val="false"/>
          <w:color w:val="000000"/>
          <w:sz w:val="24"/>
        </w:rPr>
        <w:t xml:space="preserve">its </w:t>
      </w:r>
      <w:r>
        <w:rPr>
          <w:rFonts w:ascii="Times New Roman;serif" w:hAnsi="Times New Roman;serif"/>
          <w:b w:val="false"/>
          <w:strike/>
          <w:color w:val="FF0000"/>
          <w:sz w:val="24"/>
        </w:rPr>
        <w:t xml:space="preserve">respective </w:t>
      </w:r>
      <w:r>
        <w:rPr>
          <w:rFonts w:ascii="Times New Roman;serif" w:hAnsi="Times New Roman;serif"/>
          <w:b w:val="false"/>
          <w:color w:val="000000"/>
          <w:sz w:val="24"/>
        </w:rPr>
        <w:t xml:space="preserve">Subsidiaries, and (b) each Person that, directly or indirectly, controls </w:t>
      </w:r>
      <w:r>
        <w:rPr>
          <w:rFonts w:ascii="Times New Roman;serif" w:hAnsi="Times New Roman;serif"/>
          <w:b w:val="false"/>
          <w:color w:val="0000FF"/>
          <w:sz w:val="24"/>
          <w:u w:val="single"/>
        </w:rPr>
        <w:t xml:space="preserve">(as such term is defined by any Compliance Authority) </w:t>
      </w:r>
      <w:r>
        <w:rPr>
          <w:rFonts w:ascii="Times New Roman;serif" w:hAnsi="Times New Roman;serif"/>
          <w:b w:val="false"/>
          <w:color w:val="000000"/>
          <w:sz w:val="24"/>
        </w:rPr>
        <w:t xml:space="preserve">a Person described in </w:t>
      </w:r>
      <w:r>
        <w:rPr>
          <w:rFonts w:ascii="Times New Roman;serif" w:hAnsi="Times New Roman;serif"/>
          <w:b w:val="false"/>
          <w:strike/>
          <w:color w:val="FF0000"/>
          <w:sz w:val="24"/>
          <w:u w:val="single"/>
        </w:rPr>
        <w:t>clause</w:t>
      </w:r>
      <w:r>
        <w:rPr>
          <w:rFonts w:ascii="Times New Roman;serif" w:hAnsi="Times New Roman;serif"/>
          <w:b w:val="false"/>
          <w:color w:val="0000FF"/>
          <w:sz w:val="24"/>
          <w:u w:val="single"/>
        </w:rPr>
        <w:t>clauses</w:t>
      </w:r>
      <w:r>
        <w:rPr>
          <w:color w:val="000000"/>
          <w:u w:val="single"/>
        </w:rPr>
        <w:t xml:space="preserve"> </w:t>
      </w:r>
      <w:r>
        <w:rPr>
          <w:rFonts w:ascii="Times New Roman;serif" w:hAnsi="Times New Roman;serif"/>
          <w:b w:val="false"/>
          <w:color w:val="000000"/>
          <w:sz w:val="24"/>
          <w:u w:val="single"/>
        </w:rPr>
        <w:t>(a</w:t>
      </w:r>
      <w:r>
        <w:rPr>
          <w:rFonts w:ascii="Times New Roman;serif" w:hAnsi="Times New Roman;serif"/>
          <w:b w:val="false"/>
          <w:color w:val="0000FF"/>
          <w:sz w:val="24"/>
          <w:u w:val="single"/>
        </w:rPr>
        <w:t>) and (b</w:t>
      </w:r>
      <w:r>
        <w:rPr>
          <w:rFonts w:ascii="Times New Roman;serif" w:hAnsi="Times New Roman;serif"/>
          <w:b w:val="false"/>
          <w:color w:val="000000"/>
          <w:sz w:val="24"/>
        </w:rPr>
        <w:t>) above.</w:t>
      </w:r>
      <w:r>
        <w:rPr>
          <w:strike/>
          <w:color w:val="FF0000"/>
        </w:rPr>
        <w:t xml:space="preserve"> </w:t>
      </w:r>
      <w:r>
        <w:rPr>
          <w:rFonts w:ascii="Times New Roman;serif" w:hAnsi="Times New Roman;serif"/>
          <w:b w:val="false"/>
          <w:strike/>
          <w:color w:val="FF0000"/>
          <w:sz w:val="24"/>
        </w:rPr>
        <w:t>For purposes of this definition, control of a Person means the direct or indirect (x) ownership of, or power to vote, 25.00%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val="false"/>
          <w:color w:val="0000FF"/>
          <w:sz w:val="24"/>
          <w:u w:val="single"/>
        </w:rPr>
        <w:t xml:space="preserve">Covered Property” means any property: (a) required to be reported as blocked property under 31 C.F.R. § 501.603, as amended; (b) </w:t>
      </w:r>
      <w:r>
        <w:rPr>
          <w:rFonts w:ascii="Times New Roman;serif" w:hAnsi="Times New Roman;serif"/>
          <w:b w:val="false"/>
          <w:color w:val="008000"/>
          <w:sz w:val="24"/>
          <w:u w:val="single"/>
        </w:rPr>
        <w:t>owned, directly or indirectly, by</w:t>
      </w:r>
      <w:r>
        <w:rPr>
          <w:rFonts w:ascii="Times New Roman;serif" w:hAnsi="Times New Roman;serif"/>
          <w:b w:val="false"/>
          <w:color w:val="0000FF"/>
          <w:sz w:val="24"/>
          <w:u w:val="single"/>
        </w:rPr>
        <w:t xml:space="preserve">, or due to or from, a Sanctioned Person subject to blocking or comprehensive Sanctions; </w:t>
      </w:r>
      <w:r>
        <w:rPr>
          <w:rFonts w:ascii="Times New Roman;serif" w:hAnsi="Times New Roman;serif"/>
          <w:b w:val="false"/>
          <w:color w:val="008000"/>
          <w:sz w:val="24"/>
          <w:u w:val="single"/>
        </w:rPr>
        <w:t xml:space="preserve">(c) in which a Sanctioned Person </w:t>
      </w:r>
      <w:r>
        <w:rPr>
          <w:rFonts w:ascii="Times New Roman;serif" w:hAnsi="Times New Roman;serif"/>
          <w:b w:val="false"/>
          <w:color w:val="0000FF"/>
          <w:sz w:val="24"/>
          <w:u w:val="single"/>
        </w:rPr>
        <w:t xml:space="preserve">subject to blocking or comprehensive Sanctions </w:t>
      </w:r>
      <w:r>
        <w:rPr>
          <w:rFonts w:ascii="Times New Roman;serif" w:hAnsi="Times New Roman;serif"/>
          <w:b w:val="false"/>
          <w:color w:val="008000"/>
          <w:sz w:val="24"/>
          <w:u w:val="single"/>
        </w:rPr>
        <w:t xml:space="preserve">otherwise holds any interest; (d) </w:t>
      </w:r>
      <w:r>
        <w:rPr>
          <w:rFonts w:ascii="Times New Roman;serif" w:hAnsi="Times New Roman;serif"/>
          <w:b w:val="false"/>
          <w:color w:val="0000FF"/>
          <w:sz w:val="24"/>
          <w:u w:val="single"/>
        </w:rPr>
        <w:t xml:space="preserve">located or originated in, or otherwise subject to restrictions due to its ties to, a </w:t>
      </w:r>
      <w:r>
        <w:rPr>
          <w:rFonts w:ascii="Times New Roman;serif" w:hAnsi="Times New Roman;serif"/>
          <w:b w:val="false"/>
          <w:color w:val="008000"/>
          <w:sz w:val="24"/>
          <w:u w:val="single"/>
        </w:rPr>
        <w:t xml:space="preserve">Sanctioned Jurisdiction; or (e) that otherwise would cause </w:t>
      </w:r>
      <w:r>
        <w:rPr>
          <w:rFonts w:ascii="Times New Roman;serif" w:hAnsi="Times New Roman;serif"/>
          <w:b w:val="false"/>
          <w:color w:val="0000FF"/>
          <w:sz w:val="24"/>
          <w:u w:val="single"/>
        </w:rPr>
        <w:t xml:space="preserve">a violation by the Purchasers or the Administrative Agent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FF"/>
          <w:sz w:val="24"/>
          <w:u w:val="single"/>
        </w:rPr>
        <w:t xml:space="preserve">applicable International Trade </w:t>
      </w:r>
      <w:r>
        <w:rPr>
          <w:rFonts w:ascii="Times New Roman;serif" w:hAnsi="Times New Roman;serif"/>
          <w:b w:val="false"/>
          <w:color w:val="008000"/>
          <w:sz w:val="24"/>
          <w:u w:val="single"/>
        </w:rPr>
        <w:t xml:space="preserve">Law if the Purchasers or the Administrative Agent were to obtain an encumbrance on, lien on, pledge of, </w:t>
      </w:r>
      <w:r>
        <w:rPr>
          <w:rFonts w:ascii="Times New Roman;serif" w:hAnsi="Times New Roman;serif"/>
          <w:b w:val="false"/>
          <w:color w:val="0000FF"/>
          <w:sz w:val="24"/>
          <w:u w:val="single"/>
        </w:rPr>
        <w:t xml:space="preserve">ownership interest in </w:t>
      </w:r>
      <w:r>
        <w:rPr>
          <w:rFonts w:ascii="Times New Roman;serif" w:hAnsi="Times New Roman;serif"/>
          <w:b w:val="false"/>
          <w:color w:val="008000"/>
          <w:sz w:val="24"/>
          <w:u w:val="single"/>
        </w:rPr>
        <w:t>or security interest in such property, or provide services in consideration of such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and Collection Policy</w:t>
      </w:r>
      <w:r>
        <w:rPr>
          <w:color w:val="000000"/>
        </w:rPr>
        <w:t xml:space="preserve">” </w:t>
      </w:r>
      <w:r>
        <w:rPr>
          <w:rFonts w:ascii="Times New Roman;serif" w:hAnsi="Times New Roman;serif"/>
          <w:b w:val="false"/>
          <w:color w:val="000000"/>
          <w:sz w:val="24"/>
        </w:rPr>
        <w:t>means the receivables credit and collection policies and practices of the SPV Entity-Related Parties as in effect on the Closing Date as provided to the Administrative Agent prior to the Closing Date, as modified in compliance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1M SOFR</w:t>
      </w:r>
      <w:r>
        <w:rPr>
          <w:color w:val="000000"/>
        </w:rPr>
        <w:t xml:space="preserve">” </w:t>
      </w:r>
      <w:r>
        <w:rPr>
          <w:rFonts w:ascii="Times New Roman;serif" w:hAnsi="Times New Roman;serif"/>
          <w:b w:val="false"/>
          <w:color w:val="000000"/>
          <w:sz w:val="24"/>
        </w:rPr>
        <w:t xml:space="preserve">means, for any day, the rate per annum determined by the Administrative Agent (rounded upwards, at the Administrative Agent’s discretion, to the nearest 1/100th of 1%) equal to the Term SOFR Reference Rate for such day for a one (1) month period, as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Daily 1M SOFR, determined as provided above, would be less than the SOFR Floor, then Daily 1M SOFR shall be deemed to be the SOFR Floor. Such rate of interest will be adjusted automatically as of each Business Day based on changes in Daily 1M SOFR without notice to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Report</w:t>
      </w:r>
      <w:r>
        <w:rPr>
          <w:color w:val="000000"/>
        </w:rPr>
        <w:t xml:space="preserve">” </w:t>
      </w:r>
      <w:r>
        <w:rPr>
          <w:rFonts w:ascii="Times New Roman;serif" w:hAnsi="Times New Roman;serif"/>
          <w:b w:val="false"/>
          <w:color w:val="000000"/>
          <w:sz w:val="24"/>
        </w:rPr>
        <w:t xml:space="preserve">means a report regarding the Pool Receivables and the transactions contemplated hereby, substantially in the form of </w:t>
      </w:r>
      <w:r>
        <w:rPr>
          <w:rFonts w:ascii="Times New Roman;serif" w:hAnsi="Times New Roman;serif"/>
          <w:b w:val="false"/>
          <w:color w:val="000000"/>
          <w:sz w:val="24"/>
          <w:u w:val="single"/>
        </w:rPr>
        <w:t>Exhibit E-2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the interest rate per annum determined by the Administrative Agent (rounded upwards, at the Administrative Agent’s discretion, to the nearest 1/100th of 1%) equal to SOFR for the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w:t>
      </w:r>
      <w:r>
        <w:rPr>
          <w:rFonts w:ascii="Times New Roman;serif" w:hAnsi="Times New Roman;serif"/>
          <w:b w:val="false"/>
          <w:strike/>
          <w:color w:val="FF0000"/>
          <w:sz w:val="24"/>
        </w:rPr>
        <w:t xml:space="preserve">currently </w:t>
      </w:r>
      <w:r>
        <w:rPr>
          <w:rFonts w:ascii="Times New Roman;serif" w:hAnsi="Times New Roman;serif"/>
          <w:b w:val="false"/>
          <w:color w:val="000000"/>
          <w:sz w:val="24"/>
        </w:rPr>
        <w:t xml:space="preserve">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Seller, effective on the date of any such 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Data Protection Laws</w:t>
      </w:r>
      <w:r>
        <w:rPr>
          <w:color w:val="000000"/>
        </w:rPr>
        <w:t xml:space="preserve">” </w:t>
      </w:r>
      <w:r>
        <w:rPr>
          <w:rFonts w:ascii="Times New Roman;serif" w:hAnsi="Times New Roman;serif"/>
          <w:b w:val="false"/>
          <w:color w:val="000000"/>
          <w:sz w:val="24"/>
        </w:rPr>
        <w:t>means (a) in relation to the European Economic Area and the United Kingdom, the EU General Data Protection Regulation (2016/679) (“</w:t>
      </w:r>
      <w:r>
        <w:rPr>
          <w:rFonts w:ascii="Times New Roman;serif" w:hAnsi="Times New Roman;serif"/>
          <w:b w:val="false"/>
          <w:color w:val="000000"/>
          <w:sz w:val="24"/>
          <w:u w:val="single"/>
        </w:rPr>
        <w:t>GDPR</w:t>
      </w:r>
      <w:r>
        <w:rPr>
          <w:color w:val="000000"/>
        </w:rPr>
        <w:t>”</w:t>
      </w:r>
      <w:r>
        <w:rPr>
          <w:rFonts w:ascii="Times New Roman;serif" w:hAnsi="Times New Roman;serif"/>
          <w:b w:val="false"/>
          <w:color w:val="000000"/>
          <w:sz w:val="24"/>
        </w:rPr>
        <w:t xml:space="preserve">), national legislation implementing and supplementing the GDPR and implementing the Directive on Privacy and Electronic Communications (2002/58/EC), the GDPR as it forms part of the laws of England and Wales, Scotland and Northern Ireland by virtue of section 3 of the European Union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(Withdrawal) Act 2018 and the UK Data Protection Act 2018 and any supplementary legislation as the same may be amended, superseded or replaced from time to time; and (b) in relation to other applicable jurisdictions, all laws and regulations in those jurisdictions relating to the processing of personal data and/or protection of privacy as the same may be amended, superseded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Days’ Sales Outstanding</w:t>
      </w:r>
      <w:r>
        <w:rPr>
          <w:color w:val="000000"/>
        </w:rPr>
        <w:t xml:space="preserve">” </w:t>
      </w:r>
      <w:r>
        <w:rPr>
          <w:rFonts w:ascii="Times New Roman;serif" w:hAnsi="Times New Roman;serif"/>
          <w:b w:val="false"/>
          <w:color w:val="000000"/>
          <w:sz w:val="24"/>
        </w:rPr>
        <w:t xml:space="preserve">means, for any Fiscal Month, an amount computed as of the last day of such Fiscal Month equal to: (a) the average of the aggregate Outstanding Balance of all Pool Receivables (other than Unbilled Receivables) as of the last day of each of the three most recent Fiscal Months ended on the last day of such Fiscal Month,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(i) the aggregate initial Outstanding Balance of all Pool Receivables (other than Unbilled Receivables) generated by the Originators during the three most recent Fiscal Months ended on the last day of such Fiscal Month,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(ii) 90.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Debtor Relief Laws</w:t>
      </w:r>
      <w:r>
        <w:rPr>
          <w:color w:val="000000"/>
        </w:rPr>
        <w:t xml:space="preserve">” </w:t>
      </w:r>
      <w:r>
        <w:rPr>
          <w:rFonts w:ascii="Times New Roman;serif" w:hAnsi="Times New Roman;serif"/>
          <w:b w:val="false"/>
          <w:color w:val="000000"/>
          <w:sz w:val="24"/>
        </w:rPr>
        <w:t xml:space="preserve">means the Bankruptcy Code, the Bankruptcy and Insolvency Act (Canada), the Companies’ Creditors Arrangement Act (Canada), the Winding-up and Restructuring Act (Canada), the UK Insolvency Act, and all other liquidation, conservatorship, bankruptcy, assignment for the benefit of creditors, moratorium, rearrangement, receivership, insolvency, reorganization, arrangement or similar debtor relief Laws of the United States, Canada or other applicable jurisdictions from time to time in effect, including, for greater certainty, any applicable corporations legislation relating to the compromise, settlement, adjustment or arrangement of debt.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Deemed Collections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3.01(d)</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 Ratio</w:t>
      </w:r>
      <w:r>
        <w:rPr>
          <w:color w:val="000000"/>
        </w:rPr>
        <w:t xml:space="preserve">” </w:t>
      </w:r>
      <w:r>
        <w:rPr>
          <w:rFonts w:ascii="Times New Roman;serif" w:hAnsi="Times New Roman;serif"/>
          <w:b w:val="false"/>
          <w:color w:val="000000"/>
          <w:sz w:val="24"/>
        </w:rPr>
        <w:t xml:space="preserve">means the ratio (expressed as a percentage and rounded to the nearest 1/100th of 1%, with 5/1000th of 1% rounded upward) computed as of the last day of each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aggregate Outstanding Balance of all Pool Receivables that became Defaulted Receivables during such Fiscal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aggregate initial Outstanding Balance of all Pool Receivables generated by the Originators during the month that is six (6) Fiscal Months before such Fiscal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Defaulted Receivable</w:t>
      </w:r>
      <w:r>
        <w:rPr>
          <w:color w:val="000000"/>
        </w:rPr>
        <w:t xml:space="preserve">” </w:t>
      </w:r>
      <w:r>
        <w:rPr>
          <w:rFonts w:ascii="Times New Roman;serif" w:hAnsi="Times New Roman;serif"/>
          <w:b w:val="false"/>
          <w:color w:val="000000"/>
          <w:sz w:val="24"/>
        </w:rPr>
        <w:t>means a Receivable (without duplication):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as to which any payment, or part thereof, remains unpaid for more than 150 days from the original due date for such payment;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as to which a Relief Proceeding shall have occurred with respect to the Obligor thereof or any other Person obligated thereon or owning any Related Security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that has been written off the applicable Originator’s, Canadian Guarantor’s or the Seller’s books as uncollectible; or</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that, consistent with the Credit and Collection Policy, should be written off the applicable Originator’s, the Canadian Guarantor’s or the Seller’s books as uncollectible;</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each case above such amount shall be calculated without giving effect to any netting of credits that have not been matched to a particular Receivable for the purposes of aged trial balance reporting.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Defaulting Purchaser</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2.06(b)</w:t>
      </w:r>
      <w:r>
        <w:rPr>
          <w:rFonts w:ascii="Times New Roman;serif" w:hAnsi="Times New Roman;serif"/>
          <w:b w:val="false"/>
          <w:color w:val="000000"/>
          <w:sz w:val="24"/>
        </w:rPr>
        <w:t xml:space="preserve">, any Purchaser that (a) has failed to (i) fund all or any portion of its Investments within two </w:t>
      </w:r>
      <w:r>
        <w:rPr>
          <w:rFonts w:ascii="Times New Roman;serif" w:hAnsi="Times New Roman;serif"/>
          <w:b w:val="false"/>
          <w:color w:val="0000FF"/>
          <w:sz w:val="24"/>
          <w:u w:val="single"/>
        </w:rPr>
        <w:t xml:space="preserve">(2) </w:t>
      </w:r>
      <w:r>
        <w:rPr>
          <w:rFonts w:ascii="Times New Roman;serif" w:hAnsi="Times New Roman;serif"/>
          <w:b w:val="false"/>
          <w:color w:val="000000"/>
          <w:sz w:val="24"/>
        </w:rPr>
        <w:t xml:space="preserve">Business Days of the date such Investments were required to be funded hereunder unless such Purchaser notifies the Administrative Agent and the Seller in writing that such failure is the result of such Purchaser’s determination that one or more conditions precedent to funding (each of which conditions precedent, together with any applicable default, shall be specifically identified in such writing) has not been satisfied, or (ii) pay to the Administrative Agent or any other Purchaser any other amount required to be paid by it hereunder within two </w:t>
      </w:r>
      <w:r>
        <w:rPr>
          <w:rFonts w:ascii="Times New Roman;serif" w:hAnsi="Times New Roman;serif"/>
          <w:b w:val="false"/>
          <w:color w:val="0000FF"/>
          <w:sz w:val="24"/>
          <w:u w:val="single"/>
        </w:rPr>
        <w:t xml:space="preserve">(2) </w:t>
      </w:r>
      <w:r>
        <w:rPr>
          <w:rFonts w:ascii="Times New Roman;serif" w:hAnsi="Times New Roman;serif"/>
          <w:b w:val="false"/>
          <w:color w:val="000000"/>
          <w:sz w:val="24"/>
        </w:rPr>
        <w:t>Business Days of the date when due, (b) has notified the Seller or the Administrative Agent in writing that it does not intend to comply with its funding obligations hereunder, or has made a public statement to that effect (unless such writing or public statement relates to such Purchaser’s obligation to fund an Investment hereunder and states that such position is based on such Purchaser’s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Seller, to confirm in writing to the Administrative Agent and the Seller that it will comply with its prospective funding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Purchaser shall cease to be a Defaulting Purchaser pursuant to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upon receipt of such written confirmation by the Administrative Agent and the Seller),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Purchaser shall not be a Defaulting Purchaser solely by virtue of the ownership or acquisition of any equity interest in that Purchaser or any direct or indirect parent company thereof by an Official Body so long as such ownership interest does not result in or provide such Purchaser with immunity from the jurisdiction of courts within the United States or from the enforcement of judgments or writs of attachment on its assets or permit such Purchaser (or such Official Body) to reject, repudiate, disavow or disaffirm any contracts or agreements made with such Purchaser. Any determination by the Administrative Agent that a Purchaser is a Defaulting Purchaser under any one or more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above shall be conclusive and binding absent manifest error, and such Purchaser shall be deemed to be a Defaulting Purchaser (subject to </w:t>
      </w:r>
      <w:r>
        <w:rPr>
          <w:rFonts w:ascii="Times New Roman;serif" w:hAnsi="Times New Roman;serif"/>
          <w:b w:val="false"/>
          <w:color w:val="000000"/>
          <w:sz w:val="24"/>
          <w:u w:val="single"/>
        </w:rPr>
        <w:t>Section 2.06(b)</w:t>
      </w:r>
      <w:r>
        <w:rPr>
          <w:rFonts w:ascii="Times New Roman;serif" w:hAnsi="Times New Roman;serif"/>
          <w:b w:val="false"/>
          <w:color w:val="000000"/>
          <w:sz w:val="24"/>
        </w:rPr>
        <w:t>) upon delivery of written notice of such determination to the Seller and each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Delinquency Ratio</w:t>
      </w:r>
      <w:r>
        <w:rPr>
          <w:color w:val="000000"/>
        </w:rPr>
        <w:t xml:space="preserve">” </w:t>
      </w:r>
      <w:r>
        <w:rPr>
          <w:rFonts w:ascii="Times New Roman;serif" w:hAnsi="Times New Roman;serif"/>
          <w:b w:val="false"/>
          <w:color w:val="000000"/>
          <w:sz w:val="24"/>
        </w:rPr>
        <w:t xml:space="preserve">means the ratio (expressed as a percentage and rounded to the nearest 1/100th of 1%, with 5/1000th of 1% rounded upward) computed as of the last day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aggregate Outstanding Balance of all Pool Receivables that were Delinquent Receivables on such day,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aggregate Outstanding Balance of all Pool Receivables on such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Delinquent Receivable</w:t>
      </w:r>
      <w:r>
        <w:rPr>
          <w:color w:val="000000"/>
        </w:rPr>
        <w:t xml:space="preserve">” </w:t>
      </w:r>
      <w:r>
        <w:rPr>
          <w:rFonts w:ascii="Times New Roman;serif" w:hAnsi="Times New Roman;serif"/>
          <w:b w:val="false"/>
          <w:color w:val="000000"/>
          <w:sz w:val="24"/>
        </w:rPr>
        <w:t xml:space="preserve">means a Receivable as to which any payment, or part thereof, remains unpaid for more than 90 days from the original due date for such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amount shall be calculated without giving effect to any netting of credits that have not been matched to a particular Receivable for the purposes of aged trial balance reporting.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3.01(d)(i)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Horizon Ratio</w:t>
      </w:r>
      <w:r>
        <w:rPr>
          <w:color w:val="000000"/>
        </w:rPr>
        <w:t xml:space="preserve">” </w:t>
      </w:r>
      <w:r>
        <w:rPr>
          <w:rFonts w:ascii="Times New Roman;serif" w:hAnsi="Times New Roman;serif"/>
          <w:b w:val="false"/>
          <w:color w:val="000000"/>
          <w:sz w:val="24"/>
        </w:rPr>
        <w:t xml:space="preserve">means, for any Fiscal Month, the ratio (expressed as a percentage and rounded to the nearest 1/100th of 1%, with 5/1000th of 1% rounded upward) computed as of the last day of such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sum of (i) the aggregate initial Outstanding Balance of all Pool Receivables generated by the Originators during such Fiscal Month,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aggregate initial Outstanding Balance of all Pool Receivables generated by the Originators during the preceding Fiscal Month,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Net Receivables Pool Balance as of the last day of such Fiscal Month. Within thirty (30) days of the completion and the receipt by the Administrative Agent of the results of any annual audit or field exam of the Receivables and the servicing and origination practices of the Servicers and the Originators, the numerator of the Dilution Horizon Ratio may be adjusted by the Administrative Agent upon not less than ten (10) Business Days’ notice to the Seller to reflect such number of Fiscal Months as the Administrative Agent reasonably believes best reflects the business practices of the Servicers and the Originators and the actual amount of Dilution and Deemed Collections that occur with respect to Pool Receivables based on the weighted average dilution lag calculation completed as part of such audit or field exam.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Ratio</w:t>
      </w:r>
      <w:r>
        <w:rPr>
          <w:color w:val="000000"/>
        </w:rPr>
        <w:t xml:space="preserve">” </w:t>
      </w:r>
      <w:r>
        <w:rPr>
          <w:rFonts w:ascii="Times New Roman;serif" w:hAnsi="Times New Roman;serif"/>
          <w:b w:val="false"/>
          <w:color w:val="000000"/>
          <w:sz w:val="24"/>
        </w:rPr>
        <w:t xml:space="preserve">means, for any Fiscal Month, the ratio (expressed as a percentage and rounded to the nearest 1/100th of 1%, with 5/1000th of 1% rounded upward), computed as of the last day of each Fiscal Month by </w:t>
      </w:r>
      <w:r>
        <w:rPr>
          <w:rFonts w:ascii="Times New Roman;serif" w:hAnsi="Times New Roman;serif"/>
          <w:b w:val="false"/>
          <w:color w:val="000000"/>
          <w:sz w:val="24"/>
          <w:u w:val="single"/>
        </w:rPr>
        <w:t>dividing</w:t>
      </w:r>
      <w:r>
        <w:rPr>
          <w:rFonts w:ascii="Times New Roman;serif" w:hAnsi="Times New Roman;serif"/>
          <w:b w:val="false"/>
          <w:color w:val="000000"/>
          <w:sz w:val="24"/>
        </w:rPr>
        <w:t xml:space="preserve">: (a) the aggregate amount of Dilution during the </w:t>
      </w:r>
      <w:r>
        <w:rPr>
          <w:rFonts w:ascii="Times New Roman;serif" w:hAnsi="Times New Roman;serif"/>
          <w:b w:val="false"/>
          <w:color w:val="0000FF"/>
          <w:sz w:val="24"/>
          <w:u w:val="single"/>
        </w:rPr>
        <w:t xml:space="preserve">immediately preceding </w:t>
      </w:r>
      <w:r>
        <w:rPr>
          <w:rFonts w:ascii="Times New Roman;serif" w:hAnsi="Times New Roman;serif"/>
          <w:b w:val="false"/>
          <w:color w:val="000000"/>
          <w:sz w:val="24"/>
        </w:rPr>
        <w:t>Fiscal Month</w:t>
      </w:r>
      <w:r>
        <w:rPr>
          <w:strike/>
          <w:color w:val="008000"/>
        </w:rPr>
        <w:t xml:space="preserve"> </w:t>
      </w:r>
      <w:r>
        <w:rPr>
          <w:rFonts w:ascii="Times New Roman;serif" w:hAnsi="Times New Roman;serif"/>
          <w:b w:val="false"/>
          <w:strike/>
          <w:color w:val="008000"/>
          <w:sz w:val="24"/>
        </w:rPr>
        <w:t xml:space="preserve">that is two (2) Fiscal Months before such </w:t>
      </w:r>
      <w:r>
        <w:rPr>
          <w:rFonts w:ascii="Times New Roman;serif" w:hAnsi="Times New Roman;serif"/>
          <w:b w:val="false"/>
          <w:strike/>
          <w:color w:val="FF0000"/>
          <w:sz w:val="24"/>
        </w:rPr>
        <w:t>Fiscal Month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aggregate initial Outstanding Balance of all Pool Receivables generated by the Originators during the </w:t>
      </w:r>
      <w:r>
        <w:rPr>
          <w:rFonts w:ascii="Times New Roman;serif" w:hAnsi="Times New Roman;serif"/>
          <w:b w:val="false"/>
          <w:strike/>
          <w:color w:val="FF0000"/>
          <w:sz w:val="24"/>
        </w:rPr>
        <w:t xml:space="preserve">prior </w:t>
      </w:r>
      <w:r>
        <w:rPr>
          <w:rFonts w:ascii="Times New Roman;serif" w:hAnsi="Times New Roman;serif"/>
          <w:b w:val="false"/>
          <w:color w:val="0000FF"/>
          <w:sz w:val="24"/>
          <w:u w:val="single"/>
        </w:rPr>
        <w:t xml:space="preserve">Fiscal Month </w:t>
      </w:r>
      <w:r>
        <w:rPr>
          <w:rFonts w:ascii="Times New Roman;serif" w:hAnsi="Times New Roman;serif"/>
          <w:b w:val="false"/>
          <w:color w:val="008000"/>
          <w:sz w:val="24"/>
          <w:u w:val="single"/>
        </w:rPr>
        <w:t xml:space="preserve">that is two (2) Fiscal Months before such </w:t>
      </w:r>
      <w:r>
        <w:rPr>
          <w:rFonts w:ascii="Times New Roman;serif" w:hAnsi="Times New Roman;serif"/>
          <w:b w:val="false"/>
          <w:color w:val="000000"/>
          <w:sz w:val="24"/>
        </w:rPr>
        <w:t>Fiscal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Reserve Percentage</w:t>
      </w:r>
      <w:r>
        <w:rPr>
          <w:color w:val="000000"/>
        </w:rPr>
        <w:t xml:space="preserve">” </w:t>
      </w:r>
      <w:r>
        <w:rPr>
          <w:rFonts w:ascii="Times New Roman;serif" w:hAnsi="Times New Roman;serif"/>
          <w:b w:val="false"/>
          <w:color w:val="000000"/>
          <w:sz w:val="24"/>
        </w:rPr>
        <w:t xml:space="preserve">means, at any time, the product (expressed as a percentage and rounded to the nearest 1/100th of 1%, with 5/1000th of 1% rounded upward) of (a) the Dilution Horizon Ratio,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(b) the sum of (x) 2.25 times the average of the Dilution Ratios for the twelve (12) most recent Fiscal Months and (y) the Dilution Volatility Component.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Dilution Volatility Component</w:t>
      </w:r>
      <w:r>
        <w:rPr>
          <w:color w:val="000000"/>
        </w:rPr>
        <w:t xml:space="preserve">” </w:t>
      </w:r>
      <w:r>
        <w:rPr>
          <w:rFonts w:ascii="Times New Roman;serif" w:hAnsi="Times New Roman;serif"/>
          <w:b w:val="false"/>
          <w:color w:val="000000"/>
          <w:sz w:val="24"/>
        </w:rPr>
        <w:t>means, for any Fiscal Month, the product (expressed as a percentage</w:t>
      </w:r>
      <w:r>
        <w:rPr>
          <w:rFonts w:ascii="Times New Roman;serif" w:hAnsi="Times New Roman;serif"/>
          <w:b w:val="false"/>
          <w:strike/>
          <w:color w:val="FF0000"/>
          <w:sz w:val="24"/>
        </w:rPr>
        <w:t xml:space="preserve">) </w:t>
      </w:r>
      <w:r>
        <w:rPr>
          <w:rFonts w:ascii="Times New Roman;serif" w:hAnsi="Times New Roman;serif"/>
          <w:b w:val="false"/>
          <w:color w:val="000000"/>
          <w:sz w:val="24"/>
        </w:rPr>
        <w:t>and rounded to the nearest 1/100th of 1%, with 5/1000th of 1% rounded upward) of:</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positive difference, if any, between: (i) the highest Dilution Ratio for any Fiscal Month during the twelve (12) most recent Fiscal Months and (ii) the average of the Dilution Ratios for such twelve (12) Fiscal Months;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quotient of (i) the highest Dilution Ratio for any Fiscal Month during the twelve (12) most recent Fiscal Months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(ii) the average of the Dilution Ratios for such twelve (12) Fiscal Months.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 Equivalent</w:t>
      </w:r>
      <w:r>
        <w:rPr>
          <w:color w:val="000000"/>
        </w:rPr>
        <w:t xml:space="preserve">” </w:t>
      </w:r>
      <w:r>
        <w:rPr>
          <w:rFonts w:ascii="Times New Roman;serif" w:hAnsi="Times New Roman;serif"/>
          <w:b w:val="false"/>
          <w:color w:val="000000"/>
          <w:sz w:val="24"/>
        </w:rPr>
        <w:t xml:space="preserve">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Bloomberg (or such other publicly available source for displaying exchange rates as determined by the Administrative Agent from time to time in its commercially reasonable discretion) on the date which is one (1) Business Day immediately preceding the date of determination (or if such service ceases to be available or ceases to provide such rate of exchange and no reasonably equivalent source is publicly available,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Any determination by the Administrative Agent pursuant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above shall be conclusive absent manifest error.</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val="false"/>
          <w:color w:val="0000FF"/>
          <w:sz w:val="24"/>
          <w:u w:val="single"/>
        </w:rPr>
        <w:t xml:space="preserve">Dollar,” </w:t>
      </w:r>
      <w:r>
        <w:rPr>
          <w:color w:val="000000"/>
        </w:rPr>
        <w:t>“</w:t>
      </w:r>
      <w:r>
        <w:rPr>
          <w:rFonts w:ascii="Times New Roman;serif" w:hAnsi="Times New Roman;serif"/>
          <w:b w:val="false"/>
          <w:color w:val="000000"/>
          <w:sz w:val="24"/>
          <w:u w:val="single"/>
        </w:rPr>
        <w:t>Dollars</w:t>
      </w:r>
      <w:r>
        <w:rPr>
          <w:rFonts w:ascii="Times New Roman;serif" w:hAnsi="Times New Roman;serif"/>
          <w:b w:val="false"/>
          <w:color w:val="0000FF"/>
          <w:sz w:val="24"/>
          <w:u w:val="single"/>
        </w:rPr>
        <w:t>,” “U.S. Dollars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FF"/>
          <w:sz w:val="24"/>
          <w:u w:val="single"/>
        </w:rPr>
        <w:t xml:space="preserve">the symbol </w:t>
      </w:r>
      <w:r>
        <w:rPr>
          <w:color w:val="000000"/>
        </w:rPr>
        <w:t>“</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FF"/>
          <w:sz w:val="24"/>
          <w:u w:val="single"/>
        </w:rPr>
        <w:t xml:space="preserve">means, in </w:t>
      </w:r>
      <w:r>
        <w:rPr>
          <w:rFonts w:ascii="Times New Roman;serif" w:hAnsi="Times New Roman;serif"/>
          <w:b w:val="false"/>
          <w:color w:val="000000"/>
          <w:sz w:val="24"/>
        </w:rPr>
        <w:t xml:space="preserve">each </w:t>
      </w:r>
      <w:r>
        <w:rPr>
          <w:rFonts w:ascii="Times New Roman;serif" w:hAnsi="Times New Roman;serif"/>
          <w:b w:val="false"/>
          <w:strike/>
          <w:color w:val="FF0000"/>
          <w:sz w:val="24"/>
        </w:rPr>
        <w:t>mean</w:t>
      </w:r>
      <w:r>
        <w:rPr>
          <w:rFonts w:ascii="Times New Roman;serif" w:hAnsi="Times New Roman;serif"/>
          <w:b w:val="false"/>
          <w:color w:val="0000FF"/>
          <w:sz w:val="24"/>
          <w:u w:val="single"/>
        </w:rPr>
        <w:t>case</w:t>
      </w:r>
      <w:r>
        <w:rPr>
          <w:color w:val="000000"/>
        </w:rPr>
        <w:t xml:space="preserve"> </w:t>
      </w:r>
      <w:r>
        <w:rPr>
          <w:rFonts w:ascii="Times New Roman;serif" w:hAnsi="Times New Roman;serif"/>
          <w:b w:val="false"/>
          <w:color w:val="000000"/>
          <w:sz w:val="24"/>
        </w:rPr>
        <w:t xml:space="preserve">the lawful </w:t>
      </w:r>
      <w:r>
        <w:rPr>
          <w:rFonts w:ascii="Times New Roman;serif" w:hAnsi="Times New Roman;serif"/>
          <w:b w:val="false"/>
          <w:strike/>
          <w:color w:val="FF0000"/>
          <w:sz w:val="24"/>
        </w:rPr>
        <w:t>money</w:t>
      </w:r>
      <w:r>
        <w:rPr>
          <w:rFonts w:ascii="Times New Roman;serif" w:hAnsi="Times New Roman;serif"/>
          <w:b w:val="false"/>
          <w:color w:val="0000FF"/>
          <w:sz w:val="24"/>
          <w:u w:val="single"/>
        </w:rPr>
        <w:t>currency</w:t>
      </w:r>
      <w:r>
        <w:rPr>
          <w:color w:val="000000"/>
        </w:rPr>
        <w:t xml:space="preserve"> </w:t>
      </w:r>
      <w:r>
        <w:rPr>
          <w:rFonts w:ascii="Times New Roman;serif" w:hAnsi="Times New Roman;serif"/>
          <w:b w:val="false"/>
          <w:color w:val="000000"/>
          <w:sz w:val="24"/>
        </w:rPr>
        <w:t>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DPO Event</w:t>
      </w:r>
      <w:r>
        <w:rPr>
          <w:color w:val="000000"/>
        </w:rPr>
        <w:t xml:space="preserve">” </w:t>
      </w:r>
      <w:r>
        <w:rPr>
          <w:rFonts w:ascii="Times New Roman;serif" w:hAnsi="Times New Roman;serif"/>
          <w:b w:val="false"/>
          <w:color w:val="000000"/>
          <w:sz w:val="24"/>
        </w:rPr>
        <w:t>means, and shall be deemed to have occurred and to be continuing at any time if, the AWS Days Payable Outstanding is greater than 60.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Federal Funds Rate</w:t>
      </w:r>
      <w:r>
        <w:rPr>
          <w:color w:val="000000"/>
        </w:rPr>
        <w:t xml:space="preserve">” </w:t>
      </w:r>
      <w:r>
        <w:rPr>
          <w:rFonts w:ascii="Times New Roman;serif" w:hAnsi="Times New Roman;serif"/>
          <w:b w:val="false"/>
          <w:color w:val="000000"/>
          <w:sz w:val="24"/>
        </w:rPr>
        <w:t xml:space="preserve">means for any day the rate per annum (based on a year of 360 days and actual days elapsed and rounded upward to the nearest 1/100 of 1% announced by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Assignee</w:t>
      </w:r>
      <w:r>
        <w:rPr>
          <w:color w:val="000000"/>
        </w:rPr>
        <w:t xml:space="preserve">” </w:t>
      </w:r>
      <w:r>
        <w:rPr>
          <w:rFonts w:ascii="Times New Roman;serif" w:hAnsi="Times New Roman;serif"/>
          <w:b w:val="false"/>
          <w:color w:val="000000"/>
          <w:sz w:val="24"/>
        </w:rPr>
        <w:t xml:space="preserve">means any Person that meets the requirements to be an assignee under </w:t>
      </w:r>
      <w:r>
        <w:rPr>
          <w:rFonts w:ascii="Times New Roman;serif" w:hAnsi="Times New Roman;serif"/>
          <w:b w:val="false"/>
          <w:color w:val="000000"/>
          <w:sz w:val="24"/>
          <w:u w:val="single"/>
        </w:rPr>
        <w:t>Section 12.06(b)(iv)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 xml:space="preserve">(subject to such consents, if any, as may be required under </w:t>
      </w:r>
      <w:r>
        <w:rPr>
          <w:rFonts w:ascii="Times New Roman;serif" w:hAnsi="Times New Roman;serif"/>
          <w:b w:val="false"/>
          <w:color w:val="000000"/>
          <w:sz w:val="24"/>
          <w:u w:val="single"/>
        </w:rPr>
        <w:t>Section 12.06(b)(iii)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Currency</w:t>
      </w:r>
      <w:r>
        <w:rPr>
          <w:color w:val="000000"/>
        </w:rPr>
        <w:t xml:space="preserve">” </w:t>
      </w:r>
      <w:r>
        <w:rPr>
          <w:rFonts w:ascii="Times New Roman;serif" w:hAnsi="Times New Roman;serif"/>
          <w:b w:val="false"/>
          <w:color w:val="000000"/>
          <w:sz w:val="24"/>
        </w:rPr>
        <w:t>means each of Dollars, Euro, Canadian Dollars, Australian Dollars and Sterling.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Foreign Obligor</w:t>
      </w:r>
      <w:r>
        <w:rPr>
          <w:color w:val="000000"/>
        </w:rPr>
        <w:t xml:space="preserve">” </w:t>
      </w:r>
      <w:r>
        <w:rPr>
          <w:rFonts w:ascii="Times New Roman;serif" w:hAnsi="Times New Roman;serif"/>
          <w:b w:val="false"/>
          <w:color w:val="000000"/>
          <w:sz w:val="24"/>
        </w:rPr>
        <w:t>means an Obligor that is organized in or that has a head office (domicile), registered office, and chief executive office located in a country other than the United States of America that is not a Sanctioned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Receivable</w:t>
      </w:r>
      <w:r>
        <w:rPr>
          <w:color w:val="000000"/>
        </w:rPr>
        <w:t xml:space="preserve">” </w:t>
      </w:r>
      <w:r>
        <w:rPr>
          <w:rFonts w:ascii="Times New Roman;serif" w:hAnsi="Times New Roman;serif"/>
          <w:b w:val="false"/>
          <w:color w:val="000000"/>
          <w:sz w:val="24"/>
        </w:rPr>
        <w:t>means, at any time, a Pool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Obligor of which is: (i) a U.S. Obligor or an Eligible Foreign Obligor; (ii) not an Official Body (other than a U.S. federal, state or local Official Body); (iii) not a Sanctioned Person; (iv) not an Affiliate of any SPV Entity-Related Party; (v) not the Obligor with respect to Delinquent Receivables with an aggregate Outstanding Balance exceeding 50.00% of the aggregate Outstanding Balance of all such Obligor’s Pool Receivables; (vi) not a natural person and (vii) not a material supplier to any Originator or an Affiliate of a material supplier;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for which a Relief Proceeding shall not have occurred with respect to the Obligor thereof or any other Person obligated thereon or owning any Related Security with respect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that is denominated and payable only in Dollars in the United States of America or an Alternative Currency in the United Kingdom, Canada or Switzerland, and the Obligor with respect to which has been instructed to remit Collections in respect thereof directly to a Lock-Box or Collection Account in the applicable currency, and if such Receivable is a Canadian Receivable, such Receivable is not payable into a bank account located in the Province of Quebec;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that does not have a due date which is more than 120 days after the original invoice date of such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that (i) arises under a Contract for the sale of goods or services in the ordinary course of the applicable Originator’s business and (ii) does not constitute a loan or other similar financial accommodation being provided by the applicable Originator;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that arises under a duly authorized Contract that (i) is in full force and effect, (ii) is governed by the law of the United States of America or of any State thereof (in the case of a U.S. Receivable), of England and Wales (in the case of a UK Receivable or a Swiss Receivable), of Canada or any province or territory thereof (in the case of a Canadian Receivable) or of Switzerland (in the case of a Swiss Receivable), (iii) is a legal, valid and binding obligation of the related Obligor, enforceable against such Obligor in accordance with its terms, except as such enforceability may be limited by applicable bankruptcy, insolvency, reorganization, restructuring, arrangement or other similar laws affecting the enforcement of creditors’ rights generally and by general principles of equity regardless of whether enforceability is considered in a proceeding in equity or at law and (iv) the payments thereunder are free and clear of any withholding Taxes; provided, however, that in the case of a Receivable of a U.S. Obligor (other than an Obligor located in Puerto Rico or the U.S. Virgin Islands) or a Canadian bank if any withholding Taxes affect only a portion of the Outstanding Balance of such Receivable, then such Receivable may be deemed an Eligible Receivable to the extent of the portion of such Outstanding Balance which is not so affected;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that has either (x) been first transferred by a U.S. Originator to the Aggregator pursuant to the First Tier Transfer Agreement, (y) originated by the Aggregator and, in either case, is then transferred by the Aggregator to the Seller pursuant to the Second Tier Transfer Agreement, or (z) (i) originated by a Canadian Originator and transferred to the Canadian Guarantor pursuant to the Canadian Transfer Agreement, (ii) originated by a UK Originator and transferred to the Seller pursuant to the UK Transfer Agreement, or (iii) originated by a Swiss Originator and transferred to the Seller pursuant to the Swiss Transfer Agreement, and with respect to which transfer all conditions precedent under the applicable Transfer Agreement have been met;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with respect to which all consents, licenses, approvals or authorizations of, or registrations or declarations with or notices to, any Official Body or other Person required to be obtained, effected or given by an Originator in connection with the creation of such Receivable, the execution, delivery and performance by such Originator of the related Contract or the assignment thereof under the applicable Transfer Agreement have been duly obtained, effected or given and are in full force and effect, and, if required by the applicable Contract giving rise to such Receivable, the consent of the applicable Obligor under such Contract (such consent, “</w:t>
      </w:r>
      <w:r>
        <w:rPr>
          <w:rFonts w:ascii="Times New Roman;serif" w:hAnsi="Times New Roman;serif"/>
          <w:b w:val="false"/>
          <w:color w:val="000000"/>
          <w:sz w:val="24"/>
          <w:u w:val="single"/>
        </w:rPr>
        <w:t>Foreign Obligor Consent</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(j)    that is not subject to any existing dispute, claim, litigation, right of rescission, set-off, counterclaim, any other defense against the applicable Originator (or any assignee of such Originator) or Adverse Claim other than Permitted Adverse Claims, and the Obligor of which holds no right as against the applicable Originator to cause such Originator to repurchase the goods or merchandise, the sale of which shall have given rise to such Receivable;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such dispute, offset, counterclaim or defense affects only a portion of the Outstanding Balance of such Receivable, then such Receivable may be deemed an Eligible Receivable to the extent of the portion of such Outstanding Balance which is not so affected;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that satisfies all applicable requirements of the Credit and Collection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(l)    that, together with the Contract related thereto, has not been modified, waived or restructured since its creation, except as permitted pursuant to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in which the Seller, or the Canadian Guarantor with respect to Canadian Receivables, owns good and marketable title, free and clear of any Adverse Claims other than Permitted Adverse Claims, and that is freely assignable (including without any consent of the related Obligor or any Official Body unless such consent has been obtained); provided that where the applicable Law renders any prohibition on assignment unenforceable, no such consent/notice will be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for which the Administrative Agent (on behalf of the Secured Parties) shall have a valid and enforceable first priority perfected security interest therein and in the Related Security and Collections with respect thereto, in each case free and clear of any Adverse Claim other than Permitted Adverse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if such Receivable is (i) a U.S. Receivable, that (x) constitutes an “account” or “general intangible” (as defined in the UCC), (y) is not evidenced by instruments or chattel paper and (z) does not constitute, or arise from the sale of, as-extracted collateral (as defined in the UCC) and (ii) a Canadian Receivable, (x) constitutes an “account” (as defined in the PPSA), (y) is not evidenced by an “instrument” or “chattel paper” (each as defined it the PPSA) and (z) does not arise from the sale of “minerals” (as defined in the PPSA);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that is neither a Defaulted Receivable nor a Delinquent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for which no SPV Entity-Related Party has established any offset or netting arrangements (including customer deposits and advance payments (including payments relating to unearned revenues)) with the related Obligor in connection with the ordinary course of payment of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(r)    that represents amounts earned and payable by the Obligor that are not subject to the performance of additional services by the Originator thereof or by the Seller and the related goods or merchandise shall have been shipped and/or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performed;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only the portion of such Pool Receivable subject to the performance of additional services by the Originator or by the Seller shall be ineligible;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which does not relate to the sale of any consigned goods or finished goods which have incorporated any consigned goods into such finished goods;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    for which the related Originator has recognized the related revenue on its financial books and records in accordance with GAAP;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for which neither the related Originator nor any Affiliate thereof is holding any deposits received by or on behalf of the related Obligor;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only the portion of such Pool Receivable in an amount equal to such deposits shall be ineligible;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    that, if such Receivable is an Unbilled Receivable, it is an Eligible Unbilled Receivable;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    that, if such Receivable is a Foreign Originator Pool Receivable, (i) that is a UK Receivable, the conditions set forth in </w:t>
      </w:r>
      <w:r>
        <w:rPr>
          <w:rFonts w:ascii="Times New Roman;serif" w:hAnsi="Times New Roman;serif"/>
          <w:b w:val="false"/>
          <w:color w:val="000000"/>
          <w:sz w:val="24"/>
          <w:u w:val="single"/>
        </w:rPr>
        <w:t>Section 7.04(a)(i) and (ii)</w:t>
      </w:r>
      <w:r>
        <w:rPr>
          <w:color w:val="000000"/>
        </w:rPr>
        <w:t xml:space="preserve"> </w:t>
      </w:r>
      <w:r>
        <w:rPr>
          <w:rFonts w:ascii="Times New Roman;serif" w:hAnsi="Times New Roman;serif"/>
          <w:b w:val="false"/>
          <w:color w:val="000000"/>
          <w:sz w:val="24"/>
        </w:rPr>
        <w:t xml:space="preserve">have been satisfied or (ii) that is a Swiss Receivable, the conditions set forth in </w:t>
      </w:r>
      <w:r>
        <w:rPr>
          <w:rFonts w:ascii="Times New Roman;serif" w:hAnsi="Times New Roman;serif"/>
          <w:b w:val="false"/>
          <w:color w:val="000000"/>
          <w:sz w:val="24"/>
          <w:u w:val="single"/>
        </w:rPr>
        <w:t>Section 7.04(a)(i) and (iii)</w:t>
      </w:r>
      <w:r>
        <w:rPr>
          <w:color w:val="000000"/>
        </w:rPr>
        <w:t xml:space="preserve"> </w:t>
      </w:r>
      <w:r>
        <w:rPr>
          <w:rFonts w:ascii="Times New Roman;serif" w:hAnsi="Times New Roman;serif"/>
          <w:b w:val="false"/>
          <w:color w:val="000000"/>
          <w:sz w:val="24"/>
        </w:rPr>
        <w:t>have been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Unbilled Receivable</w:t>
      </w:r>
      <w:r>
        <w:rPr>
          <w:color w:val="000000"/>
        </w:rPr>
        <w:t xml:space="preserve">” </w:t>
      </w:r>
      <w:r>
        <w:rPr>
          <w:rFonts w:ascii="Times New Roman;serif" w:hAnsi="Times New Roman;serif"/>
          <w:b w:val="false"/>
          <w:color w:val="000000"/>
          <w:sz w:val="24"/>
        </w:rPr>
        <w:t>means, at any time, any Unbilled Receivable if (a) the related Originator has recognized the related revenue on its financial books and records under GAAP, and (b) not more than (i) 30 days have expired since such Unbilled Receivable arose with respect to Unbilled Receivables originated by any Obligor other than Texas DIR or (ii) 60 days have expired since such Unbilled Receivable arose with respect to Unbilled Receivables originated by Texas DIR.</w:t>
      </w:r>
    </w:p>
    <w:p>
      <w:pPr>
        <w:pStyle w:val="TextBody"/>
        <w:bidi w:val="0"/>
        <w:spacing w:lineRule="auto" w:line="288" w:before="0" w:after="240"/>
        <w:ind w:left="0" w:right="0" w:firstLine="720"/>
        <w:jc w:val="both"/>
        <w:rPr/>
      </w:pPr>
      <w:r>
        <w:rPr>
          <w:strike/>
          <w:color w:val="FF0000"/>
        </w:rPr>
        <w:t>“</w:t>
      </w:r>
      <w:r>
        <w:rPr>
          <w:rFonts w:ascii="Times New Roman;serif" w:hAnsi="Times New Roman;serif"/>
          <w:b w:val="false"/>
          <w:strike/>
          <w:color w:val="FF0000"/>
          <w:sz w:val="24"/>
          <w:u w:val="single"/>
        </w:rPr>
        <w:t>Embargoed Property</w:t>
      </w:r>
      <w:r>
        <w:rPr>
          <w:strike/>
          <w:color w:val="FF0000"/>
        </w:rPr>
        <w:t xml:space="preserve">” </w:t>
      </w:r>
      <w:r>
        <w:rPr>
          <w:rFonts w:ascii="Times New Roman;serif" w:hAnsi="Times New Roman;serif"/>
          <w:b w:val="false"/>
          <w:strike/>
          <w:color w:val="FF0000"/>
          <w:sz w:val="24"/>
        </w:rPr>
        <w:t xml:space="preserve">means any property; (a) beneficially </w:t>
      </w:r>
      <w:r>
        <w:rPr>
          <w:rFonts w:ascii="Times New Roman;serif" w:hAnsi="Times New Roman;serif"/>
          <w:b w:val="false"/>
          <w:strike/>
          <w:color w:val="008000"/>
          <w:sz w:val="24"/>
        </w:rPr>
        <w:t xml:space="preserve">owned, directly or indirectly, by </w:t>
      </w:r>
      <w:r>
        <w:rPr>
          <w:rFonts w:ascii="Times New Roman;serif" w:hAnsi="Times New Roman;serif"/>
          <w:b w:val="false"/>
          <w:strike/>
          <w:color w:val="FF0000"/>
          <w:sz w:val="24"/>
        </w:rPr>
        <w:t xml:space="preserve">a Sanctioned Person; (b) that is due to or from a Sanctioned Person; </w:t>
      </w:r>
      <w:r>
        <w:rPr>
          <w:rFonts w:ascii="Times New Roman;serif" w:hAnsi="Times New Roman;serif"/>
          <w:b w:val="false"/>
          <w:strike/>
          <w:color w:val="008000"/>
          <w:sz w:val="24"/>
        </w:rPr>
        <w:t xml:space="preserve">(c) in which a Sanctioned Person otherwise holds any interest; (d) </w:t>
      </w:r>
      <w:r>
        <w:rPr>
          <w:rFonts w:ascii="Times New Roman;serif" w:hAnsi="Times New Roman;serif"/>
          <w:b w:val="false"/>
          <w:strike/>
          <w:color w:val="FF0000"/>
          <w:sz w:val="24"/>
        </w:rPr>
        <w:t xml:space="preserve">that is located in a </w:t>
      </w:r>
      <w:r>
        <w:rPr>
          <w:rFonts w:ascii="Times New Roman;serif" w:hAnsi="Times New Roman;serif"/>
          <w:b w:val="false"/>
          <w:strike/>
          <w:color w:val="008000"/>
          <w:sz w:val="24"/>
        </w:rPr>
        <w:t xml:space="preserve">Sanctioned Jurisdiction; or (e) that otherwise would cause </w:t>
      </w:r>
      <w:r>
        <w:rPr>
          <w:rFonts w:ascii="Times New Roman;serif" w:hAnsi="Times New Roman;serif"/>
          <w:b w:val="false"/>
          <w:strike/>
          <w:color w:val="FF0000"/>
          <w:sz w:val="24"/>
        </w:rPr>
        <w:t xml:space="preserve">any actual or possible violation by any Purchaser Party of any applicable Anti-Terrorism </w:t>
      </w:r>
      <w:r>
        <w:rPr>
          <w:rFonts w:ascii="Times New Roman;serif" w:hAnsi="Times New Roman;serif"/>
          <w:b w:val="false"/>
          <w:strike/>
          <w:color w:val="008000"/>
          <w:sz w:val="24"/>
        </w:rPr>
        <w:t>Law if the Purchasers or the Administrative Agent were to obtain an encumbrance on, lien on, pledge of, or security interest in such property, or provide services in consideration of such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 xml:space="preserve">means, with respect to any Person, all of the shares or units of capital stock of (or other ownership or profit interests in) such Person, all of the warrants, options or other rights for the purchase or acquisition from such Person of shares of capital stock of (or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or units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means (a) with respect to a Pension Plan, a reportable event under Section 4043 of ERISA as to which event (after taking into account notice waivers provided for in the regulations) there is a duty to give notice to the PBGC; (b) a withdrawal by the Seller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Seller or any member of the ERISA Group from a Multiemployer Plan, notification that a Multiemployer Plan is insolvent,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the Seller or any member of the ERISA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Group</w:t>
      </w:r>
      <w:r>
        <w:rPr>
          <w:color w:val="000000"/>
        </w:rPr>
        <w:t xml:space="preserve">” </w:t>
      </w:r>
      <w:r>
        <w:rPr>
          <w:rFonts w:ascii="Times New Roman;serif" w:hAnsi="Times New Roman;serif"/>
          <w:b w:val="false"/>
          <w:color w:val="000000"/>
          <w:sz w:val="24"/>
        </w:rPr>
        <w:t>means, at any time, the Seller and all members of a controlled group of corporations and all trades or businesses (whether or not incorporated) under common control and all other entities which, together with the Seller, are treated as a single employer under Section 414 of the Code or Section 4001(b)(1)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Euro</w:t>
      </w:r>
      <w:r>
        <w:rPr>
          <w:color w:val="000000"/>
        </w:rPr>
        <w:t xml:space="preserve">” </w:t>
      </w:r>
      <w:r>
        <w:rPr>
          <w:rFonts w:ascii="Times New Roman;serif" w:hAnsi="Times New Roman;serif"/>
          <w:b w:val="false"/>
          <w:color w:val="000000"/>
          <w:sz w:val="24"/>
        </w:rPr>
        <w:t>or “</w:t>
      </w:r>
      <w:r>
        <w:rPr>
          <w:color w:val="000000"/>
          <w:u w:val="single"/>
        </w:rPr>
        <w:t>€</w:t>
      </w:r>
      <w:r>
        <w:rPr>
          <w:color w:val="000000"/>
        </w:rPr>
        <w:t xml:space="preserve">” </w:t>
      </w:r>
      <w:r>
        <w:rPr>
          <w:rFonts w:ascii="Times New Roman;serif" w:hAnsi="Times New Roman;serif"/>
          <w:b w:val="false"/>
          <w:color w:val="000000"/>
          <w:sz w:val="24"/>
        </w:rPr>
        <w:t>mean the lawful currency of the Participating Member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means any of the events described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For the avoidance of doubt, any Event of Default that occurs shall be deemed to be continuing at all times thereafter unless and until waived in accordance with </w:t>
      </w:r>
      <w:r>
        <w:rPr>
          <w:rFonts w:ascii="Times New Roman;serif" w:hAnsi="Times New Roman;serif"/>
          <w:b w:val="false"/>
          <w:color w:val="000000"/>
          <w:sz w:val="24"/>
          <w:u w:val="single"/>
        </w:rPr>
        <w:t>Section 12.01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Excess Concentration</w:t>
      </w:r>
      <w:r>
        <w:rPr>
          <w:color w:val="000000"/>
        </w:rPr>
        <w:t xml:space="preserve">” </w:t>
      </w:r>
      <w:r>
        <w:rPr>
          <w:rFonts w:ascii="Times New Roman;serif" w:hAnsi="Times New Roman;serif"/>
          <w:b w:val="false"/>
          <w:color w:val="000000"/>
          <w:sz w:val="24"/>
        </w:rPr>
        <w:t>means the sum of the following amounts, without duplication: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sum of the amounts calculated for each of the Obligors equal to the excess (if any) of (x) the aggregate Outstanding Balance of the Eligible Receivables of such Obligor, </w:t>
      </w:r>
      <w:r>
        <w:rPr>
          <w:rFonts w:ascii="Times New Roman;serif" w:hAnsi="Times New Roman;serif"/>
          <w:b w:val="false"/>
          <w:color w:val="000000"/>
          <w:sz w:val="24"/>
          <w:u w:val="single"/>
        </w:rPr>
        <w:t>over</w:t>
      </w:r>
      <w:r>
        <w:rPr>
          <w:color w:val="000000"/>
        </w:rPr>
        <w:t xml:space="preserve"> </w:t>
      </w:r>
      <w:r>
        <w:rPr>
          <w:rFonts w:ascii="Times New Roman;serif" w:hAnsi="Times New Roman;serif"/>
          <w:b w:val="false"/>
          <w:color w:val="000000"/>
          <w:sz w:val="24"/>
        </w:rPr>
        <w:t xml:space="preserve">(y) the product of (A) such Obligor’s Concentration Percentage,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the excess (if any) of (a) the aggregate Outstanding Balance of all Canadian Dollars denominated Receivables, over (b) the product of (x) 5.00%,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the excess (if any) of (a) the aggregate Outstanding Balance of all GBP denominated Receivables, over (b) the product of (x) 15.00%,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the excess (if any) of (a) the aggregate Outstanding Balance of all Euro denominated Receivables, over (b) the product of (x) 5.00%,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the excess (if any) of (a) the aggregate Outstanding Balance of all Australian Dollars denominated Receivables, over (b) the product of (x) 2.50%,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the excess (if any) of (a) the aggregate Outstanding Balance of all Eligible Unbilled Receivables (excluding Eligible Unbilled Receivables the </w:t>
      </w:r>
      <w:r>
        <w:rPr>
          <w:rFonts w:ascii="Times New Roman;serif" w:hAnsi="Times New Roman;serif"/>
          <w:b w:val="false"/>
          <w:strike/>
          <w:color w:val="FF0000"/>
          <w:sz w:val="24"/>
        </w:rPr>
        <w:t>Obligor</w:t>
      </w:r>
      <w:r>
        <w:rPr>
          <w:rFonts w:ascii="Times New Roman;serif" w:hAnsi="Times New Roman;serif"/>
          <w:b w:val="false"/>
          <w:color w:val="0000FF"/>
          <w:sz w:val="24"/>
          <w:u w:val="single"/>
        </w:rPr>
        <w:t>Obligors</w:t>
      </w:r>
      <w:r>
        <w:rPr>
          <w:color w:val="000000"/>
        </w:rPr>
        <w:t xml:space="preserve"> </w:t>
      </w:r>
      <w:r>
        <w:rPr>
          <w:rFonts w:ascii="Times New Roman;serif" w:hAnsi="Times New Roman;serif"/>
          <w:b w:val="false"/>
          <w:color w:val="000000"/>
          <w:sz w:val="24"/>
        </w:rPr>
        <w:t xml:space="preserve">of which </w:t>
      </w:r>
      <w:r>
        <w:rPr>
          <w:rFonts w:ascii="Times New Roman;serif" w:hAnsi="Times New Roman;serif"/>
          <w:b w:val="false"/>
          <w:strike/>
          <w:color w:val="FF0000"/>
          <w:sz w:val="24"/>
        </w:rPr>
        <w:t>is Texas DIR</w:t>
      </w:r>
      <w:r>
        <w:rPr>
          <w:rFonts w:ascii="Times New Roman;serif" w:hAnsi="Times New Roman;serif"/>
          <w:b w:val="false"/>
          <w:color w:val="0000FF"/>
          <w:sz w:val="24"/>
          <w:u w:val="single"/>
        </w:rPr>
        <w:t>are U.S. federal, state and local government entities</w:t>
      </w:r>
      <w:r>
        <w:rPr>
          <w:rFonts w:ascii="Times New Roman;serif" w:hAnsi="Times New Roman;serif"/>
          <w:b w:val="false"/>
          <w:color w:val="000000"/>
          <w:sz w:val="24"/>
        </w:rPr>
        <w:t xml:space="preserve">) over (b) the product of (x) 45.00%,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    the excess (if any) of (a) the aggregate Outstanding Balance of all Eligible Receivables the Obligors of which are U.S. federal, state and local government entities,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over (b) the product of (x) 15.00%,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(viii)    the excess (if any) of (a) the aggregate Outstanding Balance of all Eligible Receivables with payment terms from 91 days to 120 days, over (b) the product of (x) 2.50%,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(ix)    the excess (if any) of (a) the aggregate Outstanding Balance of all Eligible Receivables the Obligors of which are Eligible Foreign Obligors domiciled in a country with a credit rating below “BBB-“ or “Baa3”, by S&amp;P and Moody’s, respectively, over (b) the product of (x) 2.00%, multiplied by (y) the aggregate Outstanding Balance of all Eligible Receivables then in the Receivables Pool; </w:t>
      </w:r>
      <w:r>
        <w:rPr>
          <w:rFonts w:ascii="Times New Roman;serif" w:hAnsi="Times New Roman;serif"/>
          <w:b w:val="false"/>
          <w:color w:val="000000"/>
          <w:sz w:val="24"/>
          <w:u w:val="single"/>
        </w:rPr>
        <w:t>plus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the excess (if any) of (a) the aggregate Outstanding Balance of all Eligible Receivables the Obligors of which are Eligible Foreign Obligors domiciled in a country with a credit rating of at least “BBB-“ or “Baa3”, by S&amp;P and Moody’s, respectively, over (b) the product of (x) 35.00%, multiplied by (y) the aggregate Outstanding Balance of all Eligible Receivables then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Purchaser, its applicable Lending Office located in, the jurisdiction imposing such Tax (or any political subdivision thereof) or (ii) that are Other Connection Taxes, (b) in the case of a Purchaser, U.S. federal withholding Taxes imposed on amounts payable to or for the account of such Purchaser with respect to an applicable interest in an Investment or Commitment pursuant to a law in effect on the date on which (i) such Purchaser acquires such interest in such Investment or Commitment (other than pursuant to an assignment request by the Seller under </w:t>
      </w:r>
      <w:r>
        <w:rPr>
          <w:rFonts w:ascii="Times New Roman;serif" w:hAnsi="Times New Roman;serif"/>
          <w:b w:val="false"/>
          <w:color w:val="000000"/>
          <w:sz w:val="24"/>
          <w:u w:val="single"/>
        </w:rPr>
        <w:t>Section 4.04</w:t>
      </w:r>
      <w:r>
        <w:rPr>
          <w:rFonts w:ascii="Times New Roman;serif" w:hAnsi="Times New Roman;serif"/>
          <w:b w:val="false"/>
          <w:color w:val="000000"/>
          <w:sz w:val="24"/>
        </w:rPr>
        <w:t xml:space="preserve">) or (ii) such Purchaser changes its lending office, except in each case to the extent that, pursuant to </w:t>
      </w:r>
      <w:r>
        <w:rPr>
          <w:rFonts w:ascii="Times New Roman;serif" w:hAnsi="Times New Roman;serif"/>
          <w:b w:val="false"/>
          <w:color w:val="000000"/>
          <w:sz w:val="24"/>
          <w:u w:val="single"/>
        </w:rPr>
        <w:t>Section 4.03(g)</w:t>
      </w:r>
      <w:r>
        <w:rPr>
          <w:rFonts w:ascii="Times New Roman;serif" w:hAnsi="Times New Roman;serif"/>
          <w:b w:val="false"/>
          <w:color w:val="000000"/>
          <w:sz w:val="24"/>
        </w:rPr>
        <w:t xml:space="preserve">, amounts with respect to such Taxes were payable either to such Purchaser’s assignor immediately before such Purchaser became a party hereto or to such Purchaser immediately before it changed its lending office, (c) Taxes attributable to such Recipient’s failure to comply with </w:t>
      </w:r>
      <w:r>
        <w:rPr>
          <w:rFonts w:ascii="Times New Roman;serif" w:hAnsi="Times New Roman;serif"/>
          <w:b w:val="false"/>
          <w:color w:val="000000"/>
          <w:sz w:val="24"/>
          <w:u w:val="single"/>
        </w:rPr>
        <w:t>Section 4.03(g)</w:t>
      </w:r>
      <w:r>
        <w:rPr>
          <w:rFonts w:ascii="Times New Roman;serif" w:hAnsi="Times New Roman;serif"/>
          <w:b w:val="false"/>
          <w:color w:val="000000"/>
          <w:sz w:val="24"/>
        </w:rPr>
        <w:t>, (d) any U.S. federal withholding Taxes imposed under FATCA, and (e) Canadian federal Tax required to be deducted or withheld under Part XIII of the ITA on payments to or for the account of a Recipient as a result of (at the time of such payment): (i) the Recipient not dealing at arm’s length with a Canadian Originator within the meaning of the ITA, (ii) the Recipient being a “specified non-resident shareholder” of a Canadian Originator or not dealing at arm’s length with a “specified shareholder” of a Canadian Originator as defined in subsection 18(5) of the ITA, or (iii) the Recipient being a “specified entity” (as defined in subsection 18.4(1) of the ITA, as it is proposed to be amended by a certain Notice of Ways and Means Motion tabled in the Canadian federal Parliament on November 28, 2023) in respect of a Canadian Originator</w:t>
      </w:r>
      <w:r>
        <w:rPr>
          <w:color w:val="000000"/>
        </w:rPr>
        <w:t xml:space="preserve"> </w:t>
      </w:r>
      <w:r>
        <w:rPr>
          <w:rFonts w:ascii="Times New Roman;serif" w:hAnsi="Times New Roman;serif"/>
          <w:b w:val="false"/>
          <w:color w:val="000000"/>
          <w:sz w:val="24"/>
        </w:rPr>
        <w:t xml:space="preserve">(in respect of (i) through (iii) other than where the non-arm’s length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relationship arises, or where the Recipient is a “specified non-resident shareholder”, does not deal at arm’s length with a “specified shareholder”, or is a “specified entity”, as a result of an Affected Person having become party to, received or perfected a security interest under or received or enforced any rights, under, any Transaction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Limit</w:t>
      </w:r>
      <w:r>
        <w:rPr>
          <w:color w:val="000000"/>
        </w:rPr>
        <w:t xml:space="preserve">” </w:t>
      </w:r>
      <w:r>
        <w:rPr>
          <w:rFonts w:ascii="Times New Roman;serif" w:hAnsi="Times New Roman;serif"/>
          <w:b w:val="false"/>
          <w:color w:val="000000"/>
          <w:sz w:val="24"/>
        </w:rPr>
        <w:t xml:space="preserve">means $300,000,000 as reduced from time to time pursuant to </w:t>
      </w:r>
      <w:r>
        <w:rPr>
          <w:rFonts w:ascii="Times New Roman;serif" w:hAnsi="Times New Roman;serif"/>
          <w:b w:val="false"/>
          <w:color w:val="000000"/>
          <w:sz w:val="24"/>
          <w:u w:val="single"/>
        </w:rPr>
        <w:t>Section 2.02(e)</w:t>
      </w:r>
      <w:r>
        <w:rPr>
          <w:color w:val="0000FF"/>
          <w:u w:val="single"/>
        </w:rPr>
        <w:t xml:space="preserve"> </w:t>
      </w:r>
      <w:r>
        <w:rPr>
          <w:rFonts w:ascii="Times New Roman;serif" w:hAnsi="Times New Roman;serif"/>
          <w:b w:val="false"/>
          <w:color w:val="0000FF"/>
          <w:sz w:val="24"/>
          <w:u w:val="single"/>
        </w:rPr>
        <w:t>or</w:t>
      </w:r>
      <w:r>
        <w:rPr>
          <w:color w:val="0000FF"/>
          <w:u w:val="single"/>
        </w:rPr>
        <w:t xml:space="preserve"> </w:t>
      </w:r>
      <w:r>
        <w:rPr>
          <w:rFonts w:ascii="Times New Roman;serif" w:hAnsi="Times New Roman;serif"/>
          <w:b w:val="false"/>
          <w:color w:val="0000FF"/>
          <w:sz w:val="24"/>
          <w:u w:val="single"/>
        </w:rPr>
        <w:t>increased from time to time pursuant to Section 2.02(h)</w:t>
      </w:r>
      <w:r>
        <w:rPr>
          <w:rFonts w:ascii="Times New Roman;serif" w:hAnsi="Times New Roman;serif"/>
          <w:b w:val="false"/>
          <w:color w:val="000000"/>
          <w:sz w:val="24"/>
        </w:rPr>
        <w:t xml:space="preserve">. References to the unused portion of the Facility Limit mean, at any time, an amount equal to (x) the Facility Limit at such time,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(y) the Aggregate Capital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Federal Reserve Board</w:t>
      </w:r>
      <w:r>
        <w:rPr>
          <w:color w:val="000000"/>
        </w:rPr>
        <w:t xml:space="preserve">” </w:t>
      </w:r>
      <w:r>
        <w:rPr>
          <w:rFonts w:ascii="Times New Roman;serif" w:hAnsi="Times New Roman;serif"/>
          <w:b w:val="false"/>
          <w:color w:val="000000"/>
          <w:sz w:val="24"/>
        </w:rPr>
        <w:t>means the Board of Governors of the Federal Reserve System, or any entity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Fees</w:t>
      </w:r>
      <w:r>
        <w:rPr>
          <w:color w:val="000000"/>
        </w:rPr>
        <w:t xml:space="preserve">” </w:t>
      </w:r>
      <w:r>
        <w:rPr>
          <w:rFonts w:ascii="Times New Roman;serif" w:hAnsi="Times New Roman;serif"/>
          <w:b w:val="false"/>
          <w:color w:val="000000"/>
          <w:sz w:val="24"/>
        </w:rPr>
        <w:t xml:space="preserve">has the meaning specified in </w:t>
      </w:r>
      <w:r>
        <w:rPr>
          <w:rFonts w:ascii="Times New Roman;serif" w:hAnsi="Times New Roman;serif"/>
          <w:b w:val="false"/>
          <w:color w:val="000000"/>
          <w:sz w:val="24"/>
          <w:u w:val="single"/>
        </w:rPr>
        <w:t>Section 2.03(a)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Maturity Date</w:t>
      </w:r>
      <w:r>
        <w:rPr>
          <w:color w:val="000000"/>
        </w:rPr>
        <w:t xml:space="preserve">” </w:t>
      </w:r>
      <w:r>
        <w:rPr>
          <w:rFonts w:ascii="Times New Roman;serif" w:hAnsi="Times New Roman;serif"/>
          <w:b w:val="false"/>
          <w:color w:val="000000"/>
          <w:sz w:val="24"/>
        </w:rPr>
        <w:t>means the earlier to occur of (a) the date that is 60 days following the Scheduled Termination Date, and (b) the Termination Date unless such Termination Date occurs solely as a result of the Scheduled Termination Date’s occurrence.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Final Payout Date</w:t>
      </w:r>
      <w:r>
        <w:rPr>
          <w:color w:val="000000"/>
        </w:rPr>
        <w:t xml:space="preserve">” </w:t>
      </w:r>
      <w:r>
        <w:rPr>
          <w:rFonts w:ascii="Times New Roman;serif" w:hAnsi="Times New Roman;serif"/>
          <w:b w:val="false"/>
          <w:color w:val="000000"/>
          <w:sz w:val="24"/>
        </w:rPr>
        <w:t>means the date on or after the Termination Date when (i) the Aggregate Capital and Aggregate Yield have been paid in full, (ii) all Seller Obligations shall have been paid in full and (iii) all other amounts owing to the Secured Parties and any other SPV Entity Indemnified Party or Affected Person hereunder and under the other Transaction Documents have been paid in full.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First Amendment Effective Date</w:t>
      </w:r>
      <w:r>
        <w:rPr>
          <w:color w:val="000000"/>
        </w:rPr>
        <w:t xml:space="preserve">” </w:t>
      </w:r>
      <w:r>
        <w:rPr>
          <w:rFonts w:ascii="Times New Roman;serif" w:hAnsi="Times New Roman;serif"/>
          <w:b w:val="false"/>
          <w:color w:val="000000"/>
          <w:sz w:val="24"/>
        </w:rPr>
        <w:t>means February 12, 2024.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First Lien Credit Agreement</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strike/>
          <w:color w:val="FF0000"/>
          <w:sz w:val="24"/>
        </w:rPr>
        <w:t xml:space="preserve">Third Amended and Restated </w:t>
      </w:r>
      <w:r>
        <w:rPr>
          <w:rFonts w:ascii="Times New Roman;serif" w:hAnsi="Times New Roman;serif"/>
          <w:b w:val="false"/>
          <w:color w:val="000000"/>
          <w:sz w:val="24"/>
        </w:rPr>
        <w:t xml:space="preserve">First Lien Credit Agreement, dated as of </w:t>
      </w:r>
      <w:r>
        <w:rPr>
          <w:rFonts w:ascii="Times New Roman;serif" w:hAnsi="Times New Roman;serif"/>
          <w:b w:val="false"/>
          <w:strike/>
          <w:color w:val="FF0000"/>
          <w:sz w:val="24"/>
        </w:rPr>
        <w:t>February 9</w:t>
      </w:r>
      <w:r>
        <w:rPr>
          <w:rFonts w:ascii="Times New Roman;serif" w:hAnsi="Times New Roman;serif"/>
          <w:b w:val="false"/>
          <w:color w:val="0000FF"/>
          <w:sz w:val="24"/>
          <w:u w:val="single"/>
        </w:rPr>
        <w:t>March 12</w:t>
      </w:r>
      <w:r>
        <w:rPr>
          <w:rFonts w:ascii="Times New Roman;serif" w:hAnsi="Times New Roman;serif"/>
          <w:b w:val="false"/>
          <w:color w:val="000000"/>
          <w:sz w:val="24"/>
        </w:rPr>
        <w:t xml:space="preserve">, </w:t>
      </w:r>
      <w:r>
        <w:rPr>
          <w:rFonts w:ascii="Times New Roman;serif" w:hAnsi="Times New Roman;serif"/>
          <w:b w:val="false"/>
          <w:strike/>
          <w:color w:val="FF0000"/>
          <w:sz w:val="24"/>
        </w:rPr>
        <w:t>2021</w:t>
      </w:r>
      <w:r>
        <w:rPr>
          <w:rFonts w:ascii="Times New Roman;serif" w:hAnsi="Times New Roman;serif"/>
          <w:b w:val="false"/>
          <w:color w:val="0000FF"/>
          <w:sz w:val="24"/>
          <w:u w:val="single"/>
        </w:rPr>
        <w:t>2024</w:t>
      </w:r>
      <w:r>
        <w:rPr>
          <w:rFonts w:ascii="Times New Roman;serif" w:hAnsi="Times New Roman;serif"/>
          <w:b w:val="false"/>
          <w:color w:val="000000"/>
          <w:sz w:val="24"/>
        </w:rPr>
        <w:t xml:space="preserve">, among </w:t>
      </w:r>
      <w:r>
        <w:rPr>
          <w:rFonts w:ascii="Times New Roman;serif" w:hAnsi="Times New Roman;serif"/>
          <w:b w:val="false"/>
          <w:strike/>
          <w:color w:val="FF0000"/>
          <w:sz w:val="24"/>
        </w:rPr>
        <w:t>Inception Parent, Inc.,</w:t>
      </w:r>
      <w:r>
        <w:rPr>
          <w:rFonts w:ascii="Times New Roman;serif" w:hAnsi="Times New Roman;serif"/>
          <w:b w:val="false"/>
          <w:color w:val="0000FF"/>
          <w:sz w:val="24"/>
          <w:u w:val="single"/>
        </w:rPr>
        <w:t>Rackspace Finance Holdings, LLC,</w:t>
      </w:r>
      <w:r>
        <w:rPr>
          <w:color w:val="000000"/>
        </w:rPr>
        <w:t xml:space="preserve"> </w:t>
      </w:r>
      <w:r>
        <w:rPr>
          <w:rFonts w:ascii="Times New Roman;serif" w:hAnsi="Times New Roman;serif"/>
          <w:b w:val="false"/>
          <w:color w:val="000000"/>
          <w:sz w:val="24"/>
        </w:rPr>
        <w:t xml:space="preserve">as holdings., Rackspace </w:t>
      </w:r>
      <w:r>
        <w:rPr>
          <w:rFonts w:ascii="Times New Roman;serif" w:hAnsi="Times New Roman;serif"/>
          <w:b w:val="false"/>
          <w:strike/>
          <w:color w:val="FF0000"/>
          <w:sz w:val="24"/>
        </w:rPr>
        <w:t>Technology Global, Inc.</w:t>
      </w:r>
      <w:r>
        <w:rPr>
          <w:rFonts w:ascii="Times New Roman;serif" w:hAnsi="Times New Roman;serif"/>
          <w:b w:val="false"/>
          <w:color w:val="0000FF"/>
          <w:sz w:val="24"/>
          <w:u w:val="single"/>
        </w:rPr>
        <w:t>Finance, LLC</w:t>
      </w:r>
      <w:r>
        <w:rPr>
          <w:rFonts w:ascii="Times New Roman;serif" w:hAnsi="Times New Roman;serif"/>
          <w:b w:val="false"/>
          <w:color w:val="000000"/>
          <w:sz w:val="24"/>
        </w:rPr>
        <w:t xml:space="preserve">, as borrower, the lenders and issuing banks party thereto and Citibank, N.A., as administrative agent and collateral agent. </w:t>
      </w:r>
    </w:p>
    <w:p>
      <w:pPr>
        <w:pStyle w:val="TextBody"/>
        <w:bidi w:val="0"/>
        <w:spacing w:lineRule="auto" w:line="288" w:before="0" w:after="240"/>
        <w:ind w:left="0" w:right="0" w:firstLine="720"/>
        <w:jc w:val="both"/>
        <w:rPr/>
      </w:pPr>
      <w:r>
        <w:rPr>
          <w:color w:val="0000FF"/>
          <w:u w:val="single"/>
        </w:rPr>
        <w:t>“</w:t>
      </w:r>
      <w:r>
        <w:rPr>
          <w:rFonts w:ascii="Times New Roman;serif" w:hAnsi="Times New Roman;serif"/>
          <w:b w:val="false"/>
          <w:color w:val="0000FF"/>
          <w:sz w:val="24"/>
          <w:u w:val="single"/>
        </w:rPr>
        <w:t xml:space="preserve">First Lien Earliest Maturity Date” means, at any date of determination, the earlier of: (a) the earliest then-scheduled maturity date of any Revolving Facility under the First Lien Credit Agreement, and (b) the then-scheduled maturity date of any principal outstanding under any revolving credit facility that refinances or replaces any such Revolving Facility. For purposes of this defined term, “Revolving Facility” shall have the meaning assigned to such term </w:t>
      </w:r>
      <w:r>
        <w:rPr>
          <w:rFonts w:ascii="Times New Roman;serif" w:hAnsi="Times New Roman;serif"/>
          <w:b w:val="false"/>
          <w:color w:val="008000"/>
          <w:sz w:val="24"/>
          <w:u w:val="single"/>
        </w:rPr>
        <w:t xml:space="preserve">in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8000"/>
          <w:sz w:val="24"/>
          <w:u w:val="single"/>
        </w:rPr>
        <w:t xml:space="preserve">Lien Credit Agreement </w:t>
      </w:r>
      <w:r>
        <w:rPr>
          <w:rFonts w:ascii="Times New Roman;serif" w:hAnsi="Times New Roman;serif"/>
          <w:b w:val="false"/>
          <w:color w:val="0000FF"/>
          <w:sz w:val="24"/>
          <w:u w:val="single"/>
        </w:rPr>
        <w:t xml:space="preserve">as in effect on the Third Amendment Effective Date without giving effect to any subsequent amendment, waiver or termination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First Tier Transfer Agreement</w:t>
      </w:r>
      <w:r>
        <w:rPr>
          <w:color w:val="000000"/>
        </w:rPr>
        <w:t xml:space="preserve">” </w:t>
      </w:r>
      <w:r>
        <w:rPr>
          <w:rFonts w:ascii="Times New Roman;serif" w:hAnsi="Times New Roman;serif"/>
          <w:b w:val="false"/>
          <w:color w:val="000000"/>
          <w:sz w:val="24"/>
        </w:rPr>
        <w:t>means that certain Sale Agreement, dated as of the Closing Date, among the U.S. Servicer, the U.S. Originators and the Aggregator,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Fiscal Month</w:t>
      </w:r>
      <w:r>
        <w:rPr>
          <w:color w:val="000000"/>
        </w:rPr>
        <w:t xml:space="preserve">” </w:t>
      </w:r>
      <w:r>
        <w:rPr>
          <w:rFonts w:ascii="Times New Roman;serif" w:hAnsi="Times New Roman;serif"/>
          <w:b w:val="false"/>
          <w:color w:val="000000"/>
          <w:sz w:val="24"/>
        </w:rPr>
        <w:t>means each calendar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Currency Reserve Percentage</w:t>
      </w:r>
      <w:r>
        <w:rPr>
          <w:color w:val="000000"/>
        </w:rPr>
        <w:t xml:space="preserve">” </w:t>
      </w:r>
      <w:r>
        <w:rPr>
          <w:rFonts w:ascii="Times New Roman;serif" w:hAnsi="Times New Roman;serif"/>
          <w:b w:val="false"/>
          <w:color w:val="000000"/>
          <w:sz w:val="24"/>
        </w:rPr>
        <w:t>means, at any time of determination, the sum for each Alternative Currency of the quotient, expressed as a percentage, of (a) the product of (i) the Outstanding Balance of all Receivables denominated in such Alternative Currency multiplied by (ii) the VaR Percentage for such Alternative Currency, divided by (b) the Net Receivables Pool Balance.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Obligor Consent</w:t>
      </w:r>
      <w:r>
        <w:rPr>
          <w:color w:val="000000"/>
        </w:rPr>
        <w:t xml:space="preserve">” </w:t>
      </w:r>
      <w:r>
        <w:rPr>
          <w:rFonts w:ascii="Times New Roman;serif" w:hAnsi="Times New Roman;serif"/>
          <w:b w:val="false"/>
          <w:color w:val="000000"/>
          <w:sz w:val="24"/>
        </w:rPr>
        <w:t>has the meaning set forth in clause (i) of the term “Eligible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Originator Account</w:t>
      </w:r>
      <w:r>
        <w:rPr>
          <w:color w:val="000000"/>
        </w:rPr>
        <w:t xml:space="preserve">” </w:t>
      </w:r>
      <w:r>
        <w:rPr>
          <w:rFonts w:ascii="Times New Roman;serif" w:hAnsi="Times New Roman;serif"/>
          <w:b w:val="false"/>
          <w:color w:val="000000"/>
          <w:sz w:val="24"/>
        </w:rPr>
        <w:t xml:space="preserve">means each of the accounts (and any related lock-box or post office box) specified in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as a “Foreign Originator Account” in the name of the UK Originator, a Swiss Originator or a Canadian Originator, as applicable, and maintained at a Foreign Originator Account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Originator Account Bank</w:t>
      </w:r>
      <w:r>
        <w:rPr>
          <w:color w:val="000000"/>
        </w:rPr>
        <w:t xml:space="preserve">” </w:t>
      </w:r>
      <w:r>
        <w:rPr>
          <w:rFonts w:ascii="Times New Roman;serif" w:hAnsi="Times New Roman;serif"/>
          <w:b w:val="false"/>
          <w:color w:val="000000"/>
          <w:sz w:val="24"/>
        </w:rPr>
        <w:t>means any bank at which the UK Originator, a Swiss Originator or a Canadian Originator, as applicable, maintains one or more Foreign Originator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Originator Pool Receivable</w:t>
      </w:r>
      <w:r>
        <w:rPr>
          <w:color w:val="000000"/>
        </w:rPr>
        <w:t xml:space="preserve">” </w:t>
      </w:r>
      <w:r>
        <w:rPr>
          <w:rFonts w:ascii="Times New Roman;serif" w:hAnsi="Times New Roman;serif"/>
          <w:b w:val="false"/>
          <w:color w:val="000000"/>
          <w:sz w:val="24"/>
        </w:rPr>
        <w:t>means a Pool Receivable that is a Canadian Receivable, a Swiss Receivable, or UK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Purchaser</w:t>
      </w:r>
      <w:r>
        <w:rPr>
          <w:color w:val="000000"/>
        </w:rPr>
        <w:t xml:space="preserve">” </w:t>
      </w:r>
      <w:r>
        <w:rPr>
          <w:rFonts w:ascii="Times New Roman;serif" w:hAnsi="Times New Roman;serif"/>
          <w:b w:val="false"/>
          <w:color w:val="000000"/>
          <w:sz w:val="24"/>
        </w:rPr>
        <w:t>means a Purchaser that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Fund</w:t>
      </w:r>
      <w:r>
        <w:rPr>
          <w:color w:val="000000"/>
        </w:rPr>
        <w:t xml:space="preserve">” </w:t>
      </w:r>
      <w:r>
        <w:rPr>
          <w:rFonts w:ascii="Times New Roman;serif" w:hAnsi="Times New Roman;serif"/>
          <w:b w:val="false"/>
          <w:color w:val="000000"/>
          <w:sz w:val="24"/>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generally accepted accounting principles as are in effect from time to time, subject to the provisions of </w:t>
      </w:r>
      <w:r>
        <w:rPr>
          <w:rFonts w:ascii="Times New Roman;serif" w:hAnsi="Times New Roman;serif"/>
          <w:b w:val="false"/>
          <w:color w:val="000000"/>
          <w:sz w:val="24"/>
          <w:u w:val="single"/>
        </w:rPr>
        <w:t>Section 1.03</w:t>
      </w:r>
      <w:r>
        <w:rPr>
          <w:rFonts w:ascii="Times New Roman;serif" w:hAnsi="Times New Roman;serif"/>
          <w:b w:val="false"/>
          <w:color w:val="000000"/>
          <w:sz w:val="24"/>
        </w:rPr>
        <w:t>, and applied on a consistent basis both as to classification of items and amounts.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A Obligor</w:t>
      </w:r>
      <w:r>
        <w:rPr>
          <w:rFonts w:ascii="Times New Roman;serif" w:hAnsi="Times New Roman;serif"/>
          <w:b w:val="false"/>
          <w:color w:val="000000"/>
          <w:sz w:val="24"/>
        </w:rPr>
        <w:t>,” “</w:t>
      </w:r>
      <w:r>
        <w:rPr>
          <w:rFonts w:ascii="Times New Roman;serif" w:hAnsi="Times New Roman;serif"/>
          <w:b w:val="false"/>
          <w:color w:val="000000"/>
          <w:sz w:val="24"/>
          <w:u w:val="single"/>
        </w:rPr>
        <w:t>Group B Obligor</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Group C Obligor</w:t>
      </w:r>
      <w:r>
        <w:rPr>
          <w:color w:val="000000"/>
        </w:rPr>
        <w:t xml:space="preserve">” </w:t>
      </w:r>
      <w:r>
        <w:rPr>
          <w:rFonts w:ascii="Times New Roman;serif" w:hAnsi="Times New Roman;serif"/>
          <w:b w:val="false"/>
          <w:color w:val="000000"/>
          <w:sz w:val="24"/>
        </w:rPr>
        <w:t>means any Obligor (or its parent or majority owner, as applicable, if such Obligor is not rated) 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 short-term rating of at least “A-1” (in the case of a Group A Obligor), “A-2” (in the case of a Group B Obligor) or “A-3” (in the case of a Group C Obligor), in any case, by S&amp;P, or if such Obligor does not have a short-term rating from S&amp;P, a rating of at least “A+” (in the case of a Group A Obligor), “BBB+” (in the case of a Group B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Obligor) or “BBB-” (in the case of a Group C Obligor), in any case, or better by S&amp;P on such Obligor’s, its parent’s, or its majority owner’s (as applicable) long-term senior unsecured and uncredit-enhanced debt securities, </w:t>
      </w:r>
      <w:r>
        <w:rPr>
          <w:rFonts w:ascii="Times New Roman;serif" w:hAnsi="Times New Roman;serif"/>
          <w:b w:val="false"/>
          <w:color w:val="000000"/>
          <w:sz w:val="24"/>
          <w:u w:val="single"/>
        </w:rPr>
        <w:t>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a short-term rating of at least “P-1” (in the case of a Group A Obligor), “P-2” (in the case of a Group B Obligor) or “P-3” (in the case of a Group C Obligor), in any case, by Moody’s, or if such Obligor does not have a short-term rating from Moody’s, a rating of at least “A1” (in the case of a Group A Obligor), “Baa1” (in the case of a Group B Obligor) or “Baa3” (in the case of a Group C Obligor), in any case, or better by Moody’s on such Obligor’s, its parent’s or its majority owner’s (as applicable) long-term senior unsecured and uncredit-enhanced debt securities;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Obligor is rated by only one of S&amp;P or Moody’s, then such Obligor will be a Group A Obligor, Group B Obligor or Group C Obligor (as the case may be) if it satisfies either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such Obligor (or its parent or majority owner, as applicable, if such Obligor is not rated) has split ratings from S&amp;P and Moody’s, then such Obligor (or its parent or majority owner, as applicable) shall be deemed to have only the higher of the two ratings for the purpose of determining whether such Obligor satisfies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above. Notwithstanding the foregoing, any Obligor that is a Subsidiary of an Obligor that satisfies the definition of Group A Obligor, Group B Obligor or Group C Obligor (as the case may be) shall be deemed to be a Group A Obligor, Group B Obligor or Group C Obligor (as the case may be) and shall be aggregated with its parent Obligor that satisfies such definition for the purposes of determining the “Concentration Reserve Percentage” unless such Subsidiary Obligor separately satisfies the definition of Group A Obligor, Group B Obligor or Group C Obligor (as the case may be), in which case such Obligor shall be separately treated as a Group A Obligor, Group B Obligor or Group C Obligor (as the case may be), as the case may be, and shall be aggregated and combined for such purposes with any of its Subsidiaries that are also Obligors.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Group D Obligor</w:t>
      </w:r>
      <w:r>
        <w:rPr>
          <w:color w:val="000000"/>
        </w:rPr>
        <w:t xml:space="preserve">” </w:t>
      </w:r>
      <w:r>
        <w:rPr>
          <w:rFonts w:ascii="Times New Roman;serif" w:hAnsi="Times New Roman;serif"/>
          <w:b w:val="false"/>
          <w:color w:val="000000"/>
          <w:sz w:val="24"/>
        </w:rPr>
        <w:t xml:space="preserve">means any Obligor that is not a Group A Obligor, Group B Obligor or Group C Obligor;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Obligor (or its parent or majority owner, as applicable, if such Obligor is unrated) that is unrated by both Moody’s and S&amp;P shall be a Group D Obligor.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GST</w:t>
      </w:r>
      <w:r>
        <w:rPr>
          <w:color w:val="000000"/>
        </w:rPr>
        <w:t xml:space="preserve">” </w:t>
      </w:r>
      <w:r>
        <w:rPr>
          <w:rFonts w:ascii="Times New Roman;serif" w:hAnsi="Times New Roman;serif"/>
          <w:b w:val="false"/>
          <w:color w:val="000000"/>
          <w:sz w:val="24"/>
        </w:rPr>
        <w:t xml:space="preserve">means, collectively, (i) all goods and services tax payable under Part IX of the </w:t>
      </w:r>
      <w:r>
        <w:rPr>
          <w:rFonts w:ascii="Times New Roman;serif" w:hAnsi="Times New Roman;serif"/>
          <w:b w:val="false"/>
          <w:i/>
          <w:color w:val="000000"/>
          <w:sz w:val="24"/>
        </w:rPr>
        <w:t>Excise Tax Act</w:t>
      </w:r>
      <w:r>
        <w:rPr>
          <w:color w:val="000000"/>
        </w:rPr>
        <w:t xml:space="preserve"> </w:t>
      </w:r>
      <w:r>
        <w:rPr>
          <w:rFonts w:ascii="Times New Roman;serif" w:hAnsi="Times New Roman;serif"/>
          <w:b w:val="false"/>
          <w:color w:val="000000"/>
          <w:sz w:val="24"/>
        </w:rPr>
        <w:t xml:space="preserve">(Canada), (ii) all harmonized sales tax in the Provinces of Nova Scotia, Newfoundland, New Brunswick, Prince Edward Island, Ontario and any other province or territory of Canada payable under Part IX of the </w:t>
      </w:r>
      <w:r>
        <w:rPr>
          <w:rFonts w:ascii="Times New Roman;serif" w:hAnsi="Times New Roman;serif"/>
          <w:b w:val="false"/>
          <w:i/>
          <w:color w:val="000000"/>
          <w:sz w:val="24"/>
        </w:rPr>
        <w:t>Excise Tax Act</w:t>
      </w:r>
      <w:r>
        <w:rPr>
          <w:color w:val="000000"/>
        </w:rPr>
        <w:t xml:space="preserve"> </w:t>
      </w:r>
      <w:r>
        <w:rPr>
          <w:rFonts w:ascii="Times New Roman;serif" w:hAnsi="Times New Roman;serif"/>
          <w:b w:val="false"/>
          <w:color w:val="000000"/>
          <w:sz w:val="24"/>
        </w:rPr>
        <w:t>(Canada), and (iii) all QST.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Guarantee Fee</w:t>
      </w:r>
      <w:r>
        <w:rPr>
          <w:color w:val="000000"/>
        </w:rPr>
        <w:t xml:space="preserve">” </w:t>
      </w:r>
      <w:r>
        <w:rPr>
          <w:rFonts w:ascii="Times New Roman;serif" w:hAnsi="Times New Roman;serif"/>
          <w:b w:val="false"/>
          <w:color w:val="000000"/>
          <w:sz w:val="24"/>
        </w:rPr>
        <w:t>means the guarantee fee payable by the Seller to the Canadian Guarantor under the SPV Reimbursement and Contribution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 xml:space="preserve">means, with respect to any Person, any obligation of such Person guaranteeing or in effect guaranteeing any liability or obligation of any other Person in any manner, whether directly or indirectly. The amount of obligations under a Guaranty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means, as to any Person at any time, any and all indebtedness, obligations or liabilities (whether matured or unmatured, liquidated or unliquidated, direct or indirect, absolute or contingent, or joint or several) of such Person for or in respect of (a) borrowed money, (b) obligations evidenced by notes, bonds, debentures or similar instruments, (c)  obligations (contingent or otherwise) under any acceptance, letter of credit or similar facilities, (d) obligations under any currency swap agreement, interest rate swap, cap, collar or floor agreement or other interest rate or currency risk management device, (e)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sixty (60) days past due), (f) any Guaranty of Indebtedness of a type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above, and (g) all obligations of the kind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w:t>
      </w:r>
      <w:r>
        <w:rPr>
          <w:color w:val="000000"/>
        </w:rPr>
        <w:t xml:space="preserve"> </w:t>
      </w:r>
      <w:r>
        <w:rPr>
          <w:rFonts w:ascii="Times New Roman;serif" w:hAnsi="Times New Roman;serif"/>
          <w:b w:val="false"/>
          <w:color w:val="000000"/>
          <w:sz w:val="24"/>
        </w:rPr>
        <w:t>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 xml:space="preserve">means (i) Taxes, other than Excluded Taxes, imposed on or with respect to any payment made by or on account of any obligation of SPV Entity-Related Party under any Transaction Document and (ii) to the extent not otherwise described in the preceding </w:t>
      </w:r>
      <w:r>
        <w:rPr>
          <w:rFonts w:ascii="Times New Roman;serif" w:hAnsi="Times New Roman;serif"/>
          <w:b w:val="false"/>
          <w:color w:val="000000"/>
          <w:sz w:val="24"/>
          <w:u w:val="single"/>
        </w:rPr>
        <w:t>clause (i)</w:t>
      </w:r>
      <w:r>
        <w:rPr>
          <w:rFonts w:ascii="Times New Roman;serif" w:hAnsi="Times New Roman;serif"/>
          <w:b w:val="false"/>
          <w:color w:val="000000"/>
          <w:sz w:val="24"/>
        </w:rPr>
        <w:t>,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Independent Manager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7.03(c)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Initial Schedule of Sold Receivables</w:t>
      </w:r>
      <w:r>
        <w:rPr>
          <w:color w:val="000000"/>
        </w:rPr>
        <w:t xml:space="preserve">” </w:t>
      </w:r>
      <w:r>
        <w:rPr>
          <w:rFonts w:ascii="Times New Roman;serif" w:hAnsi="Times New Roman;serif"/>
          <w:b w:val="false"/>
          <w:color w:val="000000"/>
          <w:sz w:val="24"/>
        </w:rPr>
        <w:t>means the schedule identifying all Sold Receivables as of (i) with respect to U.S. Receivables, the Closing Date, and (ii) with respect to UK Receivables, Swiss Receivables and Canadian Receivables, the First Amendment Effective Date, which list the Seller delivered to the Administrative Agent and the Purchasers on or prior to the Closing Date, or the First Amendment Effective Date,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Intended Tax Treatment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International Trade Laws” means all Laws relating to export controls, trade embargoes, customs and anti-boycott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 xml:space="preserve">means any payment of Capital by a Purchaser to the Seller pursuant to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 Request</w:t>
      </w:r>
      <w:r>
        <w:rPr>
          <w:color w:val="000000"/>
        </w:rPr>
        <w:t xml:space="preserve">” </w:t>
      </w:r>
      <w:r>
        <w:rPr>
          <w:rFonts w:ascii="Times New Roman;serif" w:hAnsi="Times New Roman;serif"/>
          <w:b w:val="false"/>
          <w:color w:val="000000"/>
          <w:sz w:val="24"/>
        </w:rPr>
        <w:t xml:space="preserve">means a letter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delivered by the Seller to the Administrative Agent </w:t>
      </w:r>
      <w:r>
        <w:rPr>
          <w:rFonts w:ascii="Times New Roman;serif" w:hAnsi="Times New Roman;serif"/>
          <w:b w:val="false"/>
          <w:strike/>
          <w:color w:val="FF0000"/>
          <w:sz w:val="24"/>
        </w:rPr>
        <w:t xml:space="preserve">and the Purchasers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ITA</w:t>
      </w:r>
      <w:r>
        <w:rPr>
          <w:color w:val="000000"/>
        </w:rPr>
        <w:t xml:space="preserve">” </w:t>
      </w:r>
      <w:r>
        <w:rPr>
          <w:rFonts w:ascii="Times New Roman;serif" w:hAnsi="Times New Roman;serif"/>
          <w:b w:val="false"/>
          <w:color w:val="000000"/>
          <w:sz w:val="24"/>
        </w:rPr>
        <w:t xml:space="preserve">means the </w:t>
      </w:r>
      <w:r>
        <w:rPr>
          <w:rFonts w:ascii="Times New Roman;serif" w:hAnsi="Times New Roman;serif"/>
          <w:b w:val="false"/>
          <w:i/>
          <w:color w:val="000000"/>
          <w:sz w:val="24"/>
        </w:rPr>
        <w:t>Income Tax Act</w:t>
      </w:r>
      <w:r>
        <w:rPr>
          <w:color w:val="000000"/>
        </w:rPr>
        <w:t xml:space="preserve"> </w:t>
      </w:r>
      <w:r>
        <w:rPr>
          <w:rFonts w:ascii="Times New Roman;serif" w:hAnsi="Times New Roman;serif"/>
          <w:b w:val="false"/>
          <w:color w:val="000000"/>
          <w:sz w:val="24"/>
        </w:rPr>
        <w:t>(Canada), and the regulations thereunder,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JPMorgan US Account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 xml:space="preserve">means any law(s) (including common law), constitution, statute, treaty, regulation, rule, ordinance, opinion, </w:t>
      </w:r>
      <w:r>
        <w:rPr>
          <w:rFonts w:ascii="Times New Roman;serif" w:hAnsi="Times New Roman;serif"/>
          <w:b w:val="false"/>
          <w:strike/>
          <w:color w:val="FF0000"/>
          <w:sz w:val="24"/>
        </w:rPr>
        <w:t xml:space="preserve">issued guidance, </w:t>
      </w:r>
      <w:r>
        <w:rPr>
          <w:rFonts w:ascii="Times New Roman;serif" w:hAnsi="Times New Roman;serif"/>
          <w:b w:val="false"/>
          <w:color w:val="000000"/>
          <w:sz w:val="24"/>
        </w:rPr>
        <w:t>release, ruling, order, executive order, injunction, writ, decree, bond, judgment, authorization or approval, lien or award</w:t>
      </w:r>
      <w:r>
        <w:rPr>
          <w:strike/>
          <w:color w:val="FF0000"/>
        </w:rPr>
        <w:t xml:space="preserve"> </w:t>
      </w:r>
      <w:r>
        <w:rPr>
          <w:rFonts w:ascii="Times New Roman;serif" w:hAnsi="Times New Roman;serif"/>
          <w:b w:val="false"/>
          <w:strike/>
          <w:color w:val="FF0000"/>
          <w:sz w:val="24"/>
        </w:rPr>
        <w:t>of</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 xml:space="preserve">or any settlement arrangement, by agreement, consent or otherwise, </w:t>
      </w:r>
      <w:r>
        <w:rPr>
          <w:rFonts w:ascii="Times New Roman;serif" w:hAnsi="Times New Roman;serif"/>
          <w:b w:val="false"/>
          <w:strike/>
          <w:color w:val="FF0000"/>
          <w:sz w:val="24"/>
        </w:rPr>
        <w:t>with</w:t>
      </w:r>
      <w:r>
        <w:rPr>
          <w:rFonts w:ascii="Times New Roman;serif" w:hAnsi="Times New Roman;serif"/>
          <w:b w:val="false"/>
          <w:color w:val="0000FF"/>
          <w:sz w:val="24"/>
          <w:u w:val="single"/>
        </w:rPr>
        <w:t>of</w:t>
      </w:r>
      <w:r>
        <w:rPr>
          <w:color w:val="000000"/>
        </w:rPr>
        <w:t xml:space="preserve"> </w:t>
      </w:r>
      <w:r>
        <w:rPr>
          <w:rFonts w:ascii="Times New Roman;serif" w:hAnsi="Times New Roman;serif"/>
          <w:b w:val="false"/>
          <w:color w:val="000000"/>
          <w:sz w:val="24"/>
        </w:rPr>
        <w:t xml:space="preserve">any Official Body, foreign or domestic.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LCR Security</w:t>
      </w:r>
      <w:r>
        <w:rPr>
          <w:color w:val="000000"/>
        </w:rPr>
        <w:t xml:space="preserve">” </w:t>
      </w:r>
      <w:r>
        <w:rPr>
          <w:rFonts w:ascii="Times New Roman;serif" w:hAnsi="Times New Roman;serif"/>
          <w:b w:val="false"/>
          <w:color w:val="000000"/>
          <w:sz w:val="24"/>
        </w:rPr>
        <w:t>means any commercial paper or security (other than equity securities issued to any Person that is a consolidated subsidiary of Parent</w:t>
      </w:r>
      <w:r>
        <w:rPr>
          <w:color w:val="000000"/>
        </w:rPr>
        <w:t xml:space="preserve"> </w:t>
      </w:r>
      <w:r>
        <w:rPr>
          <w:rFonts w:ascii="Times New Roman;serif" w:hAnsi="Times New Roman;serif"/>
          <w:b w:val="false"/>
          <w:color w:val="000000"/>
          <w:sz w:val="24"/>
        </w:rPr>
        <w:t>under GAAP) within the meaning of Paragraph __.32(e)(viii) of the final rules titled Liquidity Coverage Ratio: Liquidity Risk Measurement Standards, 79 Fed. Reg. 197, 61440 et seq. (October 10, 2014).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Lending Office</w:t>
      </w:r>
      <w:r>
        <w:rPr>
          <w:color w:val="000000"/>
        </w:rPr>
        <w:t xml:space="preserve">” </w:t>
      </w:r>
      <w:r>
        <w:rPr>
          <w:rFonts w:ascii="Times New Roman;serif" w:hAnsi="Times New Roman;serif"/>
          <w:b w:val="false"/>
          <w:color w:val="000000"/>
          <w:sz w:val="24"/>
        </w:rPr>
        <w:t>means, as to the Administrative Agent or any Purchaser, the office or offices of such Person described as such in such Purchaser’s Administrative Questionnaire, or such other office or offices as such Person may from time to time notify the Seller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deed of trust, pledge, lien, security interest, assignment by way of security, hypothec, deemed trust,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Linked Account</w:t>
      </w:r>
      <w:r>
        <w:rPr>
          <w:color w:val="000000"/>
        </w:rPr>
        <w:t xml:space="preserve">” </w:t>
      </w:r>
      <w:r>
        <w:rPr>
          <w:rFonts w:ascii="Times New Roman;serif" w:hAnsi="Times New Roman;serif"/>
          <w:b w:val="false"/>
          <w:color w:val="000000"/>
          <w:sz w:val="24"/>
        </w:rPr>
        <w:t>means any controlled disbursement account, controlled balance account or other deposit account maintained by a Collection Account Bank for any SPV Entity-Related Party or any Affiliate thereof and linked to any Collection Account by a zero balance account connection or other automated funding mechanism or controlled balance arrangement.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Division</w:t>
      </w:r>
      <w:r>
        <w:rPr>
          <w:color w:val="000000"/>
        </w:rPr>
        <w:t xml:space="preserve">” </w:t>
      </w:r>
      <w:r>
        <w:rPr>
          <w:rFonts w:ascii="Times New Roman;serif" w:hAnsi="Times New Roman;serif"/>
          <w:b w:val="false"/>
          <w:color w:val="000000"/>
          <w:sz w:val="24"/>
        </w:rPr>
        <w:t xml:space="preserve">means, in the event a Person is a limited liability company, (a) the division of such Person into two or more newly formed limited liability companies (whether or not such Person is a surviving entity following any such division) pursuant to Section 18-217 of the Delaware Limited Liability Company Act or any similar provision under any similar act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Lock-Box</w:t>
      </w:r>
      <w:r>
        <w:rPr>
          <w:color w:val="000000"/>
        </w:rPr>
        <w:t xml:space="preserve">” </w:t>
      </w:r>
      <w:r>
        <w:rPr>
          <w:rFonts w:ascii="Times New Roman;serif" w:hAnsi="Times New Roman;serif"/>
          <w:b w:val="false"/>
          <w:color w:val="000000"/>
          <w:sz w:val="24"/>
        </w:rPr>
        <w:t xml:space="preserve">means each locked postal box with respect to any Collection Account for the purpose of retrieving and processing payments made on the Receivables and which is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(as such schedule may be modified from time to time in connection with the addition or removal of any Lock-Box in accordance with the terms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Horizon Ratio</w:t>
      </w:r>
      <w:r>
        <w:rPr>
          <w:color w:val="000000"/>
        </w:rPr>
        <w:t xml:space="preserve">” </w:t>
      </w:r>
      <w:r>
        <w:rPr>
          <w:rFonts w:ascii="Times New Roman;serif" w:hAnsi="Times New Roman;serif"/>
          <w:b w:val="false"/>
          <w:color w:val="000000"/>
          <w:sz w:val="24"/>
        </w:rPr>
        <w:t xml:space="preserve">means, at any time, the ratio (expressed as a percentage and rounded to the nearest 1/100th of 1%, with 5/1000th of 1% rounded upward) computed by </w:t>
      </w:r>
      <w:r>
        <w:rPr>
          <w:rFonts w:ascii="Times New Roman;serif" w:hAnsi="Times New Roman;serif"/>
          <w:b w:val="false"/>
          <w:color w:val="000000"/>
          <w:sz w:val="24"/>
          <w:u w:val="single"/>
        </w:rPr>
        <w:t>dividing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aggregate initial Outstanding Balance of all Pool Receivables (other than Unbilled Receivables) generated by the Originators during the number of most recently ended Fiscal Months equal to the sum of 3.6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Weighted Average Payment Terms; </w:t>
      </w:r>
      <w:r>
        <w:rPr>
          <w:rFonts w:ascii="Times New Roman;serif" w:hAnsi="Times New Roman;serif"/>
          <w:b w:val="false"/>
          <w:color w:val="000000"/>
          <w:sz w:val="24"/>
          <w:u w:val="single"/>
        </w:rPr>
        <w:t>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Net Receivables Pool Balance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 Reserve Percentage</w:t>
      </w:r>
      <w:r>
        <w:rPr>
          <w:color w:val="000000"/>
        </w:rPr>
        <w:t xml:space="preserve">” </w:t>
      </w:r>
      <w:r>
        <w:rPr>
          <w:rFonts w:ascii="Times New Roman;serif" w:hAnsi="Times New Roman;serif"/>
          <w:b w:val="false"/>
          <w:color w:val="000000"/>
          <w:sz w:val="24"/>
        </w:rPr>
        <w:t xml:space="preserve">means, at any time, the product (expressed as a percentage and rounded to the nearest 1/100th of 1%, with 5/1000th of 1% rounded upward) of (a) 2.25,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(b) the highest average of the Default Ratios for any three (3) consecutive Fiscal Months during the twelve (12) most recent Fiscal Months, </w:t>
      </w:r>
      <w:r>
        <w:rPr>
          <w:rFonts w:ascii="Times New Roman;serif" w:hAnsi="Times New Roman;serif"/>
          <w:b w:val="false"/>
          <w:color w:val="000000"/>
          <w:sz w:val="24"/>
          <w:u w:val="single"/>
        </w:rPr>
        <w:t>multiplied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(c) the Loss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relative to any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no particular Person is specified, “Material Adverse Effect” shall be deemed to be relative to all SPV Entity-Related Parties, individually and in the aggregate) with respect to any event or circumstance, a material adverse effect on any of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assets, operations, business or financial condition of the Seller, individually, or the SPV Entity-Related Parties, in the aggregate;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ability of such Person to perform its obligations under this Agreement or any other Transaction Document to which it is a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validity or enforceability of this Agreement or any other Transaction Document;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validity, enforceability, value or collectability of any material portion of the Supporting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status, perfection, enforceability or priority of the Administrative Agent’s security interest in the Supporting Assets; or</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rights and remedies of any Purchaser Party under the Transaction Documents taken as a whole or associated with its respective interests in the Supporting Assets.</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 xml:space="preserve">Maximum Facility Limit Increase” has the meaning set forth in Section 2.02(h).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Maximum Release Amount</w:t>
      </w:r>
      <w:r>
        <w:rPr>
          <w:color w:val="000000"/>
        </w:rPr>
        <w:t xml:space="preserve">” </w:t>
      </w:r>
      <w:r>
        <w:rPr>
          <w:rFonts w:ascii="Times New Roman;serif" w:hAnsi="Times New Roman;serif"/>
          <w:b w:val="false"/>
          <w:color w:val="000000"/>
          <w:sz w:val="24"/>
        </w:rPr>
        <w:t xml:space="preserve">means, on any day of determination, the positive excess, if any, of (a) the amount of Collections on deposit in the Cash Dominion Administration Account over (b) the amount of Collections required to be on deposit in the Cash Dominion Administration Account on such day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(as reasonably determined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Dilution Reserve Percentage</w:t>
      </w:r>
      <w:r>
        <w:rPr>
          <w:color w:val="000000"/>
        </w:rPr>
        <w:t xml:space="preserve">” </w:t>
      </w:r>
      <w:r>
        <w:rPr>
          <w:rFonts w:ascii="Times New Roman;serif" w:hAnsi="Times New Roman;serif"/>
          <w:b w:val="false"/>
          <w:color w:val="000000"/>
          <w:sz w:val="24"/>
        </w:rPr>
        <w:t xml:space="preserve">means, at any time, the product (expressed as a percentage and rounded to the nearest 1/100th of 1%, with 5/1000th of 1% rounded upward) of (a) the average of the Dilution Ratios for the twelve (12) most recent Fiscal Months,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(b) the Dilution Horizon Ratio.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Funding Threshold</w:t>
      </w:r>
      <w:r>
        <w:rPr>
          <w:color w:val="000000"/>
        </w:rPr>
        <w:t xml:space="preserve">” </w:t>
      </w:r>
      <w:r>
        <w:rPr>
          <w:rFonts w:ascii="Times New Roman;serif" w:hAnsi="Times New Roman;serif"/>
          <w:b w:val="false"/>
          <w:color w:val="000000"/>
          <w:sz w:val="24"/>
        </w:rPr>
        <w:t xml:space="preserve">means, on any day, an amount equal to the lesser of (a) the product of (i) 80.00%, times (ii) the Facility Limit at such time and (b) the Capital Coverage Amount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(x) the Minimum Funding Threshold shall not apply if and for so long the Seller’s inability to comply with such obligation is caused by the failure of any Purchaser to fund its share of requested Investment and (y) until such time as Receivables originated or purchased from non-U.S. Subsidiaries of the Parent are included in the Receivables Pool, the Minimum Funding Threshold shall be equal to 80.00% times the Capital Coverage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Report</w:t>
      </w:r>
      <w:r>
        <w:rPr>
          <w:color w:val="000000"/>
        </w:rPr>
        <w:t xml:space="preserve">” </w:t>
      </w:r>
      <w:r>
        <w:rPr>
          <w:rFonts w:ascii="Times New Roman;serif" w:hAnsi="Times New Roman;serif"/>
          <w:b w:val="false"/>
          <w:color w:val="000000"/>
          <w:sz w:val="24"/>
        </w:rPr>
        <w:t xml:space="preserve">means a report regarding the Pool Receivables and the transactions contemplated hereby, substantially in the form of </w:t>
      </w:r>
      <w:r>
        <w:rPr>
          <w:rFonts w:ascii="Times New Roman;serif" w:hAnsi="Times New Roman;serif"/>
          <w:b w:val="false"/>
          <w:color w:val="000000"/>
          <w:sz w:val="24"/>
          <w:u w:val="single"/>
        </w:rPr>
        <w:t>Exhibit E-1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Monthly Settlement Date</w:t>
      </w:r>
      <w:r>
        <w:rPr>
          <w:color w:val="000000"/>
        </w:rPr>
        <w:t xml:space="preserve">” </w:t>
      </w:r>
      <w:r>
        <w:rPr>
          <w:rFonts w:ascii="Times New Roman;serif" w:hAnsi="Times New Roman;serif"/>
          <w:b w:val="false"/>
          <w:color w:val="000000"/>
          <w:sz w:val="24"/>
        </w:rPr>
        <w:t>means, for any calendar month (a) except as provided in clause (b) below, the earlier to occur of (x) the 30th day (if any) of such calendar month and (y) the last day of such calendar month (or, in either case, if such day is not a Business Day, the next occurring Business Day), or (b) solely to the extent so elected by the Administrative Agent (in its sole discretion) by written notice provided to the Seller on or prior to the 1st day of such calendar month, the 20th day of such calendar month (or if such day is not a Business Day, the next occurring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and any successor thereto that is a nationally recognized statistical rating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employee pension benefit plan which is a “multiemployer plan” within the meaning of Section 4001(a)(3) of ERISA and to which the Seller or any member of the ERISA Group is then making or accruing an obligation to make contributions or, within the preceding five (5) plan years, has made or had an obligation to make such contributions, or to which the Seller or any member of the ERISA Group has any liability (contingent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Receivables Pool Balance</w:t>
      </w:r>
      <w:r>
        <w:rPr>
          <w:color w:val="000000"/>
        </w:rPr>
        <w:t xml:space="preserve">” </w:t>
      </w:r>
      <w:r>
        <w:rPr>
          <w:rFonts w:ascii="Times New Roman;serif" w:hAnsi="Times New Roman;serif"/>
          <w:b w:val="false"/>
          <w:color w:val="000000"/>
          <w:sz w:val="24"/>
        </w:rPr>
        <w:t xml:space="preserve">means, at any time: (a) the aggregate Outstanding Balance of all Eligible Receivables then in the Receivables Pool,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Excess Concentration,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(c) the AWS Past-Due Payable Amount.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Non-Consenting Purchaser</w:t>
      </w:r>
      <w:r>
        <w:rPr>
          <w:color w:val="000000"/>
        </w:rPr>
        <w:t xml:space="preserve">” </w:t>
      </w:r>
      <w:r>
        <w:rPr>
          <w:rFonts w:ascii="Times New Roman;serif" w:hAnsi="Times New Roman;serif"/>
          <w:b w:val="false"/>
          <w:color w:val="000000"/>
          <w:sz w:val="24"/>
        </w:rPr>
        <w:t xml:space="preserve">means any Purchaser that does not approve any consent, waiver or amendment that (a) requires the approval of all or all affected Purchasers in accordance with the terms of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and (b) has been approved by the Required Purchasers.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Non-Defaulting Purchaser</w:t>
      </w:r>
      <w:r>
        <w:rPr>
          <w:color w:val="000000"/>
        </w:rPr>
        <w:t xml:space="preserve">” </w:t>
      </w:r>
      <w:r>
        <w:rPr>
          <w:rFonts w:ascii="Times New Roman;serif" w:hAnsi="Times New Roman;serif"/>
          <w:b w:val="false"/>
          <w:color w:val="000000"/>
          <w:sz w:val="24"/>
        </w:rPr>
        <w:t>means, at any time, each Purchaser that is not a Defaulting Purchaser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means, with respect to any Receivable, the Person obligated to make payments pursuant to the Contract relating to such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Obligor Percentage</w:t>
      </w:r>
      <w:r>
        <w:rPr>
          <w:color w:val="000000"/>
        </w:rPr>
        <w:t xml:space="preserve">” </w:t>
      </w:r>
      <w:r>
        <w:rPr>
          <w:rFonts w:ascii="Times New Roman;serif" w:hAnsi="Times New Roman;serif"/>
          <w:b w:val="false"/>
          <w:color w:val="000000"/>
          <w:sz w:val="24"/>
        </w:rPr>
        <w:t>means, at any time,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Official Body</w:t>
      </w:r>
      <w:r>
        <w:rPr>
          <w:color w:val="000000"/>
        </w:rPr>
        <w:t xml:space="preserve">” </w:t>
      </w:r>
      <w:r>
        <w:rPr>
          <w:rFonts w:ascii="Times New Roman;serif" w:hAnsi="Times New Roman;serif"/>
          <w:b w:val="false"/>
          <w:color w:val="000000"/>
          <w:sz w:val="24"/>
        </w:rPr>
        <w:t>means the government of the United States of America</w:t>
      </w:r>
      <w:r>
        <w:rPr>
          <w:color w:val="0000FF"/>
          <w:u w:val="single"/>
        </w:rPr>
        <w:t xml:space="preserve"> </w:t>
      </w:r>
      <w:r>
        <w:rPr>
          <w:rFonts w:ascii="Times New Roman;serif" w:hAnsi="Times New Roman;serif"/>
          <w:b w:val="false"/>
          <w:color w:val="0000FF"/>
          <w:sz w:val="24"/>
          <w:u w:val="single"/>
        </w:rPr>
        <w:t>or of</w:t>
      </w:r>
      <w:r>
        <w:rPr>
          <w:rFonts w:ascii="Times New Roman;serif" w:hAnsi="Times New Roman;serif"/>
          <w:b w:val="false"/>
          <w:color w:val="000000"/>
          <w:sz w:val="24"/>
        </w:rPr>
        <w:t xml:space="preserve">, Canada or </w:t>
      </w:r>
      <w:r>
        <w:rPr>
          <w:rFonts w:ascii="Times New Roman;serif" w:hAnsi="Times New Roman;serif"/>
          <w:b w:val="false"/>
          <w:color w:val="0000FF"/>
          <w:sz w:val="24"/>
          <w:u w:val="single"/>
        </w:rPr>
        <w:t xml:space="preserve">of </w:t>
      </w:r>
      <w:r>
        <w:rPr>
          <w:rFonts w:ascii="Times New Roman;serif" w:hAnsi="Times New Roman;serif"/>
          <w:b w:val="false"/>
          <w:color w:val="000000"/>
          <w:sz w:val="24"/>
        </w:rPr>
        <w:t xml:space="preserve">any other nation, or any political subdivision </w:t>
      </w:r>
      <w:r>
        <w:rPr>
          <w:rFonts w:ascii="Times New Roman;serif" w:hAnsi="Times New Roman;serif"/>
          <w:b w:val="false"/>
          <w:strike/>
          <w:color w:val="FF0000"/>
          <w:sz w:val="24"/>
        </w:rPr>
        <w:t>thereof</w:t>
      </w:r>
      <w:r>
        <w:rPr>
          <w:rFonts w:ascii="Times New Roman;serif" w:hAnsi="Times New Roman;serif"/>
          <w:b w:val="false"/>
          <w:color w:val="0000FF"/>
          <w:sz w:val="24"/>
          <w:u w:val="single"/>
        </w:rPr>
        <w:t>of such a government</w:t>
      </w:r>
      <w:r>
        <w:rPr>
          <w:rFonts w:ascii="Times New Roman;serif" w:hAnsi="Times New Roman;serif"/>
          <w:b w:val="false"/>
          <w:color w:val="000000"/>
          <w:sz w:val="24"/>
        </w:rPr>
        <w:t xml:space="preserve">, whether </w:t>
      </w:r>
      <w:r>
        <w:rPr>
          <w:rFonts w:ascii="Times New Roman;serif" w:hAnsi="Times New Roman;serif"/>
          <w:b w:val="false"/>
          <w:color w:val="0000FF"/>
          <w:sz w:val="24"/>
          <w:u w:val="single"/>
        </w:rPr>
        <w:t xml:space="preserve">federal, </w:t>
      </w:r>
      <w:r>
        <w:rPr>
          <w:rFonts w:ascii="Times New Roman;serif" w:hAnsi="Times New Roman;serif"/>
          <w:b w:val="false"/>
          <w:color w:val="000000"/>
          <w:sz w:val="24"/>
        </w:rPr>
        <w:t>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Originator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Originators</w:t>
      </w:r>
      <w:r>
        <w:rPr>
          <w:color w:val="000000"/>
        </w:rPr>
        <w:t xml:space="preserve">” </w:t>
      </w:r>
      <w:r>
        <w:rPr>
          <w:rFonts w:ascii="Times New Roman;serif" w:hAnsi="Times New Roman;serif"/>
          <w:b w:val="false"/>
          <w:color w:val="000000"/>
          <w:sz w:val="24"/>
        </w:rPr>
        <w:t>means the U.S. Originators, the UK Originators, the Swiss Originators and the Canadian Originators.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Investment or Transaction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an assignment made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Outstanding Balance</w:t>
      </w:r>
      <w:r>
        <w:rPr>
          <w:color w:val="000000"/>
        </w:rPr>
        <w:t xml:space="preserve">” </w:t>
      </w:r>
      <w:r>
        <w:rPr>
          <w:rFonts w:ascii="Times New Roman;serif" w:hAnsi="Times New Roman;serif"/>
          <w:b w:val="false"/>
          <w:color w:val="000000"/>
          <w:sz w:val="24"/>
        </w:rPr>
        <w:t>means, at any time, with respect to any Receivable, the then outstanding principal balance thereof;</w:t>
      </w:r>
      <w:r>
        <w:rPr>
          <w:color w:val="000000"/>
          <w:u w:val="single"/>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with respect to any Receivable denominated or payable in an Alternative Currency, references to the “Outstanding Balance” shall mean the Dollar Equivalent thereof, including for greater certainty, in the case of any Canadian Receivable, any outstanding Canadian Sales Taxes, and in the case of any UK Receivable or Swiss Receivable, any VAT, sales or other similar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Overnight Bank Funding Rate</w:t>
      </w:r>
      <w:r>
        <w:rPr>
          <w:color w:val="000000"/>
        </w:rPr>
        <w:t xml:space="preserve">” </w:t>
      </w:r>
      <w:r>
        <w:rPr>
          <w:rFonts w:ascii="Times New Roman;serif" w:hAnsi="Times New Roman;serif"/>
          <w:b w:val="false"/>
          <w:color w:val="000000"/>
          <w:sz w:val="24"/>
        </w:rPr>
        <w:t xml:space="preserve">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day is not a Business Day, the Overnight Bank Funding Rate for such day shall be such rate on the immediately preceding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w:t>
      </w:r>
      <w:r>
        <w:rPr>
          <w:rFonts w:ascii="Times New Roman;serif" w:hAnsi="Times New Roman;serif"/>
          <w:b w:val="false"/>
          <w:strike/>
          <w:color w:val="FF0000"/>
          <w:sz w:val="24"/>
        </w:rPr>
        <w:t>The</w:t>
      </w:r>
      <w:r>
        <w:rPr>
          <w:rFonts w:ascii="Times New Roman;serif" w:hAnsi="Times New Roman;serif"/>
          <w:b w:val="false"/>
          <w:color w:val="0000FF"/>
          <w:sz w:val="24"/>
          <w:u w:val="single"/>
        </w:rPr>
        <w:t>Such</w:t>
      </w:r>
      <w:r>
        <w:rPr>
          <w:color w:val="000000"/>
        </w:rPr>
        <w:t xml:space="preserve"> </w:t>
      </w:r>
      <w:r>
        <w:rPr>
          <w:rFonts w:ascii="Times New Roman;serif" w:hAnsi="Times New Roman;serif"/>
          <w:b w:val="false"/>
          <w:color w:val="000000"/>
          <w:sz w:val="24"/>
        </w:rPr>
        <w:t>rate of interest charged shall be adjusted as of each Business Day based on changes in the Overnight Bank Funding Rate without notice to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Rackspace Technology,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 Group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7.03(c)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12.06(d)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12.06(d)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Participating Member State</w:t>
      </w:r>
      <w:r>
        <w:rPr>
          <w:color w:val="000000"/>
        </w:rPr>
        <w:t xml:space="preserve">” </w:t>
      </w:r>
      <w:r>
        <w:rPr>
          <w:rFonts w:ascii="Times New Roman;serif" w:hAnsi="Times New Roman;serif"/>
          <w:b w:val="false"/>
          <w:color w:val="000000"/>
          <w:sz w:val="24"/>
        </w:rPr>
        <w:t>means any member state of the European Union that has the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Recipient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established pursuant to Subtitle A of Title IV of ERISA or any successor.</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the Seller or any member of the ERISA Group may have any liability (contingent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Guarantor</w:t>
      </w:r>
      <w:r>
        <w:rPr>
          <w:color w:val="000000"/>
        </w:rPr>
        <w:t xml:space="preserve">” </w:t>
      </w:r>
      <w:r>
        <w:rPr>
          <w:rFonts w:ascii="Times New Roman;serif" w:hAnsi="Times New Roman;serif"/>
          <w:b w:val="false"/>
          <w:color w:val="000000"/>
          <w:sz w:val="24"/>
        </w:rPr>
        <w:t>means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Guaranty</w:t>
      </w:r>
      <w:r>
        <w:rPr>
          <w:color w:val="000000"/>
        </w:rPr>
        <w:t xml:space="preserve">” </w:t>
      </w:r>
      <w:r>
        <w:rPr>
          <w:rFonts w:ascii="Times New Roman;serif" w:hAnsi="Times New Roman;serif"/>
          <w:b w:val="false"/>
          <w:color w:val="000000"/>
          <w:sz w:val="24"/>
        </w:rPr>
        <w:t>means the Amended and Restated Performance Guaranty, dated as of the First Amendment Effective Date, by the Performance Guarantor in favor of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Adverse Claim</w:t>
      </w:r>
      <w:r>
        <w:rPr>
          <w:color w:val="000000"/>
        </w:rPr>
        <w:t xml:space="preserve">” </w:t>
      </w:r>
      <w:r>
        <w:rPr>
          <w:rFonts w:ascii="Times New Roman;serif" w:hAnsi="Times New Roman;serif"/>
          <w:b w:val="false"/>
          <w:color w:val="000000"/>
          <w:sz w:val="24"/>
        </w:rPr>
        <w:t>means (a) any bankers’ liens, rights of setoff and other similar liens existing solely with respect to cash on deposit in a Collection Account and (b) any liens for Taxes (i) not yet due and payable or (ii) if the obligations with respect to such Taxes are being contested in good faith by appropriate proceedings and for which adequate reserves are being maintained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Linked Account</w:t>
      </w:r>
      <w:r>
        <w:rPr>
          <w:color w:val="000000"/>
        </w:rPr>
        <w:t xml:space="preserve">” </w:t>
      </w:r>
      <w:r>
        <w:rPr>
          <w:rFonts w:ascii="Times New Roman;serif" w:hAnsi="Times New Roman;serif"/>
          <w:b w:val="false"/>
          <w:color w:val="000000"/>
          <w:sz w:val="24"/>
        </w:rPr>
        <w:t xml:space="preserve">means each account listed as a “Linked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accordance with the terms hereof) (in each case, in the name of the Seller) and maintained at a bank or other financial institution acting as a Collection Account Bank pursuant to an Account Control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company, limited liability company, unlimited liability company, trust, joint venture, association, company, partnership, Official Body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w:t>
      </w:r>
      <w:r>
        <w:rPr>
          <w:color w:val="000000"/>
        </w:rPr>
        <w:t xml:space="preserve">” </w:t>
      </w:r>
      <w:r>
        <w:rPr>
          <w:rFonts w:ascii="Times New Roman;serif" w:hAnsi="Times New Roman;serif"/>
          <w:b w:val="false"/>
          <w:color w:val="000000"/>
          <w:sz w:val="24"/>
        </w:rPr>
        <w:t xml:space="preserve">means PNC’s PINACLE® </w:t>
      </w:r>
      <w:r>
        <w:rPr>
          <w:rFonts w:ascii="Times New Roman;serif" w:hAnsi="Times New Roman;serif"/>
          <w:b w:val="false"/>
          <w:strike/>
          <w:color w:val="FF0000"/>
          <w:sz w:val="24"/>
        </w:rPr>
        <w:t>auto-advance</w:t>
      </w:r>
      <w:r>
        <w:rPr>
          <w:rFonts w:ascii="Times New Roman;serif" w:hAnsi="Times New Roman;serif"/>
          <w:b w:val="false"/>
          <w:color w:val="0000FF"/>
          <w:sz w:val="24"/>
          <w:u w:val="single"/>
        </w:rPr>
        <w:t>credit management</w:t>
      </w:r>
      <w:r>
        <w:rPr>
          <w:color w:val="000000"/>
        </w:rPr>
        <w:t xml:space="preserve"> </w:t>
      </w:r>
      <w:r>
        <w:rPr>
          <w:rFonts w:ascii="Times New Roman;serif" w:hAnsi="Times New Roman;serif"/>
          <w:b w:val="false"/>
          <w:color w:val="000000"/>
          <w:sz w:val="24"/>
        </w:rPr>
        <w:t xml:space="preserve">service </w:t>
      </w:r>
      <w:r>
        <w:rPr>
          <w:rFonts w:ascii="Times New Roman;serif" w:hAnsi="Times New Roman;serif"/>
          <w:b w:val="false"/>
          <w:strike/>
          <w:color w:val="FF0000"/>
          <w:sz w:val="24"/>
        </w:rPr>
        <w:t>or</w:t>
      </w:r>
      <w:r>
        <w:rPr>
          <w:rFonts w:ascii="Times New Roman;serif" w:hAnsi="Times New Roman;serif"/>
          <w:b w:val="false"/>
          <w:color w:val="0000FF"/>
          <w:sz w:val="24"/>
          <w:u w:val="single"/>
        </w:rPr>
        <w:t>and any and all services and systems provided or used in connection therewith, and</w:t>
      </w:r>
      <w:r>
        <w:rPr>
          <w:color w:val="000000"/>
        </w:rPr>
        <w:t xml:space="preserve"> </w:t>
      </w:r>
      <w:r>
        <w:rPr>
          <w:rFonts w:ascii="Times New Roman;serif" w:hAnsi="Times New Roman;serif"/>
          <w:b w:val="false"/>
          <w:color w:val="000000"/>
          <w:sz w:val="24"/>
        </w:rPr>
        <w:t xml:space="preserve">any similar or replacement electronic </w:t>
      </w:r>
      <w:r>
        <w:rPr>
          <w:rFonts w:ascii="Times New Roman;serif" w:hAnsi="Times New Roman;serif"/>
          <w:b w:val="false"/>
          <w:strike/>
          <w:color w:val="FF0000"/>
          <w:sz w:val="24"/>
        </w:rPr>
        <w:t>loan</w:t>
      </w:r>
      <w:r>
        <w:rPr>
          <w:rFonts w:ascii="Times New Roman;serif" w:hAnsi="Times New Roman;serif"/>
          <w:b w:val="false"/>
          <w:color w:val="0000FF"/>
          <w:sz w:val="24"/>
          <w:u w:val="single"/>
        </w:rPr>
        <w:t>credit</w:t>
      </w:r>
      <w:r>
        <w:rPr>
          <w:color w:val="000000"/>
        </w:rPr>
        <w:t xml:space="preserve"> </w:t>
      </w:r>
      <w:r>
        <w:rPr>
          <w:rFonts w:ascii="Times New Roman;serif" w:hAnsi="Times New Roman;serif"/>
          <w:b w:val="false"/>
          <w:color w:val="000000"/>
          <w:sz w:val="24"/>
        </w:rPr>
        <w:t xml:space="preserve">administration </w:t>
      </w:r>
      <w:r>
        <w:rPr>
          <w:rFonts w:ascii="Times New Roman;serif" w:hAnsi="Times New Roman;serif"/>
          <w:b w:val="false"/>
          <w:strike/>
          <w:color w:val="FF0000"/>
          <w:sz w:val="24"/>
        </w:rPr>
        <w:t>service</w:t>
      </w:r>
      <w:r>
        <w:rPr>
          <w:rFonts w:ascii="Times New Roman;serif" w:hAnsi="Times New Roman;serif"/>
          <w:b w:val="false"/>
          <w:color w:val="0000FF"/>
          <w:sz w:val="24"/>
          <w:u w:val="single"/>
        </w:rPr>
        <w:t>services</w:t>
      </w:r>
      <w:r>
        <w:rPr>
          <w:color w:val="000000"/>
        </w:rPr>
        <w:t xml:space="preserve"> </w:t>
      </w:r>
      <w:r>
        <w:rPr>
          <w:rFonts w:ascii="Times New Roman;serif" w:hAnsi="Times New Roman;serif"/>
          <w:b w:val="false"/>
          <w:color w:val="000000"/>
          <w:sz w:val="24"/>
        </w:rPr>
        <w:t>implemented by PNC.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PINACLE Agreement</w:t>
      </w:r>
      <w:r>
        <w:rPr>
          <w:color w:val="000000"/>
        </w:rPr>
        <w:t xml:space="preserve">” </w:t>
      </w:r>
      <w:r>
        <w:rPr>
          <w:rFonts w:ascii="Times New Roman;serif" w:hAnsi="Times New Roman;serif"/>
          <w:b w:val="false"/>
          <w:color w:val="000000"/>
          <w:sz w:val="24"/>
        </w:rPr>
        <w:t xml:space="preserve">means a separate written agreement between Seller and PNC regarding PINACLE, and any amendments, modifications or replacements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employee benefit plan within the meaning of Section 3(3) of ERISA (including a Pension Plan), maintained for employees of the Seller or any member of the ERISA Group or any such Plan to which the Seller or any member of the ERISA Group is required to contribute on behalf of any of its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FF"/>
          <w:sz w:val="24"/>
          <w:u w:val="single"/>
        </w:rPr>
        <w:t xml:space="preserve">PINACLE or any of </w:t>
      </w:r>
      <w:r>
        <w:rPr>
          <w:rFonts w:ascii="Times New Roman;serif" w:hAnsi="Times New Roman;serif"/>
          <w:b w:val="false"/>
          <w:color w:val="000000"/>
          <w:sz w:val="24"/>
        </w:rPr>
        <w:t>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Pledge Agreement</w:t>
      </w:r>
      <w:r>
        <w:rPr>
          <w:color w:val="000000"/>
        </w:rPr>
        <w:t xml:space="preserve">” </w:t>
      </w:r>
      <w:r>
        <w:rPr>
          <w:rFonts w:ascii="Times New Roman;serif" w:hAnsi="Times New Roman;serif"/>
          <w:b w:val="false"/>
          <w:color w:val="000000"/>
          <w:sz w:val="24"/>
        </w:rPr>
        <w:t xml:space="preserve">means that certain Pledge Agreement, dated as of the Closing Date, between Pledgor and the Administrative Agent.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Pledged Collateral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Pledgor</w:t>
      </w:r>
      <w:r>
        <w:rPr>
          <w:color w:val="000000"/>
        </w:rPr>
        <w:t xml:space="preserve">” </w:t>
      </w:r>
      <w:r>
        <w:rPr>
          <w:rFonts w:ascii="Times New Roman;serif" w:hAnsi="Times New Roman;serif"/>
          <w:b w:val="false"/>
          <w:color w:val="000000"/>
          <w:sz w:val="24"/>
        </w:rPr>
        <w:t>means Rackspace.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PNC</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Pool Receivable</w:t>
      </w:r>
      <w:r>
        <w:rPr>
          <w:color w:val="000000"/>
        </w:rPr>
        <w:t xml:space="preserve">” </w:t>
      </w:r>
      <w:r>
        <w:rPr>
          <w:rFonts w:ascii="Times New Roman;serif" w:hAnsi="Times New Roman;serif"/>
          <w:b w:val="false"/>
          <w:color w:val="000000"/>
          <w:sz w:val="24"/>
        </w:rPr>
        <w:t>means a Receivable in the Receivables Pool.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Pool Report</w:t>
      </w:r>
      <w:r>
        <w:rPr>
          <w:color w:val="000000"/>
        </w:rPr>
        <w:t xml:space="preserve">” </w:t>
      </w:r>
      <w:r>
        <w:rPr>
          <w:rFonts w:ascii="Times New Roman;serif" w:hAnsi="Times New Roman;serif"/>
          <w:b w:val="false"/>
          <w:color w:val="000000"/>
          <w:sz w:val="24"/>
        </w:rPr>
        <w:t>means each Monthly Report and Daily Report.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Post-Closing Foreign Originator Account Compliance Date</w:t>
      </w:r>
      <w:r>
        <w:rPr>
          <w:color w:val="000000"/>
        </w:rPr>
        <w:t xml:space="preserve">” </w:t>
      </w:r>
      <w:r>
        <w:rPr>
          <w:rFonts w:ascii="Times New Roman;serif" w:hAnsi="Times New Roman;serif"/>
          <w:b w:val="false"/>
          <w:color w:val="000000"/>
          <w:sz w:val="24"/>
        </w:rPr>
        <w:t>means, with respect to each Receivable for which a Foreign Obligor Consent was required to be consented to by the applicable Obligor,  the date that is sixty (60) days after the date upon which the applicable Obligor consented under the related Foreign Obligor Consent, (or such later date (if any) consented to in writing by the Administrative Agent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Potential Default</w:t>
      </w:r>
      <w:r>
        <w:rPr>
          <w:color w:val="000000"/>
        </w:rPr>
        <w:t xml:space="preserve">” </w:t>
      </w:r>
      <w:r>
        <w:rPr>
          <w:rFonts w:ascii="Times New Roman;serif" w:hAnsi="Times New Roman;serif"/>
          <w:b w:val="false"/>
          <w:color w:val="000000"/>
          <w:sz w:val="24"/>
        </w:rPr>
        <w:t>means any event or condition which with notice or passage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PPSA</w:t>
      </w:r>
      <w:r>
        <w:rPr>
          <w:color w:val="000000"/>
        </w:rPr>
        <w:t xml:space="preserve">” </w:t>
      </w:r>
      <w:r>
        <w:rPr>
          <w:rFonts w:ascii="Times New Roman;serif" w:hAnsi="Times New Roman;serif"/>
          <w:b w:val="false"/>
          <w:color w:val="000000"/>
          <w:sz w:val="24"/>
        </w:rPr>
        <w:t>means in respect of each province and territory in Canada (other than the Province of Québec), the Personal Property Security Act as from time to time in effect in such province or territory and, in the Province of Québec, the Civil Code of Quebec as from time to time in effect in such province.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means the interest rate per annum announced from time to time by the Administrative Agent at its main offices in Pittsburgh, Pennsylvania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PST</w:t>
      </w:r>
      <w:r>
        <w:rPr>
          <w:color w:val="000000"/>
        </w:rPr>
        <w:t xml:space="preserve">” </w:t>
      </w:r>
      <w:r>
        <w:rPr>
          <w:rFonts w:ascii="Times New Roman;serif" w:hAnsi="Times New Roman;serif"/>
          <w:b w:val="false"/>
          <w:color w:val="000000"/>
          <w:sz w:val="24"/>
        </w:rPr>
        <w:t>means all taxes payable under any provincial sales or use tax or social services tax statute of any jurisdiction of Canada, other than the Province of Québec, but in any event, excluding any GST.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 Party</w:t>
      </w:r>
      <w:r>
        <w:rPr>
          <w:color w:val="000000"/>
        </w:rPr>
        <w:t xml:space="preserve">” </w:t>
      </w:r>
      <w:r>
        <w:rPr>
          <w:rFonts w:ascii="Times New Roman;serif" w:hAnsi="Times New Roman;serif"/>
          <w:b w:val="false"/>
          <w:color w:val="000000"/>
          <w:sz w:val="24"/>
        </w:rPr>
        <w:t>means each Purchaser, the Structuring Agent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Purchasers</w:t>
      </w:r>
      <w:r>
        <w:rPr>
          <w:color w:val="000000"/>
        </w:rPr>
        <w:t xml:space="preserve">” </w:t>
      </w:r>
      <w:r>
        <w:rPr>
          <w:rFonts w:ascii="Times New Roman;serif" w:hAnsi="Times New Roman;serif"/>
          <w:b w:val="false"/>
          <w:color w:val="000000"/>
          <w:sz w:val="24"/>
        </w:rPr>
        <w:t xml:space="preserve">means the financial institutions named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and their respective successors and assigns as permitted hereunder, each of which is referred to herein as a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QST</w:t>
      </w:r>
      <w:r>
        <w:rPr>
          <w:color w:val="000000"/>
        </w:rPr>
        <w:t xml:space="preserve">” </w:t>
      </w:r>
      <w:r>
        <w:rPr>
          <w:rFonts w:ascii="Times New Roman;serif" w:hAnsi="Times New Roman;serif"/>
          <w:b w:val="false"/>
          <w:color w:val="000000"/>
          <w:sz w:val="24"/>
        </w:rPr>
        <w:t>means the tax payable under the Act Respecting the Québec Sales Tax, R.S.Q. c.T-01, as such statute may be amended, modified, supplemented or replaced from time to time, including any successor statute, and any other tax from time to time replacing the same or of a similar fiscal nature.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Quebec Assignment Agreement</w:t>
      </w:r>
      <w:r>
        <w:rPr>
          <w:color w:val="000000"/>
        </w:rPr>
        <w:t xml:space="preserve">” </w:t>
      </w:r>
      <w:r>
        <w:rPr>
          <w:rFonts w:ascii="Times New Roman;serif" w:hAnsi="Times New Roman;serif"/>
          <w:b w:val="false"/>
          <w:color w:val="000000"/>
          <w:sz w:val="24"/>
        </w:rPr>
        <w:t>has the meaning given to it in the Canadian Transfer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Quebec Receivable</w:t>
      </w:r>
      <w:r>
        <w:rPr>
          <w:color w:val="000000"/>
        </w:rPr>
        <w:t xml:space="preserve">” </w:t>
      </w:r>
      <w:r>
        <w:rPr>
          <w:rFonts w:ascii="Times New Roman;serif" w:hAnsi="Times New Roman;serif"/>
          <w:b w:val="false"/>
          <w:color w:val="000000"/>
          <w:sz w:val="24"/>
        </w:rPr>
        <w:t>has the meaning given to it in the Canadian Transfer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w:t>
      </w:r>
      <w:r>
        <w:rPr>
          <w:color w:val="000000"/>
        </w:rPr>
        <w:t xml:space="preserve">” </w:t>
      </w:r>
      <w:r>
        <w:rPr>
          <w:rFonts w:ascii="Times New Roman;serif" w:hAnsi="Times New Roman;serif"/>
          <w:b w:val="false"/>
          <w:color w:val="000000"/>
          <w:sz w:val="24"/>
        </w:rPr>
        <w:t>means any right to payment of a monetary obligation, whether or not earned by performance, owed to any Originator, the Aggregator (including as assignee of an Originator), the Seller (as assignee of the Aggregator) or the Canadian Guarantor, whether constituting an account, chattel paper, payment intangible, instrument or general intangible, in each instance arising in connection with the sale of goods that have been or are to be sold or for services rendered or to be rendered, and includes the obligation to pay the service charges, finance charges, interest, fees and other charges and any value added Taxes or sales Taxes (including all Canadian Sales Taxes and VAT) with respect thereto. Any such right to payment arising from any one transaction, including any such right to payment represented by an individual invoice or agreement, shall constitute a Receivable separate from a Receivable consisting of any such right to payment arising from any other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Receivables Pool</w:t>
      </w:r>
      <w:r>
        <w:rPr>
          <w:color w:val="000000"/>
        </w:rPr>
        <w:t xml:space="preserve">” </w:t>
      </w:r>
      <w:r>
        <w:rPr>
          <w:rFonts w:ascii="Times New Roman;serif" w:hAnsi="Times New Roman;serif"/>
          <w:b w:val="false"/>
          <w:color w:val="000000"/>
          <w:sz w:val="24"/>
        </w:rPr>
        <w:t>means, at any time, all of the then outstanding Receivables transferred (or purported to be transferred) pursuant to the Transfer Agreements, including both Sold Receivables and Unsold Receivables, (i) first by a U.S. Originator to the Aggregator and subsequently by the Aggregator to the Seller, (ii) by a UK Originator or Swiss Originator to the Seller, or (iii) by a Canadian Originator to the Canadian Guarantor,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means (a) the Administrative Agent and (b) any Purchaser,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Reduction Notice</w:t>
      </w:r>
      <w:r>
        <w:rPr>
          <w:color w:val="000000"/>
        </w:rPr>
        <w:t xml:space="preserve">” </w:t>
      </w:r>
      <w:r>
        <w:rPr>
          <w:rFonts w:ascii="Times New Roman;serif" w:hAnsi="Times New Roman;serif"/>
          <w:b w:val="false"/>
          <w:color w:val="000000"/>
          <w:sz w:val="24"/>
        </w:rPr>
        <w:t xml:space="preserve">means a letter in substantially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delivered by the Seller to the Administrative Agent </w:t>
      </w:r>
      <w:r>
        <w:rPr>
          <w:rFonts w:ascii="Times New Roman;serif" w:hAnsi="Times New Roman;serif"/>
          <w:b w:val="false"/>
          <w:strike/>
          <w:color w:val="FF0000"/>
          <w:sz w:val="24"/>
        </w:rPr>
        <w:t xml:space="preserve">and the Purchasers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2.02(d)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12.06(c)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Person, such Person’s Affiliates and the partners, directors, officers, employees, agents and advisors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Rights</w:t>
      </w:r>
      <w:r>
        <w:rPr>
          <w:color w:val="000000"/>
        </w:rPr>
        <w:t xml:space="preserve">” </w:t>
      </w:r>
      <w:r>
        <w:rPr>
          <w:rFonts w:ascii="Times New Roman;serif" w:hAnsi="Times New Roman;serif"/>
          <w:b w:val="false"/>
          <w:color w:val="000000"/>
          <w:sz w:val="24"/>
        </w:rPr>
        <w:t>has the meaning set forth in the applicable Transfer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Security</w:t>
      </w:r>
      <w:r>
        <w:rPr>
          <w:color w:val="000000"/>
        </w:rPr>
        <w:t xml:space="preserve">” </w:t>
      </w:r>
      <w:r>
        <w:rPr>
          <w:rFonts w:ascii="Times New Roman;serif" w:hAnsi="Times New Roman;serif"/>
          <w:b w:val="false"/>
          <w:color w:val="000000"/>
          <w:sz w:val="24"/>
        </w:rPr>
        <w:t>means, with respect to any Receivable:</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    all of each SPV Entity’s, the Aggregator’s and each Originator’s interest in any goods (including Returned Goods), and documentation of title evidencing the shipment or storage of any goods (including Returned Goods), the sale of which gave rise to such Receivable</w:t>
      </w:r>
      <w:r>
        <w:rPr>
          <w:rFonts w:ascii="Segoe UI;sans-serif" w:hAnsi="Segoe UI;sans-serif"/>
          <w:b w:val="false"/>
          <w:color w:val="000000"/>
          <w:sz w:val="20"/>
        </w:rPr>
        <w:t xml:space="preserve">; </w:t>
      </w:r>
      <w:r>
        <w:rPr>
          <w:rFonts w:ascii="Times New Roman;serif" w:hAnsi="Times New Roman;serif"/>
          <w:b w:val="false"/>
          <w:color w:val="000000"/>
          <w:sz w:val="24"/>
        </w:rPr>
        <w:t>provided, however, that if such Receivable is subject to Dilution arising from the return or repossession of, or foreclosure on, related Returned Goods and the SPV Entity-Related Parties have made all related payments of Deemed Collections in accordance with the Transaction Documents, then Related Security with respect to such Receivable shall exclude such Returned Goods;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all instruments and chattel paper that may evidence such Receivable;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letter of credit rights, other security interests or liens and property subject thereto from time to time purporting to secure payment of such Receivable, whether pursuant to the Contract related to such Receivable or otherwise, together with all UCC and PPSA financing statements, financing change statements, amendments or similar filings relating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all of each SPV Entity’s, the Aggregator’s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books and records of each SPV Entity, the Aggregator and each Originator to the extent related to any of the foregoing, and all rights, remedies, powers, privileges, title and interest (but not obligations) in and to each Lock-Box, Collection Account and Cash Dominion Administration Account, into which any Collections or other proceeds with respect to such Receivables may be deposited, and any related investment property acquired with any such Collections or other proceeds (as such term is defined in the UCC or PPSA,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all of the applicable SPV Entity’s rights, interests and claims under the Second Tier Transfer Agreement, the Canadian Transfer Agreement, the UK Transfer Agreement, the Swiss Transfer Agreement and the other Transaction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all of the Aggregator’s rights, interests and claims under the First Tier Transfer Agreement and the other Transaction Documents;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all Collections and other proceeds (as defined in the UCC or PPSA, as applicable) of such Receivable or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Relief Proceeding</w:t>
      </w:r>
      <w:r>
        <w:rPr>
          <w:color w:val="000000"/>
        </w:rPr>
        <w:t xml:space="preserve">” </w:t>
      </w:r>
      <w:r>
        <w:rPr>
          <w:rFonts w:ascii="Times New Roman;serif" w:hAnsi="Times New Roman;serif"/>
          <w:b w:val="false"/>
          <w:color w:val="000000"/>
          <w:sz w:val="24"/>
        </w:rPr>
        <w:t xml:space="preserve">means any proceeding seeking a decree or order for relief in respect of any </w:t>
      </w:r>
      <w:r>
        <w:rPr>
          <w:rFonts w:ascii="Times New Roman;serif" w:hAnsi="Times New Roman;serif"/>
          <w:b w:val="false"/>
          <w:strike/>
          <w:color w:val="FF0000"/>
          <w:sz w:val="24"/>
        </w:rPr>
        <w:t>SPV Entity-Related Party</w:t>
      </w:r>
      <w:r>
        <w:rPr>
          <w:rFonts w:ascii="Times New Roman;serif" w:hAnsi="Times New Roman;serif"/>
          <w:b w:val="false"/>
          <w:color w:val="0000FF"/>
          <w:sz w:val="24"/>
          <w:u w:val="single"/>
        </w:rPr>
        <w:t>Person</w:t>
      </w:r>
      <w:r>
        <w:rPr>
          <w:color w:val="000000"/>
        </w:rPr>
        <w:t xml:space="preserve"> </w:t>
      </w:r>
      <w:r>
        <w:rPr>
          <w:rFonts w:ascii="Times New Roman;serif" w:hAnsi="Times New Roman;serif"/>
          <w:b w:val="false"/>
          <w:color w:val="000000"/>
          <w:sz w:val="24"/>
        </w:rPr>
        <w:t xml:space="preserve">or Subsidiary </w:t>
      </w:r>
      <w:r>
        <w:rPr>
          <w:rFonts w:ascii="Times New Roman;serif" w:hAnsi="Times New Roman;serif"/>
          <w:b w:val="false"/>
          <w:strike/>
          <w:color w:val="008000"/>
          <w:sz w:val="24"/>
        </w:rPr>
        <w:t>of a SPV Entity-Related Party</w:t>
      </w:r>
      <w:r>
        <w:rPr>
          <w:rFonts w:ascii="Times New Roman;serif" w:hAnsi="Times New Roman;serif"/>
          <w:b w:val="false"/>
          <w:color w:val="0000FF"/>
          <w:sz w:val="24"/>
          <w:u w:val="single"/>
        </w:rPr>
        <w:t>thereof</w:t>
      </w:r>
      <w:r>
        <w:rPr>
          <w:color w:val="000000"/>
        </w:rPr>
        <w:t xml:space="preserve"> </w:t>
      </w:r>
      <w:r>
        <w:rPr>
          <w:rFonts w:ascii="Times New Roman;serif" w:hAnsi="Times New Roman;serif"/>
          <w:b w:val="false"/>
          <w:color w:val="000000"/>
          <w:sz w:val="24"/>
        </w:rPr>
        <w:t xml:space="preserve">in a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voluntary or involuntary case under any applicable bankruptcy, insolvency, reorganization, administration, liquidation, arrangement, restructuring or other similar law now or hereafter in effect, or for the appointment of a receiver, interim receiver, receiver and manager, manager, liquidator, assignee, custodian, trustee, sequestrator, administrator, monitor, conservator (or similar official) of any </w:t>
      </w:r>
      <w:r>
        <w:rPr>
          <w:rFonts w:ascii="Times New Roman;serif" w:hAnsi="Times New Roman;serif"/>
          <w:b w:val="false"/>
          <w:strike/>
          <w:color w:val="FF0000"/>
          <w:sz w:val="24"/>
        </w:rPr>
        <w:t>SPV Entity-Related Party</w:t>
      </w:r>
      <w:r>
        <w:rPr>
          <w:rFonts w:ascii="Times New Roman;serif" w:hAnsi="Times New Roman;serif"/>
          <w:b w:val="false"/>
          <w:color w:val="0000FF"/>
          <w:sz w:val="24"/>
          <w:u w:val="single"/>
        </w:rPr>
        <w:t>Person</w:t>
      </w:r>
      <w:r>
        <w:rPr>
          <w:color w:val="000000"/>
        </w:rPr>
        <w:t xml:space="preserve"> </w:t>
      </w:r>
      <w:r>
        <w:rPr>
          <w:rFonts w:ascii="Times New Roman;serif" w:hAnsi="Times New Roman;serif"/>
          <w:b w:val="false"/>
          <w:color w:val="000000"/>
          <w:sz w:val="24"/>
        </w:rPr>
        <w:t>or Subsidiary of a SPV Entity-Related Party for any substantial part of its property, or for the winding-up or liquidation of its affairs, or an assignment for the benefit of its creditors.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Removal Effective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10.06(b)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strike/>
          <w:color w:val="FF0000"/>
        </w:rPr>
        <w:t>“</w:t>
      </w:r>
      <w:r>
        <w:rPr>
          <w:rFonts w:ascii="Times New Roman;serif" w:hAnsi="Times New Roman;serif"/>
          <w:b w:val="false"/>
          <w:strike/>
          <w:color w:val="FF0000"/>
          <w:sz w:val="24"/>
          <w:u w:val="single"/>
        </w:rPr>
        <w:t>Reportable Compliance Event</w:t>
      </w:r>
      <w:r>
        <w:rPr>
          <w:strike/>
          <w:color w:val="FF0000"/>
        </w:rPr>
        <w:t xml:space="preserve">” </w:t>
      </w:r>
      <w:r>
        <w:rPr>
          <w:rFonts w:ascii="Times New Roman;serif" w:hAnsi="Times New Roman;serif"/>
          <w:b w:val="false"/>
          <w:strike/>
          <w:color w:val="FF0000"/>
          <w:sz w:val="24"/>
        </w:rPr>
        <w:t>means that: (a) any Covered Entity becomes a Sanctioned Person, or is charged by indictment, criminal complaint, or similar charging instrument, arraigned, custodially detained, penalized or the subject of an assessment for a penalty, or enters into a settlement with an Official Body in connection with any economic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(b) any Covered Entity engages in a transaction that has caused or may cause the Purchasers or Administrative Agent to be in violation of any Anti-Terrorism Laws, including a Covered Entity’s use of any proceeds of the Investments to fund any operations in, finance any investments or activities in, or, make any payments to, directly or indirectly, a Sanctioned Person or Sanctioned Jurisdiction; (c) any Supporting Assets become Embargoed Property; or (d) any Covered Entity otherwise violates, or reasonably believes that it will violate, any of the representations or covenant (including any negative covenant) of this Agreement related to Anti-Terrorism Laws or Anti-Corruption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Purchasers</w:t>
      </w:r>
      <w:r>
        <w:rPr>
          <w:color w:val="000000"/>
        </w:rPr>
        <w:t xml:space="preserve">” </w:t>
      </w:r>
      <w:r>
        <w:rPr>
          <w:rFonts w:ascii="Times New Roman;serif" w:hAnsi="Times New Roman;serif"/>
          <w:b w:val="false"/>
          <w:color w:val="000000"/>
          <w:sz w:val="24"/>
        </w:rPr>
        <w:t>means Purchasers (other than any Defaulting Purchaser) having more than 50.00% of the aggregate amount of the Commitments of the Purchasers (excluding any Defaulting Purchaser) or, after termination of the Commitments, the outstanding Capital of the Purchasers (excluding any Defaulting Purchaser).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Resignation Effective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Payments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7.01(r)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Returned Goods</w:t>
      </w:r>
      <w:r>
        <w:rPr>
          <w:color w:val="000000"/>
        </w:rPr>
        <w:t xml:space="preserve">” </w:t>
      </w:r>
      <w:r>
        <w:rPr>
          <w:rFonts w:ascii="Times New Roman;serif" w:hAnsi="Times New Roman;serif"/>
          <w:b w:val="false"/>
          <w:color w:val="000000"/>
          <w:sz w:val="24"/>
        </w:rPr>
        <w:t>means all right, title and interest in and to returned, repossessed or foreclosed goods and/or merchandise the sale of which gave rise to a Receivable.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S&amp;P Global Ratings, a division of S&amp;P Global Inc., and any successor thereto that is a nationally recognized statistical rating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Jurisdiction</w:t>
      </w:r>
      <w:r>
        <w:rPr>
          <w:color w:val="000000"/>
        </w:rPr>
        <w:t xml:space="preserve">” </w:t>
      </w:r>
      <w:r>
        <w:rPr>
          <w:rFonts w:ascii="Times New Roman;serif" w:hAnsi="Times New Roman;serif"/>
          <w:b w:val="false"/>
          <w:color w:val="000000"/>
          <w:sz w:val="24"/>
        </w:rPr>
        <w:t>means</w:t>
      </w:r>
      <w:r>
        <w:rPr>
          <w:rFonts w:ascii="Times New Roman;serif" w:hAnsi="Times New Roman;serif"/>
          <w:b w:val="false"/>
          <w:color w:val="0000FF"/>
          <w:sz w:val="24"/>
          <w:u w:val="single"/>
        </w:rPr>
        <w:t>, at any time,</w:t>
      </w:r>
      <w:r>
        <w:rPr>
          <w:color w:val="000000"/>
        </w:rPr>
        <w:t xml:space="preserve"> </w:t>
      </w:r>
      <w:r>
        <w:rPr>
          <w:rFonts w:ascii="Times New Roman;serif" w:hAnsi="Times New Roman;serif"/>
          <w:b w:val="false"/>
          <w:color w:val="000000"/>
          <w:sz w:val="24"/>
        </w:rPr>
        <w:t xml:space="preserve">any country, </w:t>
      </w:r>
      <w:r>
        <w:rPr>
          <w:rFonts w:ascii="Times New Roman;serif" w:hAnsi="Times New Roman;serif"/>
          <w:b w:val="false"/>
          <w:color w:val="0000FF"/>
          <w:sz w:val="24"/>
          <w:u w:val="single"/>
        </w:rPr>
        <w:t xml:space="preserve">area, </w:t>
      </w:r>
      <w:r>
        <w:rPr>
          <w:rFonts w:ascii="Times New Roman;serif" w:hAnsi="Times New Roman;serif"/>
          <w:b w:val="false"/>
          <w:color w:val="000000"/>
          <w:sz w:val="24"/>
        </w:rPr>
        <w:t xml:space="preserve">territory, or </w:t>
      </w:r>
      <w:r>
        <w:rPr>
          <w:rFonts w:ascii="Times New Roman;serif" w:hAnsi="Times New Roman;serif"/>
          <w:b w:val="false"/>
          <w:strike/>
          <w:color w:val="FF0000"/>
          <w:sz w:val="24"/>
        </w:rPr>
        <w:t>region</w:t>
      </w:r>
      <w:r>
        <w:rPr>
          <w:rFonts w:ascii="Times New Roman;serif" w:hAnsi="Times New Roman;serif"/>
          <w:b w:val="false"/>
          <w:color w:val="0000FF"/>
          <w:sz w:val="24"/>
          <w:u w:val="single"/>
        </w:rPr>
        <w:t>jurisdiction</w:t>
      </w:r>
      <w:r>
        <w:rPr>
          <w:color w:val="000000"/>
        </w:rPr>
        <w:t xml:space="preserve"> </w:t>
      </w:r>
      <w:r>
        <w:rPr>
          <w:rFonts w:ascii="Times New Roman;serif" w:hAnsi="Times New Roman;serif"/>
          <w:b w:val="false"/>
          <w:color w:val="000000"/>
          <w:sz w:val="24"/>
        </w:rPr>
        <w:t xml:space="preserve">that is the subject </w:t>
      </w:r>
      <w:r>
        <w:rPr>
          <w:rFonts w:ascii="Times New Roman;serif" w:hAnsi="Times New Roman;serif"/>
          <w:b w:val="false"/>
          <w:strike/>
          <w:color w:val="FF0000"/>
          <w:sz w:val="24"/>
        </w:rPr>
        <w:t>of sanctions administered by OFAC.</w:t>
      </w:r>
      <w:r>
        <w:rPr>
          <w:rFonts w:ascii="Times New Roman;serif" w:hAnsi="Times New Roman;serif"/>
          <w:b w:val="false"/>
          <w:color w:val="0000FF"/>
          <w:sz w:val="24"/>
          <w:u w:val="single"/>
        </w:rPr>
        <w:t>or target of comprehensive Sanctions (as of the Third Amendment Effective Date, Cuba, Iran, North Korea, and the Crimea, Donetsk People’s Republic and Luhansk People’s Republic regions of Ukraine), as well as the Kherson and Zaporizhzhia regions of Ukraine.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strike/>
          <w:color w:val="FF0000"/>
        </w:rPr>
        <w:t>“</w:t>
      </w:r>
      <w:r>
        <w:rPr>
          <w:rFonts w:ascii="Times New Roman;serif" w:hAnsi="Times New Roman;serif"/>
          <w:b w:val="false"/>
          <w:strike/>
          <w:color w:val="FF0000"/>
          <w:sz w:val="24"/>
          <w:u w:val="single"/>
        </w:rPr>
        <w:t>Sanctioned Person</w:t>
      </w:r>
      <w:r>
        <w:rPr>
          <w:strike/>
          <w:color w:val="FF0000"/>
        </w:rPr>
        <w:t xml:space="preserve">” </w:t>
      </w:r>
      <w:r>
        <w:rPr>
          <w:rFonts w:ascii="Times New Roman;serif" w:hAnsi="Times New Roman;serif"/>
          <w:b w:val="false"/>
          <w:strike/>
          <w:color w:val="FF0000"/>
          <w:sz w:val="24"/>
        </w:rPr>
        <w:t xml:space="preserve">means (a) a Person that is the target of sanctions administered by OFAC or </w:t>
      </w:r>
      <w:r>
        <w:rPr>
          <w:rFonts w:ascii="Times New Roman;serif" w:hAnsi="Times New Roman;serif"/>
          <w:b w:val="false"/>
          <w:strike/>
          <w:color w:val="008000"/>
          <w:sz w:val="24"/>
        </w:rPr>
        <w:t xml:space="preserve">the U.S. Department of </w:t>
      </w:r>
      <w:r>
        <w:rPr>
          <w:rFonts w:ascii="Times New Roman;serif" w:hAnsi="Times New Roman;serif"/>
          <w:b w:val="false"/>
          <w:strike/>
          <w:color w:val="FF0000"/>
          <w:sz w:val="24"/>
        </w:rPr>
        <w:t>State, including by virtue of being (i) named on OFAC’s list of “Specially Designated Nationals and Blocked Persons”; (ii) organized under the Laws of, ordinarily resident in, or physically located in a Sanctioned Jurisdiction; (iii) owned or controlled 50.00% or more in the aggregate, by one or more Persons that are the subject of sanctions administered by OFAC; (b) a Person that is the target of sanctions maintained by the European Union (“</w:t>
      </w:r>
      <w:r>
        <w:rPr>
          <w:rFonts w:ascii="Times New Roman;serif" w:hAnsi="Times New Roman;serif"/>
          <w:b w:val="false"/>
          <w:strike/>
          <w:color w:val="FF0000"/>
          <w:sz w:val="24"/>
          <w:u w:val="single"/>
        </w:rPr>
        <w:t>E.U.</w:t>
      </w:r>
      <w:r>
        <w:rPr>
          <w:strike/>
          <w:color w:val="FF0000"/>
        </w:rPr>
        <w:t>”</w:t>
      </w:r>
      <w:r>
        <w:rPr>
          <w:rFonts w:ascii="Times New Roman;serif" w:hAnsi="Times New Roman;serif"/>
          <w:b w:val="false"/>
          <w:strike/>
          <w:color w:val="FF0000"/>
          <w:sz w:val="24"/>
        </w:rPr>
        <w:t>), including by virtue of being named on the E.U.’s “Consolidated list of persons, groups and entities subject to E.U. financial sanctions” or other, similar lists; (c) a Person that is the target of sanctions maintained by the United Kingdom (“</w:t>
      </w:r>
      <w:r>
        <w:rPr>
          <w:rFonts w:ascii="Times New Roman;serif" w:hAnsi="Times New Roman;serif"/>
          <w:b w:val="false"/>
          <w:strike/>
          <w:color w:val="FF0000"/>
          <w:sz w:val="24"/>
          <w:u w:val="single"/>
        </w:rPr>
        <w:t>U.K.</w:t>
      </w:r>
      <w:r>
        <w:rPr>
          <w:strike/>
          <w:color w:val="FF0000"/>
        </w:rPr>
        <w:t>”</w:t>
      </w:r>
      <w:r>
        <w:rPr>
          <w:rFonts w:ascii="Times New Roman;serif" w:hAnsi="Times New Roman;serif"/>
          <w:b w:val="false"/>
          <w:strike/>
          <w:color w:val="FF0000"/>
          <w:sz w:val="24"/>
        </w:rPr>
        <w:t>), including by virtue of being named on the “Consolidated List Of Financial Sanctions Targets in the U.K.” or other, similar lists; (d) a Person that is the target of sanctions maintained by Canada, including by virtue of being named on a list maintained by Global Affairs Canada and any other applicable Canadian Governmental Authority; or (e) a Person that is the target of sanctions imposed by any Official Body of a jurisdiction whose Laws apply to this Agreement.</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Sanctioned Person” means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clauses (a) or (b) above; or (d) otherwise the subject or target of Sanctions.</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Sanctions” means Laws relating to economic or financial sanctions, sectoral sanctions, or secondary sanctions, administered, or enforced from time to time by any Compliance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Scheduled Termination Date</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strike/>
          <w:color w:val="FF0000"/>
          <w:sz w:val="24"/>
        </w:rPr>
        <w:t xml:space="preserve">the earliest to occur of (a) September 29, 2026 and (b) the “Revolving Facility Maturity Date” under and as defined </w:t>
      </w:r>
      <w:r>
        <w:rPr>
          <w:rFonts w:ascii="Times New Roman;serif" w:hAnsi="Times New Roman;serif"/>
          <w:b w:val="false"/>
          <w:strike/>
          <w:color w:val="008000"/>
          <w:sz w:val="24"/>
        </w:rPr>
        <w:t xml:space="preserve">in the First Lien Credit Agreement </w:t>
      </w:r>
      <w:r>
        <w:rPr>
          <w:rFonts w:ascii="Times New Roman;serif" w:hAnsi="Times New Roman;serif"/>
          <w:b w:val="false"/>
          <w:strike/>
          <w:color w:val="FF0000"/>
          <w:sz w:val="24"/>
        </w:rPr>
        <w:t>(as amended from time to time), provided that such “Revolving Facility Maturity Date” is not extended 90 days prior to such “Revolving Facility Maturity Date”.</w:t>
      </w:r>
      <w:r>
        <w:rPr>
          <w:rFonts w:ascii="Times New Roman;serif" w:hAnsi="Times New Roman;serif"/>
          <w:b w:val="false"/>
          <w:color w:val="0000FF"/>
          <w:sz w:val="24"/>
          <w:u w:val="single"/>
        </w:rPr>
        <w:t>July 2, 2029.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 or any governmental agencies substituted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Second Tier Transfer Agreement</w:t>
      </w:r>
      <w:r>
        <w:rPr>
          <w:color w:val="000000"/>
        </w:rPr>
        <w:t xml:space="preserve">” </w:t>
      </w:r>
      <w:r>
        <w:rPr>
          <w:rFonts w:ascii="Times New Roman;serif" w:hAnsi="Times New Roman;serif"/>
          <w:b w:val="false"/>
          <w:color w:val="000000"/>
          <w:sz w:val="24"/>
        </w:rPr>
        <w:t>means that certain Sale and Contribution Agreement, dated as of the Closing Date, among the U.S. Servicer, the Aggregator and the Seller,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 xml:space="preserve">means each Purchaser Party, each SPV Entity Indemnified Party and each co-agent or sub-agent appointed by the Administrative Agent from time to time pursuant to </w:t>
      </w:r>
      <w:r>
        <w:rPr>
          <w:rFonts w:ascii="Times New Roman;serif" w:hAnsi="Times New Roman;serif"/>
          <w:b w:val="false"/>
          <w:color w:val="000000"/>
          <w:sz w:val="24"/>
          <w:u w:val="single"/>
        </w:rPr>
        <w:t>Section 10.05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 xml:space="preserve">has the meaning specified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Guaranty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Obligations</w:t>
      </w:r>
      <w:r>
        <w:rPr>
          <w:color w:val="000000"/>
        </w:rPr>
        <w:t xml:space="preserve">” </w:t>
      </w:r>
      <w:r>
        <w:rPr>
          <w:rFonts w:ascii="Times New Roman;serif" w:hAnsi="Times New Roman;serif"/>
          <w:b w:val="false"/>
          <w:color w:val="000000"/>
          <w:sz w:val="24"/>
        </w:rPr>
        <w:t>means all present and future indebtedness, reimbursement obligations, and other liabilities and obligations (howsoever created, arising or evidenced, whether direct or indirect, absolute or contingent, or due or to become due) of the Seller to any Secured Party, arising under or in connection with this Agreement or any other Transaction Document or the transactions contemplated hereby or thereby, and shall include all Capital and Yield, all Fees and all other amounts due or to become due under the Transaction Documents (whether in respect of fees, costs, expenses, indemnifications or otherwise), including interest, yield, fees and other obligations that accrue after the commencement of any Relief Proceeding with respect to the Seller (in each case whether or not allowed as a claim in such proceeding).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w:t>
      </w:r>
      <w:r>
        <w:rPr>
          <w:color w:val="000000"/>
        </w:rPr>
        <w:t xml:space="preserve">” </w:t>
      </w:r>
      <w:r>
        <w:rPr>
          <w:rFonts w:ascii="Times New Roman;serif" w:hAnsi="Times New Roman;serif"/>
          <w:b w:val="false"/>
          <w:color w:val="000000"/>
          <w:sz w:val="24"/>
        </w:rPr>
        <w:t xml:space="preserve">has the meaning set forth in the </w:t>
      </w:r>
      <w:r>
        <w:rPr>
          <w:rFonts w:ascii="Times New Roman;serif" w:hAnsi="Times New Roman;serif"/>
          <w:b w:val="false"/>
          <w:color w:val="000000"/>
          <w:sz w:val="24"/>
          <w:u w:val="single"/>
        </w:rPr>
        <w:t>preamble</w:t>
      </w:r>
      <w:r>
        <w:rPr>
          <w:color w:val="000000"/>
        </w:rPr>
        <w:t xml:space="preserve"> </w:t>
      </w:r>
      <w:r>
        <w:rPr>
          <w:rFonts w:ascii="Times New Roman;serif" w:hAnsi="Times New Roman;serif"/>
          <w:b w:val="false"/>
          <w:color w:val="000000"/>
          <w:sz w:val="24"/>
        </w:rPr>
        <w:t xml:space="preserve">to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 Indemnified Amounts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Servicer 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w:t>
      </w:r>
      <w:r>
        <w:rPr>
          <w:color w:val="000000"/>
        </w:rPr>
        <w:t xml:space="preserve">” </w:t>
      </w:r>
      <w:r>
        <w:rPr>
          <w:rFonts w:ascii="Times New Roman;serif" w:hAnsi="Times New Roman;serif"/>
          <w:b w:val="false"/>
          <w:color w:val="000000"/>
          <w:sz w:val="24"/>
        </w:rPr>
        <w:t>means, collectively, the U.S. Servicing Fee, the UK Servicing Fee, the Swiss Servicing Fee and the Canadian Servicing Fee.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Servicing Fee Rate</w:t>
      </w:r>
      <w:r>
        <w:rPr>
          <w:color w:val="000000"/>
        </w:rPr>
        <w:t xml:space="preserve">” </w:t>
      </w:r>
      <w:r>
        <w:rPr>
          <w:rFonts w:ascii="Times New Roman;serif" w:hAnsi="Times New Roman;serif"/>
          <w:b w:val="false"/>
          <w:color w:val="000000"/>
          <w:sz w:val="24"/>
        </w:rPr>
        <w:t>means 1.00%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means (i) so long as no Event of Default has occurred and is continuing and the Termination Date has not occurred, each Monthly Settlement Date and (ii) on and after the Termination Date or if an Event of Default has occurred and is continuing, each day selected from time to time by the Administrative Agent (it being understood that the Administrative Agent may select such Settlement Date to occur as frequently as daily), or, in the absence of such selection, the Monthly Settlement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for any day, a rate equal to the secured overnight financing rate as administered by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Floor</w:t>
      </w:r>
      <w:r>
        <w:rPr>
          <w:color w:val="000000"/>
        </w:rPr>
        <w:t xml:space="preserve">” </w:t>
      </w:r>
      <w:r>
        <w:rPr>
          <w:rFonts w:ascii="Times New Roman;serif" w:hAnsi="Times New Roman;serif"/>
          <w:b w:val="false"/>
          <w:color w:val="000000"/>
          <w:sz w:val="24"/>
        </w:rPr>
        <w:t>means a rate of interest per annum equal to zero basis points (0.00%).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Sold Assets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Sold Receivables</w:t>
      </w:r>
      <w:r>
        <w:rPr>
          <w:color w:val="000000"/>
        </w:rPr>
        <w:t xml:space="preserve">” </w:t>
      </w:r>
      <w:r>
        <w:rPr>
          <w:rFonts w:ascii="Times New Roman;serif" w:hAnsi="Times New Roman;serif"/>
          <w:b w:val="false"/>
          <w:color w:val="000000"/>
          <w:sz w:val="24"/>
        </w:rPr>
        <w:t xml:space="preserve">means, collectively, (i) the Pool Receivables specified as “Sold Receivables” on the Initial Schedule of Sold Receivables, (ii) all additional Pool Receivables specified as “Sold Receivables” on the Investment Requests delivered with respect to all subsequent Investments made hereunder and (iii) all additional Pool Receivables designated as “Sold Receivables” and transferred by the Seller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in connection with a Release as contemplated by the first paragraph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Sold Swiss Assets</w:t>
      </w:r>
      <w:r>
        <w:rPr>
          <w:color w:val="000000"/>
        </w:rPr>
        <w:t xml:space="preserve">” </w:t>
      </w:r>
      <w:r>
        <w:rPr>
          <w:rFonts w:ascii="Times New Roman;serif" w:hAnsi="Times New Roman;serif"/>
          <w:b w:val="false"/>
          <w:color w:val="000000"/>
          <w:sz w:val="24"/>
        </w:rPr>
        <w:t>means, collectively, all Sold Assets subject to Swiss substantive laws.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Sold Swiss Receivables</w:t>
      </w:r>
      <w:r>
        <w:rPr>
          <w:color w:val="000000"/>
        </w:rPr>
        <w:t xml:space="preserve">” </w:t>
      </w:r>
      <w:r>
        <w:rPr>
          <w:rFonts w:ascii="Times New Roman;serif" w:hAnsi="Times New Roman;serif"/>
          <w:b w:val="false"/>
          <w:color w:val="000000"/>
          <w:sz w:val="24"/>
        </w:rPr>
        <w:t>means, collectively, all Sold Receivables subject to Swiss substantive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incur debts or liabilities beyond such Person’s ability to pay as such debts and liabilities mature,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and (f) such Person is not an “insolvent person” within the meaning of the Bankruptcy and Insolvency Act (Canada).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Sponsor</w:t>
      </w:r>
      <w:r>
        <w:rPr>
          <w:color w:val="000000"/>
        </w:rPr>
        <w:t xml:space="preserve">” </w:t>
      </w:r>
      <w:r>
        <w:rPr>
          <w:rFonts w:ascii="Times New Roman;serif" w:hAnsi="Times New Roman;serif"/>
          <w:b w:val="false"/>
          <w:color w:val="000000"/>
          <w:sz w:val="24"/>
        </w:rPr>
        <w:t>means, collectively, investment funds, separate accounts or other entities advised, managed or controlled by Athene Holding Ltd., Apollo Management Holdings, L.P. or their respective affiliates (including affiliated investment managers or advisers).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Entity</w:t>
      </w:r>
      <w:r>
        <w:rPr>
          <w:color w:val="000000"/>
        </w:rPr>
        <w:t xml:space="preserve">” </w:t>
      </w:r>
      <w:r>
        <w:rPr>
          <w:rFonts w:ascii="Times New Roman;serif" w:hAnsi="Times New Roman;serif"/>
          <w:b w:val="false"/>
          <w:color w:val="000000"/>
          <w:sz w:val="24"/>
        </w:rPr>
        <w:t>has the meaning specified in the preamble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Entity Guaranty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2.08(a)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Entity Indemnified Amounts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Entity Indemnified Party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11.02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Entity-Related Party</w:t>
      </w:r>
      <w:r>
        <w:rPr>
          <w:color w:val="000000"/>
        </w:rPr>
        <w:t xml:space="preserve">” </w:t>
      </w:r>
      <w:r>
        <w:rPr>
          <w:rFonts w:ascii="Times New Roman;serif" w:hAnsi="Times New Roman;serif"/>
          <w:b w:val="false"/>
          <w:color w:val="000000"/>
          <w:sz w:val="24"/>
        </w:rPr>
        <w:t>means each of the Seller, the Canadian Guarantor, the Servicers, the Performance Guarantor, the Parent, the Originators, the Aggregator and any other Affiliate of the Parent from time to time party to any Transaction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Reimbursement and Contribution Agreement</w:t>
      </w:r>
      <w:r>
        <w:rPr>
          <w:color w:val="000000"/>
        </w:rPr>
        <w:t xml:space="preserve">” </w:t>
      </w:r>
      <w:r>
        <w:rPr>
          <w:rFonts w:ascii="Times New Roman;serif" w:hAnsi="Times New Roman;serif"/>
          <w:b w:val="false"/>
          <w:color w:val="000000"/>
          <w:sz w:val="24"/>
        </w:rPr>
        <w:t>means the SPV Reimbursement and Contribution Agreement dated on or about the Closing Date, between the SPV Entities, as such agreement may be amended, supplemented or otherwise modified from time to time with the prior written consent of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SPV Reimbursement Obligation</w:t>
      </w:r>
      <w:r>
        <w:rPr>
          <w:color w:val="000000"/>
        </w:rPr>
        <w:t xml:space="preserve">” </w:t>
      </w:r>
      <w:r>
        <w:rPr>
          <w:rFonts w:ascii="Times New Roman;serif" w:hAnsi="Times New Roman;serif"/>
          <w:b w:val="false"/>
          <w:color w:val="000000"/>
          <w:sz w:val="24"/>
        </w:rPr>
        <w:t>means the obligation of the Seller to repay Inter-Company Advances (as such term in defined in the SPV Reimbursement and Contribution Agreement) to the Canadian Guarantor together with interest thereon as set forth in the SPV Reimbursement and Contribution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Statements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6.01(</w:t>
      </w:r>
      <w:r>
        <w:rPr>
          <w:rFonts w:ascii="Times New Roman;serif" w:hAnsi="Times New Roman;serif"/>
          <w:b w:val="false"/>
          <w:strike/>
          <w:color w:val="FF0000"/>
          <w:sz w:val="24"/>
          <w:u w:val="single"/>
        </w:rPr>
        <w:t>ee</w:t>
      </w:r>
      <w:r>
        <w:rPr>
          <w:rFonts w:ascii="Times New Roman;serif" w:hAnsi="Times New Roman;serif"/>
          <w:b w:val="false"/>
          <w:color w:val="0000FF"/>
          <w:sz w:val="24"/>
          <w:u w:val="single"/>
        </w:rPr>
        <w:t>dd</w:t>
      </w:r>
      <w:r>
        <w:rPr>
          <w:rFonts w:ascii="Times New Roman;serif" w:hAnsi="Times New Roman;serif"/>
          <w:b w:val="false"/>
          <w:color w:val="000000"/>
          <w:sz w:val="24"/>
          <w:u w:val="single"/>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Sterling</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GBP</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Structuring Agent</w:t>
      </w:r>
      <w:r>
        <w:rPr>
          <w:color w:val="000000"/>
        </w:rPr>
        <w:t xml:space="preserve">” </w:t>
      </w:r>
      <w:r>
        <w:rPr>
          <w:rFonts w:ascii="Times New Roman;serif" w:hAnsi="Times New Roman;serif"/>
          <w:b w:val="false"/>
          <w:color w:val="000000"/>
          <w:sz w:val="24"/>
        </w:rPr>
        <w:t>means PNC Capital Markets LLC, a Pennsylvania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Sub-Servicer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8.01(d)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Subordinated Note</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Subordinated Loan</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Subordinated Loan Agreement</w:t>
      </w:r>
      <w:r>
        <w:rPr>
          <w:color w:val="000000"/>
        </w:rPr>
        <w:t xml:space="preserve">” </w:t>
      </w:r>
      <w:r>
        <w:rPr>
          <w:rFonts w:ascii="Times New Roman;serif" w:hAnsi="Times New Roman;serif"/>
          <w:b w:val="false"/>
          <w:color w:val="000000"/>
          <w:sz w:val="24"/>
        </w:rPr>
        <w:t>have the meaning set forth in the applicable Transfer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as to any Person, any corporation, trust, partnership, limited liability company or other business entity (a) of which more than 50.00%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Supporting Assets</w:t>
      </w:r>
      <w:r>
        <w:rPr>
          <w:color w:val="000000"/>
        </w:rPr>
        <w:t xml:space="preserve">” </w:t>
      </w:r>
      <w:r>
        <w:rPr>
          <w:rFonts w:ascii="Times New Roman;serif" w:hAnsi="Times New Roman;serif"/>
          <w:b w:val="false"/>
          <w:color w:val="000000"/>
          <w:sz w:val="24"/>
        </w:rPr>
        <w:t>means all Sold Assets and all Pledged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Swiss Originator</w:t>
      </w:r>
      <w:r>
        <w:rPr>
          <w:color w:val="000000"/>
        </w:rPr>
        <w:t xml:space="preserve">” </w:t>
      </w:r>
      <w:r>
        <w:rPr>
          <w:rFonts w:ascii="Times New Roman;serif" w:hAnsi="Times New Roman;serif"/>
          <w:b w:val="false"/>
          <w:color w:val="000000"/>
          <w:sz w:val="24"/>
        </w:rPr>
        <w:t>means, initially Rackspace International GmbH and thereafter any Person organized in Switzerland (or any political subdivision thereof) from time to time a party to a Swiss Transfer Agreement as an “Originator”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Swiss Receivables</w:t>
      </w:r>
      <w:r>
        <w:rPr>
          <w:color w:val="000000"/>
        </w:rPr>
        <w:t xml:space="preserve">” </w:t>
      </w:r>
      <w:r>
        <w:rPr>
          <w:rFonts w:ascii="Times New Roman;serif" w:hAnsi="Times New Roman;serif"/>
          <w:b w:val="false"/>
          <w:color w:val="000000"/>
          <w:sz w:val="24"/>
        </w:rPr>
        <w:t>means each Receivable acquired pursuant to a Swiss Transfer Agreement from a Swiss 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Swiss Servicer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Swiss Servicing Fee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Swiss Transfer Agreement</w:t>
      </w:r>
      <w:r>
        <w:rPr>
          <w:color w:val="000000"/>
        </w:rPr>
        <w:t xml:space="preserve">” </w:t>
      </w:r>
      <w:r>
        <w:rPr>
          <w:rFonts w:ascii="Times New Roman;serif" w:hAnsi="Times New Roman;serif"/>
          <w:b w:val="false"/>
          <w:color w:val="000000"/>
          <w:sz w:val="24"/>
        </w:rPr>
        <w:t>means (i) the English and Swiss law governed transfer agreement, dated as of the First Amendment Effective Date, among the Swiss Servicer, the Swiss Originator and the Seller, and (ii) any other transfer agreement entered into from time to time among, among the Swiss Servicer, an affiliate of Rackspace Swiss incorporated in Switzerland as an originator and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present or future taxes, levies, imposts, duties, deductions, withholdings (including backup withholding), assessments, fees or other charges imposed by any Official Body,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earliest to occur of (a) the Scheduled Termination Date, (b) the date on which the Facility Limit is terminated in whole pursuant to </w:t>
      </w:r>
      <w:r>
        <w:rPr>
          <w:rFonts w:ascii="Times New Roman;serif" w:hAnsi="Times New Roman;serif"/>
          <w:b w:val="false"/>
          <w:color w:val="000000"/>
          <w:sz w:val="24"/>
          <w:u w:val="single"/>
        </w:rPr>
        <w:t>Section 2.02(e)</w:t>
      </w:r>
      <w:r>
        <w:rPr>
          <w:rFonts w:ascii="Times New Roman;serif" w:hAnsi="Times New Roman;serif"/>
          <w:b w:val="false"/>
          <w:color w:val="000000"/>
          <w:sz w:val="24"/>
        </w:rPr>
        <w:t xml:space="preserve">, (c) the date on which the “Termination Date” is declared or deemed to have occurred under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9.02</w:t>
      </w:r>
      <w:r>
        <w:rPr>
          <w:strike/>
          <w:color w:val="FF0000"/>
        </w:rPr>
        <w:t xml:space="preserve"> </w:t>
      </w:r>
      <w:r>
        <w:rPr>
          <w:rFonts w:ascii="Times New Roman;serif" w:hAnsi="Times New Roman;serif"/>
          <w:b w:val="false"/>
          <w:strike/>
          <w:color w:val="FF0000"/>
          <w:sz w:val="24"/>
        </w:rPr>
        <w:t>and</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(d) the date on which all Commitments have been reduced to zero</w:t>
      </w:r>
      <w:r>
        <w:rPr>
          <w:rFonts w:ascii="Times New Roman;serif" w:hAnsi="Times New Roman;serif"/>
          <w:b w:val="false"/>
          <w:color w:val="0000FF"/>
          <w:sz w:val="24"/>
          <w:u w:val="single"/>
        </w:rPr>
        <w:t>, and (e) the date that is six months prior to First Lien Earliest Maturity Date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means, with respect to any amount for which the Term SOFR Reference Rate applies, for any day in any Yield Period, the interest rate per annum determined by the Administrative Agent rounded upwards, at the Administrative Agent’s discretion, to the nearest 1/100th of 1%) equal to the Term SOFR Reference Rate for a term of one month, as such rate is published by the Term SOFR Administrator,</w:t>
      </w:r>
      <w:r>
        <w:rPr>
          <w:color w:val="000000"/>
        </w:rPr>
        <w:t xml:space="preserve"> </w:t>
      </w:r>
      <w:r>
        <w:rPr>
          <w:rFonts w:ascii="Times New Roman;serif" w:hAnsi="Times New Roman;serif"/>
          <w:b w:val="false"/>
          <w:color w:val="000000"/>
          <w:sz w:val="24"/>
        </w:rPr>
        <w:t>on the day (the “</w:t>
      </w:r>
      <w:r>
        <w:rPr>
          <w:rFonts w:ascii="Times New Roman;serif" w:hAnsi="Times New Roman;serif"/>
          <w:b w:val="false"/>
          <w:color w:val="000000"/>
          <w:sz w:val="24"/>
          <w:u w:val="single"/>
        </w:rPr>
        <w:t>Term SOFR Determination Date</w:t>
      </w:r>
      <w:r>
        <w:rPr>
          <w:color w:val="000000"/>
        </w:rPr>
        <w:t>”</w:t>
      </w:r>
      <w:r>
        <w:rPr>
          <w:rFonts w:ascii="Times New Roman;serif" w:hAnsi="Times New Roman;serif"/>
          <w:b w:val="false"/>
          <w:color w:val="000000"/>
          <w:sz w:val="24"/>
        </w:rPr>
        <w:t>) that is two (2) Business Days prior to the first day of such Yield Period, as such rate is published by the Term SOFR Administrator.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Texas DIR</w:t>
      </w:r>
      <w:r>
        <w:rPr>
          <w:color w:val="000000"/>
        </w:rPr>
        <w:t xml:space="preserve">” </w:t>
      </w:r>
      <w:r>
        <w:rPr>
          <w:rFonts w:ascii="Times New Roman;serif" w:hAnsi="Times New Roman;serif"/>
          <w:b w:val="false"/>
          <w:color w:val="000000"/>
          <w:sz w:val="24"/>
        </w:rPr>
        <w:t>means the Texas Department of Information Resources.</w:t>
      </w:r>
    </w:p>
    <w:p>
      <w:pPr>
        <w:pStyle w:val="TextBody"/>
        <w:bidi w:val="0"/>
        <w:spacing w:lineRule="auto" w:line="288" w:before="0" w:after="240"/>
        <w:ind w:left="0" w:right="0" w:firstLine="720"/>
        <w:jc w:val="both"/>
        <w:rPr>
          <w:color w:val="0000FF"/>
          <w:u w:val="single"/>
        </w:rPr>
      </w:pPr>
      <w:r>
        <w:rPr>
          <w:color w:val="0000FF"/>
          <w:u w:val="single"/>
        </w:rPr>
        <w:t>“</w:t>
      </w:r>
      <w:r>
        <w:rPr>
          <w:rFonts w:ascii="Times New Roman;serif" w:hAnsi="Times New Roman;serif"/>
          <w:b w:val="false"/>
          <w:color w:val="0000FF"/>
          <w:sz w:val="24"/>
          <w:u w:val="single"/>
        </w:rPr>
        <w:t>Third Amendment Effective Date” means July 2,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Threshold Amount</w:t>
      </w:r>
      <w:r>
        <w:rPr>
          <w:color w:val="000000"/>
        </w:rPr>
        <w:t xml:space="preserve">” </w:t>
      </w:r>
      <w:r>
        <w:rPr>
          <w:rFonts w:ascii="Times New Roman;serif" w:hAnsi="Times New Roman;serif"/>
          <w:b w:val="false"/>
          <w:color w:val="000000"/>
          <w:sz w:val="24"/>
        </w:rPr>
        <w:t>means $</w:t>
      </w:r>
      <w:r>
        <w:rPr>
          <w:rFonts w:ascii="Times New Roman;serif" w:hAnsi="Times New Roman;serif"/>
          <w:b w:val="false"/>
          <w:strike/>
          <w:color w:val="FF0000"/>
          <w:sz w:val="24"/>
        </w:rPr>
        <w:t>100,000,000</w:t>
      </w:r>
      <w:r>
        <w:rPr>
          <w:rFonts w:ascii="Times New Roman;serif" w:hAnsi="Times New Roman;serif"/>
          <w:b w:val="false"/>
          <w:color w:val="0000FF"/>
          <w:sz w:val="24"/>
          <w:u w:val="single"/>
        </w:rPr>
        <w:t>20,000,000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Total Reserves</w:t>
      </w:r>
      <w:r>
        <w:rPr>
          <w:color w:val="000000"/>
        </w:rPr>
        <w:t xml:space="preserve">” </w:t>
      </w:r>
      <w:r>
        <w:rPr>
          <w:rFonts w:ascii="Times New Roman;serif" w:hAnsi="Times New Roman;serif"/>
          <w:b w:val="false"/>
          <w:color w:val="000000"/>
          <w:sz w:val="24"/>
        </w:rPr>
        <w:t xml:space="preserve">means, at any time, an amount equal to the product of (a) the sum of: (i) the Yield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 the Foreign Currency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(iii) the greater of (x) the sum of the Concentration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the Minimum Dilution Reserve Percentage and (y) the sum of the Loss Reserve Percentage,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Dilution Reserve Percentage,</w:t>
      </w:r>
      <w:r>
        <w:rPr>
          <w:color w:val="000000"/>
          <w:u w:val="single"/>
        </w:rPr>
        <w:t xml:space="preserve"> </w:t>
      </w:r>
      <w:r>
        <w:rPr>
          <w:rFonts w:ascii="Times New Roman;serif" w:hAnsi="Times New Roman;serif"/>
          <w:b w:val="false"/>
          <w:color w:val="000000"/>
          <w:sz w:val="24"/>
          <w:u w:val="single"/>
        </w:rPr>
        <w:t>times</w:t>
      </w:r>
      <w:r>
        <w:rPr>
          <w:color w:val="000000"/>
        </w:rPr>
        <w:t xml:space="preserve"> </w:t>
      </w:r>
      <w:r>
        <w:rPr>
          <w:rFonts w:ascii="Times New Roman;serif" w:hAnsi="Times New Roman;serif"/>
          <w:b w:val="false"/>
          <w:color w:val="000000"/>
          <w:sz w:val="24"/>
        </w:rPr>
        <w:t>(b) the Net Receivables Pool Balance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each Transfer Agreement, the Quebec Assignment Agreement, each Account Control Agreement, each Fee Letter, each Subordinated Note, each Subordinated Loan Agreement, the Performance Guaranty, the Pledge Agreement, the UK Risk Retention Letter Agreement, the UK Security Agreement, each UK Power of Attorney, each UK Declaration of Trust, and all other certificates, instruments, UCC and PPSA financing statements, financing change statements, amendments, reports, notices, agreements and documents executed or delivered under or in connection with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Agreement</w:t>
      </w:r>
      <w:r>
        <w:rPr>
          <w:color w:val="000000"/>
        </w:rPr>
        <w:t xml:space="preserve">” </w:t>
      </w:r>
      <w:r>
        <w:rPr>
          <w:rFonts w:ascii="Times New Roman;serif" w:hAnsi="Times New Roman;serif"/>
          <w:b w:val="false"/>
          <w:color w:val="000000"/>
          <w:sz w:val="24"/>
        </w:rPr>
        <w:t>means each of the First Tier Transfer Agreement, the Second Tier Transfer Agreement, the Canadian Transfer Agreement, the Swiss Transfer Agreement and the UK Transfer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Termination Event</w:t>
      </w:r>
      <w:r>
        <w:rPr>
          <w:color w:val="000000"/>
        </w:rPr>
        <w:t xml:space="preserve">” </w:t>
      </w:r>
      <w:r>
        <w:rPr>
          <w:rFonts w:ascii="Times New Roman;serif" w:hAnsi="Times New Roman;serif"/>
          <w:b w:val="false"/>
          <w:color w:val="000000"/>
          <w:sz w:val="24"/>
        </w:rPr>
        <w:t xml:space="preserve">means the occurrence of any event or circumstance (including the occurrence of the “Sale Termination Date” under the First Tier Sale Agreement, the UK Transfer Agreement or the Swiss Transfer Agreement or the “Sale and Contribution Termination Date” under the Second Tier Transfer Agreement and the Canadian Transfer Agreement) that causes: (i) any U.S. Originator to cease selling or contributing Receivables to the Aggregator, (ii) the Aggregator to cease selling and contributing Receivables to the Seller, (iii) any Canadian Originator to cease contributing Receivables to the Canadian Guarantor, or (iv) any UK Originator or Swiss Originator, as applicable, to cease selling Receivables to the Seller;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 Originator ceasing to be a party to a Transfer Agreement with the prior written consent of the Administrative Agent shall not constitute a Transfer Termination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from time to time in effect in the applicable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Collection Account</w:t>
      </w:r>
      <w:r>
        <w:rPr>
          <w:color w:val="000000"/>
        </w:rPr>
        <w:t xml:space="preserve">” </w:t>
      </w:r>
      <w:r>
        <w:rPr>
          <w:rFonts w:ascii="Times New Roman;serif" w:hAnsi="Times New Roman;serif"/>
          <w:b w:val="false"/>
          <w:color w:val="000000"/>
          <w:sz w:val="24"/>
        </w:rPr>
        <w:t xml:space="preserve">means each account listed as a UK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connection with the closing or opening of any UK Collection Account in accordance with the terms hereof) (in each case, in the name of the Person specified as the account holder at the Collection Account Bank specified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Declaration of Trust</w:t>
      </w:r>
      <w:r>
        <w:rPr>
          <w:color w:val="000000"/>
        </w:rPr>
        <w:t xml:space="preserve">” </w:t>
      </w:r>
      <w:r>
        <w:rPr>
          <w:rFonts w:ascii="Times New Roman;serif" w:hAnsi="Times New Roman;serif"/>
          <w:b w:val="false"/>
          <w:color w:val="000000"/>
          <w:sz w:val="24"/>
        </w:rPr>
        <w:t>means (i) an English law declaration of trust, dated as of the First Amendment Effective Date between Rackspace Limited and the Seller, (ii) an English law declaration of trust, dated as of the First Amendment Effective Date, between Rackspace International GMBH and the Seller and (iii) any other declaration of trust governed by English law and entered into between any UK Originator and/or any Swiss Originator and the Seller in connection with the UK Transfer Agreement or the Swiss Transfer Agreement,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Insolvency Act</w:t>
      </w:r>
      <w:r>
        <w:rPr>
          <w:color w:val="000000"/>
        </w:rPr>
        <w:t xml:space="preserve">” </w:t>
      </w:r>
      <w:r>
        <w:rPr>
          <w:rFonts w:ascii="Times New Roman;serif" w:hAnsi="Times New Roman;serif"/>
          <w:b w:val="false"/>
          <w:color w:val="000000"/>
          <w:sz w:val="24"/>
        </w:rPr>
        <w:t>means the Insolvency Act 1986, (c 45).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Originator</w:t>
      </w:r>
      <w:r>
        <w:rPr>
          <w:color w:val="000000"/>
        </w:rPr>
        <w:t xml:space="preserve">” </w:t>
      </w:r>
      <w:r>
        <w:rPr>
          <w:rFonts w:ascii="Times New Roman;serif" w:hAnsi="Times New Roman;serif"/>
          <w:b w:val="false"/>
          <w:color w:val="000000"/>
          <w:sz w:val="24"/>
        </w:rPr>
        <w:t>means, initially Rackspace Limited and thereafter any Person organized in England and Wales (or any political subdivision thereof) from time to time a party to a UK Transfer Agreement as an “Originator”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Power of Attorney</w:t>
      </w:r>
      <w:r>
        <w:rPr>
          <w:color w:val="000000"/>
        </w:rPr>
        <w:t xml:space="preserve">” </w:t>
      </w:r>
      <w:r>
        <w:rPr>
          <w:rFonts w:ascii="Times New Roman;serif" w:hAnsi="Times New Roman;serif"/>
          <w:b w:val="false"/>
          <w:color w:val="000000"/>
          <w:sz w:val="24"/>
        </w:rPr>
        <w:t>means (i) an English law power of attorney, dated as of the First Amendment Effective Date, granted by the Seller to the Administrative Agent; (ii) an English law power of attorney, dated as of the First Amendment Effective Date, granted by Rackspace Limited to the Seller, (iii) an English law power of attorney, dated as of the First Amendment Effective Date, granted by Rackspace International GMBH to the Seller and (iv) any other power of attorney governed by English law and granted from time to time among by any UK Originator and/or any Swiss Originator to the Seller in connection with the UK Transfer Agreement or the Swiss Transfer Agreement,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Receivables</w:t>
      </w:r>
      <w:r>
        <w:rPr>
          <w:color w:val="000000"/>
        </w:rPr>
        <w:t xml:space="preserve">” </w:t>
      </w:r>
      <w:r>
        <w:rPr>
          <w:rFonts w:ascii="Times New Roman;serif" w:hAnsi="Times New Roman;serif"/>
          <w:b w:val="false"/>
          <w:color w:val="000000"/>
          <w:sz w:val="24"/>
        </w:rPr>
        <w:t>means each Receivable acquired pursuant to a UK Transfer Agreement from a UK Originator.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Risk Retention Letter Agreement</w:t>
      </w:r>
      <w:r>
        <w:rPr>
          <w:color w:val="000000"/>
        </w:rPr>
        <w:t xml:space="preserve">” </w:t>
      </w:r>
      <w:r>
        <w:rPr>
          <w:rFonts w:ascii="Times New Roman;serif" w:hAnsi="Times New Roman;serif"/>
          <w:b w:val="false"/>
          <w:color w:val="000000"/>
          <w:sz w:val="24"/>
        </w:rPr>
        <w:t>means the letter agreement relating to certain risk retention matters, to be dated as of the First Amendment Effective Date, among Rackspace US, Inc.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Security Agreement</w:t>
      </w:r>
      <w:r>
        <w:rPr>
          <w:color w:val="000000"/>
        </w:rPr>
        <w:t xml:space="preserve">” </w:t>
      </w:r>
      <w:r>
        <w:rPr>
          <w:rFonts w:ascii="Times New Roman;serif" w:hAnsi="Times New Roman;serif"/>
          <w:b w:val="false"/>
          <w:color w:val="000000"/>
          <w:sz w:val="24"/>
        </w:rPr>
        <w:t>means the English law Security Agreement, dated as of the First Amendment Effective Date, between the Seller, as chargor,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Servicer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Servicing Fee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Transfer Agreement</w:t>
      </w:r>
      <w:r>
        <w:rPr>
          <w:color w:val="000000"/>
        </w:rPr>
        <w:t xml:space="preserve">” </w:t>
      </w:r>
      <w:r>
        <w:rPr>
          <w:rFonts w:ascii="Times New Roman;serif" w:hAnsi="Times New Roman;serif"/>
          <w:b w:val="false"/>
          <w:color w:val="000000"/>
          <w:sz w:val="24"/>
        </w:rPr>
        <w:t>means (i) the English law transfer agreement, dated as of the First Amendment Effective Date, among the UK Servicer, the UK Originator and the Seller, and (ii) any other transfer agreement governed by English law and entered into from time to time among the UK Servicer, an affiliate of Rackspace UK incorporated in England &amp; Wales as an originator and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Unbilled Receivable</w:t>
      </w:r>
      <w:r>
        <w:rPr>
          <w:color w:val="000000"/>
        </w:rPr>
        <w:t xml:space="preserve">” </w:t>
      </w:r>
      <w:r>
        <w:rPr>
          <w:rFonts w:ascii="Times New Roman;serif" w:hAnsi="Times New Roman;serif"/>
          <w:b w:val="false"/>
          <w:color w:val="000000"/>
          <w:sz w:val="24"/>
        </w:rPr>
        <w:t>means, at any time, any Receivable as to which the invoice or bill with respect thereto has not yet been sent to the Obligor thereof and the Contract relating thereto obligates the Obligor thereof to pay for the related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Undrawn Fee</w:t>
      </w:r>
      <w:r>
        <w:rPr>
          <w:color w:val="000000"/>
        </w:rPr>
        <w:t xml:space="preserve">” </w:t>
      </w:r>
      <w:r>
        <w:rPr>
          <w:rFonts w:ascii="Times New Roman;serif" w:hAnsi="Times New Roman;serif"/>
          <w:b w:val="false"/>
          <w:color w:val="000000"/>
          <w:sz w:val="24"/>
        </w:rPr>
        <w:t>has the meaning set forth in the Fee Letters.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Unsold Receivables</w:t>
      </w:r>
      <w:r>
        <w:rPr>
          <w:color w:val="000000"/>
        </w:rPr>
        <w:t xml:space="preserve">” </w:t>
      </w:r>
      <w:r>
        <w:rPr>
          <w:rFonts w:ascii="Times New Roman;serif" w:hAnsi="Times New Roman;serif"/>
          <w:b w:val="false"/>
          <w:color w:val="000000"/>
          <w:sz w:val="24"/>
        </w:rPr>
        <w:t>means, at any time, all Pool Receivables that are not then Sold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means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U.S.-Canada Tax Treaty</w:t>
      </w:r>
      <w:r>
        <w:rPr>
          <w:color w:val="000000"/>
        </w:rPr>
        <w:t xml:space="preserve">” </w:t>
      </w:r>
      <w:r>
        <w:rPr>
          <w:rFonts w:ascii="Times New Roman;serif" w:hAnsi="Times New Roman;serif"/>
          <w:b w:val="false"/>
          <w:color w:val="000000"/>
          <w:sz w:val="24"/>
        </w:rPr>
        <w:t>means the Convention between the United States of America and Canada with respect to Taxes on Income and Capital,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Collection Account</w:t>
      </w:r>
      <w:r>
        <w:rPr>
          <w:color w:val="000000"/>
        </w:rPr>
        <w:t xml:space="preserve">” </w:t>
      </w:r>
      <w:r>
        <w:rPr>
          <w:rFonts w:ascii="Times New Roman;serif" w:hAnsi="Times New Roman;serif"/>
          <w:b w:val="false"/>
          <w:color w:val="000000"/>
          <w:sz w:val="24"/>
        </w:rPr>
        <w:t xml:space="preserve">means each account listed as a U.S. Collection Account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(as such schedule may be modified from time to time in connection with the closing or opening of any Collection Account in accordance with the terms hereof) (in each case, in the name of the Person specified as the account holder at the Collection Account Bank specified on </w:t>
      </w:r>
      <w:r>
        <w:rPr>
          <w:rFonts w:ascii="Times New Roman;serif" w:hAnsi="Times New Roman;serif"/>
          <w:b w:val="false"/>
          <w:color w:val="000000"/>
          <w:sz w:val="24"/>
          <w:u w:val="single"/>
        </w:rPr>
        <w:t>Schedule II</w:t>
      </w:r>
      <w:r>
        <w:rPr>
          <w:rFonts w:ascii="Times New Roman;serif" w:hAnsi="Times New Roman;serif"/>
          <w:b w:val="false"/>
          <w:color w:val="000000"/>
          <w:sz w:val="24"/>
        </w:rPr>
        <w:t>) and maintained at a bank or other financial institution acting as a Collection Account Bank pursuant to an Account Control Agreement for the purpose of receiving Collections.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Obligor</w:t>
      </w:r>
      <w:r>
        <w:rPr>
          <w:color w:val="000000"/>
        </w:rPr>
        <w:t xml:space="preserve">” </w:t>
      </w:r>
      <w:r>
        <w:rPr>
          <w:rFonts w:ascii="Times New Roman;serif" w:hAnsi="Times New Roman;serif"/>
          <w:b w:val="false"/>
          <w:color w:val="000000"/>
          <w:sz w:val="24"/>
        </w:rPr>
        <w:t>means an Obligor that is a corporation or other business organization and is organized under the laws of the United States of America (or of a United States of America territory, district, state, commonwealth, or possession, including, Puerto Rico and the U.S. Virgin Islands) or any political subdivision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Originator</w:t>
      </w:r>
      <w:r>
        <w:rPr>
          <w:color w:val="000000"/>
        </w:rPr>
        <w:t xml:space="preserve">” </w:t>
      </w:r>
      <w:r>
        <w:rPr>
          <w:rFonts w:ascii="Times New Roman;serif" w:hAnsi="Times New Roman;serif"/>
          <w:b w:val="false"/>
          <w:color w:val="000000"/>
          <w:sz w:val="24"/>
        </w:rPr>
        <w:t>means any Person organized in the United States of America (or any political subdivision thereof) from time to time a party to the First Tier Transfer Agreement as an “Originator”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Receivable</w:t>
      </w:r>
      <w:r>
        <w:rPr>
          <w:color w:val="000000"/>
        </w:rPr>
        <w:t xml:space="preserve">” </w:t>
      </w:r>
      <w:r>
        <w:rPr>
          <w:rFonts w:ascii="Times New Roman;serif" w:hAnsi="Times New Roman;serif"/>
          <w:b w:val="false"/>
          <w:color w:val="000000"/>
          <w:sz w:val="24"/>
        </w:rPr>
        <w:t>means each Pool Receivable originated by a U.S. Originator or the Aggregator.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Servicer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Servicing Fee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8.06(a)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4.03(g)(ii)(2)(III)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VaR Percentage</w:t>
      </w:r>
      <w:r>
        <w:rPr>
          <w:color w:val="000000"/>
        </w:rPr>
        <w:t xml:space="preserve">” </w:t>
      </w:r>
      <w:r>
        <w:rPr>
          <w:rFonts w:ascii="Times New Roman;serif" w:hAnsi="Times New Roman;serif"/>
          <w:b w:val="false"/>
          <w:color w:val="000000"/>
          <w:sz w:val="24"/>
        </w:rPr>
        <w:t>means (a) with respect to Sterling, 6.00%, (b) with respect to Euro, 5.00%, (c) with respect to Australian Dollar, 7.00%, and (d) with respect to Canadian Dollar, 4.00%; or such other value-at-risk percentage with respect any Alternative Currency designated by the Administrative Agent from time to time upon fifteen (15) Business Days’ prior notice to the Seller.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VAT</w:t>
      </w:r>
      <w:r>
        <w:rPr>
          <w:color w:val="000000"/>
        </w:rPr>
        <w:t xml:space="preserve">” </w:t>
      </w:r>
      <w:r>
        <w:rPr>
          <w:rFonts w:ascii="Times New Roman;serif" w:hAnsi="Times New Roman;serif"/>
          <w:b w:val="false"/>
          <w:color w:val="000000"/>
          <w:sz w:val="24"/>
        </w:rPr>
        <w:t xml:space="preserve">means (i) any value added tax imposed by the Value Added Tax Act 1994 in the United Kingdom; (ii) any tax imposed in compliance with the Council Directive of 28 November 2006 on the common system of value added tax (EC Directive 2006/112); and (iii) any other tax of a similar nature, whether imposed in the United Kingdom or in a member state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European Union in substitution for, or levied in addition to, such tax referred to in clauses (i) or (ii) above, or imposed elsewhere (other than Canadian Sales Tax).</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Volcker Rule</w:t>
      </w:r>
      <w:r>
        <w:rPr>
          <w:color w:val="000000"/>
        </w:rPr>
        <w:t xml:space="preserve">” </w:t>
      </w:r>
      <w:r>
        <w:rPr>
          <w:rFonts w:ascii="Times New Roman;serif" w:hAnsi="Times New Roman;serif"/>
          <w:b w:val="false"/>
          <w:color w:val="000000"/>
          <w:sz w:val="24"/>
        </w:rPr>
        <w:t>means Section 13 of the U.S. Bank Holding Company Act of 1956 and the applicable rules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Weighted Average Payment Terms</w:t>
      </w:r>
      <w:r>
        <w:rPr>
          <w:color w:val="000000"/>
        </w:rPr>
        <w:t xml:space="preserve">” </w:t>
      </w:r>
      <w:r>
        <w:rPr>
          <w:rFonts w:ascii="Times New Roman;serif" w:hAnsi="Times New Roman;serif"/>
          <w:b w:val="false"/>
          <w:color w:val="000000"/>
          <w:sz w:val="24"/>
        </w:rPr>
        <w:t xml:space="preserve">means, on any date, the weighted average payment terms (computed in days and calculated based on the difference between the original invoice date and the stated maturity date) of invoices for the Receivables in the Receivables Pool, </w:t>
      </w:r>
      <w:r>
        <w:rPr>
          <w:rFonts w:ascii="Times New Roman;serif" w:hAnsi="Times New Roman;serif"/>
          <w:b w:val="false"/>
          <w:color w:val="000000"/>
          <w:sz w:val="24"/>
          <w:u w:val="single"/>
        </w:rPr>
        <w:t>divided</w:t>
      </w:r>
      <w:r>
        <w:rPr>
          <w:color w:val="000000"/>
        </w:rPr>
        <w:t xml:space="preserve"> </w:t>
      </w:r>
      <w:r>
        <w:rPr>
          <w:rFonts w:ascii="Times New Roman;serif" w:hAnsi="Times New Roman;serif"/>
          <w:b w:val="false"/>
          <w:color w:val="000000"/>
          <w:sz w:val="24"/>
          <w:u w:val="single"/>
        </w:rPr>
        <w:t>by</w:t>
      </w:r>
      <w:r>
        <w:rPr>
          <w:color w:val="000000"/>
        </w:rPr>
        <w:t xml:space="preserve"> </w:t>
      </w:r>
      <w:r>
        <w:rPr>
          <w:rFonts w:ascii="Times New Roman;serif" w:hAnsi="Times New Roman;serif"/>
          <w:b w:val="false"/>
          <w:color w:val="000000"/>
          <w:sz w:val="24"/>
        </w:rPr>
        <w:t xml:space="preserve">30;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weighting shall be based on the Outstanding Balance on such date of such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means any SPV Entity-Related Party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w:t>
      </w:r>
      <w:r>
        <w:rPr>
          <w:color w:val="000000"/>
        </w:rPr>
        <w:t xml:space="preserve">” </w:t>
      </w:r>
      <w:r>
        <w:rPr>
          <w:rFonts w:ascii="Times New Roman;serif" w:hAnsi="Times New Roman;serif"/>
          <w:b w:val="false"/>
          <w:color w:val="000000"/>
          <w:sz w:val="24"/>
        </w:rPr>
        <w:t>means, for any Capital, the amount of interest or yield accrued on such Capital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Period</w:t>
      </w:r>
      <w:r>
        <w:rPr>
          <w:color w:val="000000"/>
        </w:rPr>
        <w:t xml:space="preserve">” </w:t>
      </w:r>
      <w:r>
        <w:rPr>
          <w:rFonts w:ascii="Times New Roman;serif" w:hAnsi="Times New Roman;serif"/>
          <w:b w:val="false"/>
          <w:color w:val="000000"/>
          <w:sz w:val="24"/>
        </w:rPr>
        <w:t>means, with respect to any Capital</w:t>
      </w:r>
      <w:r>
        <w:rPr>
          <w:rFonts w:ascii="Times New Roman;serif" w:hAnsi="Times New Roman;serif"/>
          <w:b w:val="false"/>
          <w:strike/>
          <w:color w:val="FF0000"/>
          <w:sz w:val="24"/>
        </w:rPr>
        <w:t>,</w:t>
      </w:r>
      <w:r>
        <w:rPr>
          <w:color w:val="000000"/>
        </w:rPr>
        <w:t xml:space="preserve"> </w:t>
      </w:r>
      <w:r>
        <w:rPr>
          <w:rFonts w:ascii="Times New Roman;serif" w:hAnsi="Times New Roman;serif"/>
          <w:b w:val="false"/>
          <w:color w:val="0000FF"/>
          <w:sz w:val="24"/>
          <w:u w:val="single"/>
        </w:rPr>
        <w:t>or fees payable hereunder,</w:t>
      </w:r>
      <w:r>
        <w:rPr>
          <w:color w:val="000000"/>
        </w:rPr>
        <w:t xml:space="preserve"> </w:t>
      </w:r>
      <w:r>
        <w:rPr>
          <w:rFonts w:ascii="Times New Roman;serif" w:hAnsi="Times New Roman;serif"/>
          <w:b w:val="false"/>
          <w:color w:val="000000"/>
          <w:sz w:val="24"/>
        </w:rPr>
        <w:t xml:space="preserve">(a) before the Termination Date: (i) initially, the period commencing on </w:t>
      </w:r>
      <w:r>
        <w:rPr>
          <w:rFonts w:ascii="Times New Roman;serif" w:hAnsi="Times New Roman;serif"/>
          <w:b w:val="false"/>
          <w:color w:val="0000FF"/>
          <w:sz w:val="24"/>
          <w:u w:val="single"/>
        </w:rPr>
        <w:t xml:space="preserve">(and including) </w:t>
      </w:r>
      <w:r>
        <w:rPr>
          <w:rFonts w:ascii="Times New Roman;serif" w:hAnsi="Times New Roman;serif"/>
          <w:b w:val="false"/>
          <w:color w:val="000000"/>
          <w:sz w:val="24"/>
        </w:rPr>
        <w:t xml:space="preserve">the date such Capital is funded through an Investment hereunder (or in the case of </w:t>
      </w:r>
      <w:r>
        <w:rPr>
          <w:rFonts w:ascii="Times New Roman;serif" w:hAnsi="Times New Roman;serif"/>
          <w:b w:val="false"/>
          <w:strike/>
          <w:color w:val="FF0000"/>
          <w:sz w:val="24"/>
        </w:rPr>
        <w:t>any</w:t>
      </w:r>
      <w:r>
        <w:rPr>
          <w:rFonts w:ascii="Times New Roman;serif" w:hAnsi="Times New Roman;serif"/>
          <w:b w:val="false"/>
          <w:color w:val="0000FF"/>
          <w:sz w:val="24"/>
          <w:u w:val="single"/>
        </w:rPr>
        <w:t>such</w:t>
      </w:r>
      <w:r>
        <w:rPr>
          <w:color w:val="000000"/>
        </w:rPr>
        <w:t xml:space="preserve"> </w:t>
      </w:r>
      <w:r>
        <w:rPr>
          <w:rFonts w:ascii="Times New Roman;serif" w:hAnsi="Times New Roman;serif"/>
          <w:b w:val="false"/>
          <w:color w:val="000000"/>
          <w:sz w:val="24"/>
        </w:rPr>
        <w:t>fees</w:t>
      </w:r>
      <w:r>
        <w:rPr>
          <w:strike/>
          <w:color w:val="FF0000"/>
        </w:rPr>
        <w:t xml:space="preserve"> </w:t>
      </w:r>
      <w:r>
        <w:rPr>
          <w:rFonts w:ascii="Times New Roman;serif" w:hAnsi="Times New Roman;serif"/>
          <w:b w:val="false"/>
          <w:strike/>
          <w:color w:val="FF0000"/>
          <w:sz w:val="24"/>
        </w:rPr>
        <w:t>payable hereunder</w:t>
      </w:r>
      <w:r>
        <w:rPr>
          <w:rFonts w:ascii="Times New Roman;serif" w:hAnsi="Times New Roman;serif"/>
          <w:b w:val="false"/>
          <w:color w:val="000000"/>
          <w:sz w:val="24"/>
        </w:rPr>
        <w:t xml:space="preserve">, commencing on </w:t>
      </w:r>
      <w:r>
        <w:rPr>
          <w:rFonts w:ascii="Times New Roman;serif" w:hAnsi="Times New Roman;serif"/>
          <w:b w:val="false"/>
          <w:color w:val="0000FF"/>
          <w:sz w:val="24"/>
          <w:u w:val="single"/>
        </w:rPr>
        <w:t xml:space="preserve">(and including) </w:t>
      </w:r>
      <w:r>
        <w:rPr>
          <w:rFonts w:ascii="Times New Roman;serif" w:hAnsi="Times New Roman;serif"/>
          <w:b w:val="false"/>
          <w:color w:val="000000"/>
          <w:sz w:val="24"/>
        </w:rPr>
        <w:t>the Closing Date) and ending on (</w:t>
      </w:r>
      <w:r>
        <w:rPr>
          <w:rFonts w:ascii="Times New Roman;serif" w:hAnsi="Times New Roman;serif"/>
          <w:b w:val="false"/>
          <w:strike/>
          <w:color w:val="FF0000"/>
          <w:sz w:val="24"/>
        </w:rPr>
        <w:t>but not</w:t>
      </w:r>
      <w:r>
        <w:rPr>
          <w:rFonts w:ascii="Times New Roman;serif" w:hAnsi="Times New Roman;serif"/>
          <w:b w:val="false"/>
          <w:color w:val="0000FF"/>
          <w:sz w:val="24"/>
          <w:u w:val="single"/>
        </w:rPr>
        <w:t>and</w:t>
      </w:r>
      <w:r>
        <w:rPr>
          <w:color w:val="000000"/>
        </w:rPr>
        <w:t xml:space="preserve"> </w:t>
      </w:r>
      <w:r>
        <w:rPr>
          <w:rFonts w:ascii="Times New Roman;serif" w:hAnsi="Times New Roman;serif"/>
          <w:b w:val="false"/>
          <w:color w:val="000000"/>
          <w:sz w:val="24"/>
        </w:rPr>
        <w:t xml:space="preserve">including) the </w:t>
      </w:r>
      <w:r>
        <w:rPr>
          <w:rFonts w:ascii="Times New Roman;serif" w:hAnsi="Times New Roman;serif"/>
          <w:b w:val="false"/>
          <w:strike/>
          <w:color w:val="FF0000"/>
          <w:sz w:val="24"/>
        </w:rPr>
        <w:t>next Monthly Settlement Date</w:t>
      </w:r>
      <w:r>
        <w:rPr>
          <w:rFonts w:ascii="Times New Roman;serif" w:hAnsi="Times New Roman;serif"/>
          <w:b w:val="false"/>
          <w:color w:val="0000FF"/>
          <w:sz w:val="24"/>
          <w:u w:val="single"/>
        </w:rPr>
        <w:t>last day of the calendar month in which such Capital was funded</w:t>
      </w:r>
      <w:r>
        <w:rPr>
          <w:color w:val="000000"/>
        </w:rPr>
        <w:t xml:space="preserve"> </w:t>
      </w:r>
      <w:r>
        <w:rPr>
          <w:rFonts w:ascii="Times New Roman;serif" w:hAnsi="Times New Roman;serif"/>
          <w:b w:val="false"/>
          <w:color w:val="000000"/>
          <w:sz w:val="24"/>
        </w:rPr>
        <w:t xml:space="preserve">and (ii) thereafter, each period commencing on </w:t>
      </w:r>
      <w:r>
        <w:rPr>
          <w:rFonts w:ascii="Times New Roman;serif" w:hAnsi="Times New Roman;serif"/>
          <w:b w:val="false"/>
          <w:strike/>
          <w:color w:val="FF0000"/>
          <w:sz w:val="24"/>
        </w:rPr>
        <w:t>a Monthly Settlement Date</w:t>
      </w:r>
      <w:r>
        <w:rPr>
          <w:rFonts w:ascii="Times New Roman;serif" w:hAnsi="Times New Roman;serif"/>
          <w:b w:val="false"/>
          <w:color w:val="0000FF"/>
          <w:sz w:val="24"/>
          <w:u w:val="single"/>
        </w:rPr>
        <w:t>(and including) the first day of a calendar month</w:t>
      </w:r>
      <w:r>
        <w:rPr>
          <w:color w:val="000000"/>
        </w:rPr>
        <w:t xml:space="preserve"> </w:t>
      </w:r>
      <w:r>
        <w:rPr>
          <w:rFonts w:ascii="Times New Roman;serif" w:hAnsi="Times New Roman;serif"/>
          <w:b w:val="false"/>
          <w:color w:val="000000"/>
          <w:sz w:val="24"/>
        </w:rPr>
        <w:t>and ending on (</w:t>
      </w:r>
      <w:r>
        <w:rPr>
          <w:rFonts w:ascii="Times New Roman;serif" w:hAnsi="Times New Roman;serif"/>
          <w:b w:val="false"/>
          <w:strike/>
          <w:color w:val="FF0000"/>
          <w:sz w:val="24"/>
        </w:rPr>
        <w:t>but not</w:t>
      </w:r>
      <w:r>
        <w:rPr>
          <w:rFonts w:ascii="Times New Roman;serif" w:hAnsi="Times New Roman;serif"/>
          <w:b w:val="false"/>
          <w:color w:val="0000FF"/>
          <w:sz w:val="24"/>
          <w:u w:val="single"/>
        </w:rPr>
        <w:t>and</w:t>
      </w:r>
      <w:r>
        <w:rPr>
          <w:color w:val="000000"/>
        </w:rPr>
        <w:t xml:space="preserve"> </w:t>
      </w:r>
      <w:r>
        <w:rPr>
          <w:rFonts w:ascii="Times New Roman;serif" w:hAnsi="Times New Roman;serif"/>
          <w:b w:val="false"/>
          <w:color w:val="000000"/>
          <w:sz w:val="24"/>
        </w:rPr>
        <w:t xml:space="preserve">including) the </w:t>
      </w:r>
      <w:r>
        <w:rPr>
          <w:rFonts w:ascii="Times New Roman;serif" w:hAnsi="Times New Roman;serif"/>
          <w:b w:val="false"/>
          <w:strike/>
          <w:color w:val="FF0000"/>
          <w:sz w:val="24"/>
        </w:rPr>
        <w:t>next Monthly Settlement Date</w:t>
      </w:r>
      <w:r>
        <w:rPr>
          <w:rFonts w:ascii="Times New Roman;serif" w:hAnsi="Times New Roman;serif"/>
          <w:b w:val="false"/>
          <w:color w:val="0000FF"/>
          <w:sz w:val="24"/>
          <w:u w:val="single"/>
        </w:rPr>
        <w:t>last day of such calendar month</w:t>
      </w:r>
      <w:r>
        <w:rPr>
          <w:color w:val="000000"/>
        </w:rPr>
        <w:t xml:space="preserve"> </w:t>
      </w:r>
      <w:r>
        <w:rPr>
          <w:rFonts w:ascii="Times New Roman;serif" w:hAnsi="Times New Roman;serif"/>
          <w:b w:val="false"/>
          <w:color w:val="000000"/>
          <w:sz w:val="24"/>
        </w:rPr>
        <w:t xml:space="preserve">and (b) on and after the Termination Date, such period (including a period of one day) as shall be selected from time to time by the Administrative Agent or, in the absence of any such selection, each period </w:t>
      </w:r>
      <w:r>
        <w:rPr>
          <w:rFonts w:ascii="Times New Roman;serif" w:hAnsi="Times New Roman;serif"/>
          <w:b w:val="false"/>
          <w:strike/>
          <w:color w:val="FF0000"/>
          <w:sz w:val="24"/>
        </w:rPr>
        <w:t>commencing on a Monthly Settlement Date and ending on (but not including) the next Monthly Settlement</w:t>
      </w:r>
      <w:r>
        <w:rPr>
          <w:rFonts w:ascii="Times New Roman;serif" w:hAnsi="Times New Roman;serif"/>
          <w:b w:val="false"/>
          <w:color w:val="0000FF"/>
          <w:sz w:val="24"/>
          <w:u w:val="single"/>
        </w:rPr>
        <w:t>determined pursuant to clause (a) above notwithstanding the occurrence of the Termination</w:t>
      </w:r>
      <w:r>
        <w:rPr>
          <w:color w:val="000000"/>
        </w:rPr>
        <w:t xml:space="preserve"> </w:t>
      </w:r>
      <w:r>
        <w:rPr>
          <w:rFonts w:ascii="Times New Roman;serif" w:hAnsi="Times New Roman;serif"/>
          <w:b w:val="false"/>
          <w:color w:val="000000"/>
          <w:sz w:val="24"/>
        </w:rPr>
        <w:t>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Rate</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Sections 2.03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2.04</w:t>
      </w:r>
      <w:r>
        <w:rPr>
          <w:rFonts w:ascii="Times New Roman;serif" w:hAnsi="Times New Roman;serif"/>
          <w:b w:val="false"/>
          <w:color w:val="000000"/>
          <w:sz w:val="24"/>
        </w:rPr>
        <w:t>, for any day in any Yield Period for any Capital (or portion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strike/>
          <w:color w:val="FF0000"/>
          <w:sz w:val="24"/>
        </w:rPr>
        <w:t>if no</w:t>
      </w:r>
      <w:r>
        <w:rPr>
          <w:rFonts w:ascii="Times New Roman;serif" w:hAnsi="Times New Roman;serif"/>
          <w:b w:val="false"/>
          <w:color w:val="0000FF"/>
          <w:sz w:val="24"/>
          <w:u w:val="single"/>
        </w:rPr>
        <w:t>unless an</w:t>
      </w:r>
      <w:r>
        <w:rPr>
          <w:color w:val="000000"/>
        </w:rPr>
        <w:t xml:space="preserve"> </w:t>
      </w:r>
      <w:r>
        <w:rPr>
          <w:rFonts w:ascii="Times New Roman;serif" w:hAnsi="Times New Roman;serif"/>
          <w:b w:val="false"/>
          <w:color w:val="000000"/>
          <w:sz w:val="24"/>
        </w:rPr>
        <w:t xml:space="preserve">Event of Default is then continuing and the Administrative Agent has not elected (in its sole discretion) for the Interest Rate for such </w:t>
      </w:r>
      <w:r>
        <w:rPr>
          <w:rFonts w:ascii="Times New Roman;serif" w:hAnsi="Times New Roman;serif"/>
          <w:b w:val="false"/>
          <w:strike/>
          <w:color w:val="FF0000"/>
          <w:sz w:val="24"/>
        </w:rPr>
        <w:t>Loan</w:t>
      </w:r>
      <w:r>
        <w:rPr>
          <w:rFonts w:ascii="Times New Roman;serif" w:hAnsi="Times New Roman;serif"/>
          <w:b w:val="false"/>
          <w:color w:val="0000FF"/>
          <w:sz w:val="24"/>
          <w:u w:val="single"/>
        </w:rPr>
        <w:t>Capital</w:t>
      </w:r>
      <w:r>
        <w:rPr>
          <w:color w:val="000000"/>
        </w:rPr>
        <w:t xml:space="preserve"> </w:t>
      </w:r>
      <w:r>
        <w:rPr>
          <w:rFonts w:ascii="Times New Roman;serif" w:hAnsi="Times New Roman;serif"/>
          <w:b w:val="false"/>
          <w:color w:val="000000"/>
          <w:sz w:val="24"/>
        </w:rPr>
        <w:t xml:space="preserve">(or all </w:t>
      </w:r>
      <w:r>
        <w:rPr>
          <w:rFonts w:ascii="Times New Roman;serif" w:hAnsi="Times New Roman;serif"/>
          <w:b w:val="false"/>
          <w:strike/>
          <w:color w:val="FF0000"/>
          <w:sz w:val="24"/>
        </w:rPr>
        <w:t>Loans</w:t>
      </w:r>
      <w:r>
        <w:rPr>
          <w:rFonts w:ascii="Times New Roman;serif" w:hAnsi="Times New Roman;serif"/>
          <w:b w:val="false"/>
          <w:color w:val="0000FF"/>
          <w:sz w:val="24"/>
          <w:u w:val="single"/>
        </w:rPr>
        <w:t>Capital</w:t>
      </w:r>
      <w:r>
        <w:rPr>
          <w:rFonts w:ascii="Times New Roman;serif" w:hAnsi="Times New Roman;serif"/>
          <w:b w:val="false"/>
          <w:color w:val="000000"/>
          <w:sz w:val="24"/>
        </w:rPr>
        <w:t xml:space="preserve">) to be determined pursuant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below, either </w:t>
      </w:r>
      <w:r>
        <w:rPr>
          <w:rFonts w:ascii="Times New Roman;serif" w:hAnsi="Times New Roman;serif"/>
          <w:b w:val="false"/>
          <w:strike/>
          <w:color w:val="FF0000"/>
          <w:sz w:val="24"/>
        </w:rPr>
        <w:t xml:space="preserve">(i) </w:t>
      </w:r>
      <w:r>
        <w:rPr>
          <w:rFonts w:ascii="Times New Roman;serif" w:hAnsi="Times New Roman;serif"/>
          <w:b w:val="false"/>
          <w:color w:val="000000"/>
          <w:sz w:val="24"/>
        </w:rPr>
        <w:t xml:space="preserve">if the Seller has elected for such Capital </w:t>
      </w:r>
      <w:r>
        <w:rPr>
          <w:rFonts w:ascii="Times New Roman;serif" w:hAnsi="Times New Roman;serif"/>
          <w:b w:val="false"/>
          <w:color w:val="0000FF"/>
          <w:sz w:val="24"/>
          <w:u w:val="single"/>
        </w:rPr>
        <w:t xml:space="preserve">(or such portion of Capital) </w:t>
      </w:r>
      <w:r>
        <w:rPr>
          <w:rFonts w:ascii="Times New Roman;serif" w:hAnsi="Times New Roman;serif"/>
          <w:b w:val="false"/>
          <w:color w:val="000000"/>
          <w:sz w:val="24"/>
        </w:rPr>
        <w:t xml:space="preserve">to accrue interest by reference to the Term SOFR Rate during such Yield Period in accordance with </w:t>
      </w:r>
      <w:r>
        <w:rPr>
          <w:rFonts w:ascii="Times New Roman;serif" w:hAnsi="Times New Roman;serif"/>
          <w:b w:val="false"/>
          <w:color w:val="000000"/>
          <w:sz w:val="24"/>
          <w:u w:val="single"/>
        </w:rPr>
        <w:t>Section 2.03(d)(i)</w:t>
      </w:r>
      <w:r>
        <w:rPr>
          <w:rFonts w:ascii="Times New Roman;serif" w:hAnsi="Times New Roman;serif"/>
          <w:b w:val="false"/>
          <w:color w:val="000000"/>
          <w:sz w:val="24"/>
        </w:rPr>
        <w:t xml:space="preserve">, the Term SOFR Rate for such Yield Period, or </w:t>
      </w:r>
      <w:r>
        <w:rPr>
          <w:rFonts w:ascii="Times New Roman;serif" w:hAnsi="Times New Roman;serif"/>
          <w:b w:val="false"/>
          <w:strike/>
          <w:color w:val="FF0000"/>
          <w:sz w:val="24"/>
        </w:rPr>
        <w:t>(ii) in any other case (including if no such election has been made)</w:t>
      </w:r>
      <w:r>
        <w:rPr>
          <w:color w:val="000000"/>
        </w:rPr>
        <w:t xml:space="preserve"> </w:t>
      </w:r>
      <w:r>
        <w:rPr>
          <w:rFonts w:ascii="Times New Roman;serif" w:hAnsi="Times New Roman;serif"/>
          <w:b w:val="false"/>
          <w:color w:val="0000FF"/>
          <w:sz w:val="24"/>
          <w:u w:val="single"/>
        </w:rPr>
        <w:t>otherwise</w:t>
      </w:r>
      <w:r>
        <w:rPr>
          <w:rFonts w:ascii="Times New Roman;serif" w:hAnsi="Times New Roman;serif"/>
          <w:b w:val="false"/>
          <w:color w:val="000000"/>
          <w:sz w:val="24"/>
        </w:rPr>
        <w:t xml:space="preserve">, Daily 1M SOFR; 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if an Event of Default is then continuing and the Administrative Agent elects (in its sole discretion) for the Interest Rate for such </w:t>
      </w:r>
      <w:r>
        <w:rPr>
          <w:rFonts w:ascii="Times New Roman;serif" w:hAnsi="Times New Roman;serif"/>
          <w:b w:val="false"/>
          <w:strike/>
          <w:color w:val="FF0000"/>
          <w:sz w:val="24"/>
        </w:rPr>
        <w:t>Loan</w:t>
      </w:r>
      <w:r>
        <w:rPr>
          <w:rFonts w:ascii="Times New Roman;serif" w:hAnsi="Times New Roman;serif"/>
          <w:b w:val="false"/>
          <w:color w:val="0000FF"/>
          <w:sz w:val="24"/>
          <w:u w:val="single"/>
        </w:rPr>
        <w:t>Capital</w:t>
      </w:r>
      <w:r>
        <w:rPr>
          <w:color w:val="000000"/>
        </w:rPr>
        <w:t xml:space="preserve"> </w:t>
      </w:r>
      <w:r>
        <w:rPr>
          <w:rFonts w:ascii="Times New Roman;serif" w:hAnsi="Times New Roman;serif"/>
          <w:b w:val="false"/>
          <w:color w:val="000000"/>
          <w:sz w:val="24"/>
        </w:rPr>
        <w:t xml:space="preserve">(or all </w:t>
      </w:r>
      <w:r>
        <w:rPr>
          <w:rFonts w:ascii="Times New Roman;serif" w:hAnsi="Times New Roman;serif"/>
          <w:b w:val="false"/>
          <w:strike/>
          <w:color w:val="FF0000"/>
          <w:sz w:val="24"/>
        </w:rPr>
        <w:t>Loans</w:t>
      </w:r>
      <w:r>
        <w:rPr>
          <w:rFonts w:ascii="Times New Roman;serif" w:hAnsi="Times New Roman;serif"/>
          <w:b w:val="false"/>
          <w:color w:val="0000FF"/>
          <w:sz w:val="24"/>
          <w:u w:val="single"/>
        </w:rPr>
        <w:t>Capital</w:t>
      </w:r>
      <w:r>
        <w:rPr>
          <w:rFonts w:ascii="Times New Roman;serif" w:hAnsi="Times New Roman;serif"/>
          <w:b w:val="false"/>
          <w:color w:val="000000"/>
          <w:sz w:val="24"/>
        </w:rPr>
        <w:t xml:space="preserve">) to be determined pursuant to this </w:t>
      </w:r>
      <w:r>
        <w:rPr>
          <w:rFonts w:ascii="Times New Roman;serif" w:hAnsi="Times New Roman;serif"/>
          <w:b w:val="false"/>
          <w:color w:val="000000"/>
          <w:sz w:val="24"/>
          <w:u w:val="single"/>
        </w:rPr>
        <w:t>clause (b)</w:t>
      </w:r>
      <w:r>
        <w:rPr>
          <w:rFonts w:ascii="Times New Roman;serif" w:hAnsi="Times New Roman;serif"/>
          <w:b w:val="false"/>
          <w:color w:val="000000"/>
          <w:sz w:val="24"/>
        </w:rPr>
        <w:t xml:space="preserve">, the greater of (x) Daily 1M SOFR and (y) the Base Rate (in either case, plus any additional margin or spread imposed pursuant to </w:t>
      </w:r>
      <w:r>
        <w:rPr>
          <w:rFonts w:ascii="Times New Roman;serif" w:hAnsi="Times New Roman;serif"/>
          <w:b w:val="false"/>
          <w:color w:val="000000"/>
          <w:sz w:val="24"/>
          <w:u w:val="single"/>
        </w:rPr>
        <w:t>Section 2.03(f)</w:t>
      </w:r>
      <w:r>
        <w:rPr>
          <w:rFonts w:ascii="Times New Roman;serif" w:hAnsi="Times New Roman;serif"/>
          <w:b w:val="false"/>
          <w:color w:val="000000"/>
          <w:sz w:val="24"/>
        </w:rPr>
        <w:t>)</w:t>
      </w:r>
      <w:r>
        <w:rPr>
          <w:rFonts w:ascii="Times New Roman;serif" w:hAnsi="Times New Roman;serif"/>
          <w:b w:val="false"/>
          <w:i/>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any election by the Administrative Agent pursuant to clause (b) above shall have immediate effect, and if any Capital is converted to, or deemed to be, a Base Rate Capital pursuant to the terms hereof, the Yield Rate for such Capital shall be the Base Rate as in effect from time to time (plus any additional margin or spread imposed pursuant to </w:t>
      </w:r>
      <w:r>
        <w:rPr>
          <w:rFonts w:ascii="Times New Roman;serif" w:hAnsi="Times New Roman;serif"/>
          <w:b w:val="false"/>
          <w:color w:val="000000"/>
          <w:sz w:val="24"/>
          <w:u w:val="single"/>
        </w:rPr>
        <w:t>Section 2.03(f)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Yield Reserve Percentage</w:t>
      </w:r>
      <w:r>
        <w:rPr>
          <w:color w:val="000000"/>
        </w:rPr>
        <w:t xml:space="preserve">” </w:t>
      </w:r>
      <w:r>
        <w:rPr>
          <w:rFonts w:ascii="Times New Roman;serif" w:hAnsi="Times New Roman;serif"/>
          <w:b w:val="false"/>
          <w:color w:val="000000"/>
          <w:sz w:val="24"/>
        </w:rPr>
        <w:t>means at any time:</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1.50 x DSO x (BR + SFR)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360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where: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BR    =    the Base Rate at such time;</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DSO    =    the Days’ Sales Outstanding for the most recently ended Fiscal Month; and</w:t>
      </w:r>
    </w:p>
    <w:p>
      <w:pPr>
        <w:pStyle w:val="TextBody"/>
        <w:bidi w:val="0"/>
        <w:spacing w:lineRule="auto" w:line="288" w:before="0" w:after="240"/>
        <w:ind w:left="0" w:right="0" w:hanging="1440"/>
        <w:jc w:val="both"/>
        <w:rPr>
          <w:rFonts w:ascii="Times New Roman;serif" w:hAnsi="Times New Roman;serif"/>
          <w:b w:val="false"/>
          <w:color w:val="000000"/>
          <w:sz w:val="24"/>
        </w:rPr>
      </w:pPr>
      <w:r>
        <w:rPr>
          <w:rFonts w:ascii="Times New Roman;serif" w:hAnsi="Times New Roman;serif"/>
          <w:b w:val="false"/>
          <w:color w:val="000000"/>
          <w:sz w:val="24"/>
        </w:rPr>
        <w:t>SFR    =    the Servicing Fee Rate.</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1.02 </w:t>
      </w:r>
      <w:r>
        <w:rPr>
          <w:rFonts w:ascii="Times New Roman;serif" w:hAnsi="Times New Roman;serif"/>
          <w:b w:val="false"/>
          <w:color w:val="000000"/>
          <w:sz w:val="24"/>
          <w:u w:val="single"/>
        </w:rPr>
        <w:t>Construction</w:t>
      </w:r>
      <w:r>
        <w:rPr>
          <w:rFonts w:ascii="Times New Roman;serif" w:hAnsi="Times New Roman;serif"/>
          <w:b w:val="false"/>
          <w:color w:val="000000"/>
          <w:sz w:val="24"/>
        </w:rPr>
        <w:t>. Unless the context of this Agreement otherwise clearly requires, the following rules of construction shall apply to this Agreement and each of the other Transaction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Transaction Document refer to this Agreement or such other Transaction Document as a whole; (d) article, section, subsection, clause, schedule and exhibit references are to this Agreement or other Transaction Document, as the case may be, unless otherwise specified; (e) reference to any Person includes such Person’s successors and assigns; (f) reference to this Agreement</w:t>
      </w:r>
      <w:r>
        <w:rPr>
          <w:strike/>
          <w:color w:val="FF0000"/>
        </w:rPr>
        <w:t xml:space="preserve"> </w:t>
      </w:r>
      <w:r>
        <w:rPr>
          <w:rFonts w:ascii="Times New Roman;serif" w:hAnsi="Times New Roman;serif"/>
          <w:b w:val="false"/>
          <w:strike/>
          <w:color w:val="FF0000"/>
          <w:sz w:val="24"/>
        </w:rPr>
        <w:t>or</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any other Transaction Document</w:t>
      </w:r>
      <w:r>
        <w:rPr>
          <w:color w:val="0000FF"/>
          <w:u w:val="single"/>
        </w:rPr>
        <w:t xml:space="preserve"> </w:t>
      </w:r>
      <w:r>
        <w:rPr>
          <w:rFonts w:ascii="Times New Roman;serif" w:hAnsi="Times New Roman;serif"/>
          <w:b w:val="false"/>
          <w:color w:val="0000FF"/>
          <w:sz w:val="24"/>
          <w:u w:val="single"/>
        </w:rPr>
        <w:t>or any other agreement</w:t>
      </w:r>
      <w:r>
        <w:rPr>
          <w:rFonts w:ascii="Times New Roman;serif" w:hAnsi="Times New Roman;serif"/>
          <w:b w:val="false"/>
          <w:color w:val="000000"/>
          <w:sz w:val="24"/>
        </w:rPr>
        <w:t xml:space="preserve">, means this Agreement or such other Transaction Document, together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schedules and exhibits hereto or thereto, as amended, modified, replaced, substituted for, superseded or restated from time to time (subject to any restrictions thereon specified in this Agreement</w:t>
      </w:r>
      <w:r>
        <w:rPr>
          <w:strike/>
          <w:color w:val="FF0000"/>
        </w:rPr>
        <w:t xml:space="preserve"> </w:t>
      </w:r>
      <w:r>
        <w:rPr>
          <w:rFonts w:ascii="Times New Roman;serif" w:hAnsi="Times New Roman;serif"/>
          <w:b w:val="false"/>
          <w:strike/>
          <w:color w:val="FF0000"/>
          <w:sz w:val="24"/>
        </w:rPr>
        <w:t>or the</w:t>
      </w:r>
      <w:r>
        <w:rPr>
          <w:rFonts w:ascii="Times New Roman;serif" w:hAnsi="Times New Roman;serif"/>
          <w:b w:val="false"/>
          <w:color w:val="0000FF"/>
          <w:sz w:val="24"/>
          <w:u w:val="single"/>
        </w:rPr>
        <w:t>, such</w:t>
      </w:r>
      <w:r>
        <w:rPr>
          <w:color w:val="000000"/>
        </w:rPr>
        <w:t xml:space="preserve"> </w:t>
      </w:r>
      <w:r>
        <w:rPr>
          <w:rFonts w:ascii="Times New Roman;serif" w:hAnsi="Times New Roman;serif"/>
          <w:b w:val="false"/>
          <w:color w:val="000000"/>
          <w:sz w:val="24"/>
        </w:rPr>
        <w:t>other applicable Transaction Document</w:t>
      </w:r>
      <w:r>
        <w:rPr>
          <w:color w:val="0000FF"/>
          <w:u w:val="single"/>
        </w:rPr>
        <w:t xml:space="preserve"> </w:t>
      </w:r>
      <w:r>
        <w:rPr>
          <w:rFonts w:ascii="Times New Roman;serif" w:hAnsi="Times New Roman;serif"/>
          <w:b w:val="false"/>
          <w:color w:val="0000FF"/>
          <w:sz w:val="24"/>
          <w:u w:val="single"/>
        </w:rPr>
        <w:t>or such other agreement</w:t>
      </w:r>
      <w:r>
        <w:rPr>
          <w:rFonts w:ascii="Times New Roman;serif" w:hAnsi="Times New Roman;serif"/>
          <w:b w:val="false"/>
          <w:color w:val="000000"/>
          <w:sz w:val="24"/>
        </w:rPr>
        <w:t xml:space="preserve">);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Transaction Document are included for convenience and shall not affect the interpretation of this Agreement or such Transaction Document; and (l) unless otherwise specified, all references herein to times of day shall constitute references to Eastern Time.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1.03 </w:t>
      </w:r>
      <w:r>
        <w:rPr>
          <w:rFonts w:ascii="Times New Roman;serif" w:hAnsi="Times New Roman;serif"/>
          <w:b w:val="false"/>
          <w:color w:val="000000"/>
          <w:sz w:val="24"/>
          <w:u w:val="single"/>
        </w:rPr>
        <w:t>Accounting Principles; Changes in GAAP</w:t>
      </w:r>
      <w:r>
        <w:rPr>
          <w:rFonts w:ascii="Times New Roman;serif" w:hAnsi="Times New Roman;serif"/>
          <w:b w:val="false"/>
          <w:color w:val="000000"/>
          <w:sz w:val="24"/>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serif" w:hAnsi="Times New Roman;serif"/>
          <w:b w:val="false"/>
          <w:color w:val="000000"/>
          <w:sz w:val="24"/>
          <w:u w:val="single"/>
        </w:rPr>
        <w:t>Section 6.01(</w:t>
      </w:r>
      <w:r>
        <w:rPr>
          <w:rFonts w:ascii="Times New Roman;serif" w:hAnsi="Times New Roman;serif"/>
          <w:b w:val="false"/>
          <w:strike/>
          <w:color w:val="FF0000"/>
          <w:sz w:val="24"/>
          <w:u w:val="single"/>
        </w:rPr>
        <w:t>ee</w:t>
      </w:r>
      <w:r>
        <w:rPr>
          <w:rFonts w:ascii="Times New Roman;serif" w:hAnsi="Times New Roman;serif"/>
          <w:b w:val="false"/>
          <w:color w:val="0000FF"/>
          <w:sz w:val="24"/>
          <w:u w:val="single"/>
        </w:rPr>
        <w:t>dd</w:t>
      </w:r>
      <w:r>
        <w:rPr>
          <w:rFonts w:ascii="Times New Roman;serif" w:hAnsi="Times New Roman;serif"/>
          <w:b w:val="false"/>
          <w:color w:val="000000"/>
          <w:sz w:val="24"/>
          <w:u w:val="single"/>
        </w:rPr>
        <w:t>)</w:t>
      </w:r>
      <w:r>
        <w:rPr>
          <w:rFonts w:ascii="Times New Roman;serif" w:hAnsi="Times New Roman;serif"/>
          <w:b w:val="false"/>
          <w:color w:val="000000"/>
          <w:sz w:val="24"/>
        </w:rPr>
        <w:t xml:space="preserve">. Notwithstanding the foregoing, if at any time any change in GAAP would affect the computation of any financial ratio or requirement set forth in any Transaction Document, and either the Seller or the Required Purchasers shall so request, the Administrative Agent, the Purchasers and the Seller shall negotiate in good faith to amend such ratio or requirement to preserve the original intent thereof in light of such change in GAAP (subject to the approval of the Required Purchasers);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until so amended, (a) such ratio or requirement shall continue to be computed in accordance with GAAP prior to such change therein and (b) the Seller shall provide to the Administrative Agent and the Purchasers financial statements and other documents required under this Agreement or as reasonably requested hereunder setting forth a reconciliation between calculations of such ratio or requirement made before and after giving effect to such change in GAAP.</w:t>
      </w:r>
      <w:r>
        <w:rPr>
          <w:color w:val="000000"/>
        </w:rPr>
        <w:t xml:space="preserve"> </w:t>
      </w:r>
      <w:r>
        <w:rPr>
          <w:rFonts w:ascii="Times New Roman;serif" w:hAnsi="Times New Roman;serif"/>
          <w:b w:val="false"/>
          <w:color w:val="000000"/>
          <w:sz w:val="24"/>
        </w:rPr>
        <w:t xml:space="preserve">For the avoidance of doubt, this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and any changes in GAAP or other accounting principles contemplated by this Section shall not affect or modify any computation or determination of the Days’ Sales Outstanding, Default Ratio, Delinquency Ratio, Dilution Ratio, Total Reserves or any input to, or component of, any of the foregoing. All terms used in Article 9 of the UCC in the State of New York and not specifically defined herein, are used herein as defined in such Article 9. All terms used in the PPSA in the Province of Ontario in relation to the Canadian Guarantor or the Canadian Receivables or any Related Security with respect thereto, and not specifically defined herein, are used herein as defined in such PPSA.</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1.04 </w:t>
      </w:r>
      <w:r>
        <w:rPr>
          <w:rFonts w:ascii="Times New Roman;serif" w:hAnsi="Times New Roman;serif"/>
          <w:b w:val="false"/>
          <w:color w:val="000000"/>
          <w:sz w:val="24"/>
          <w:u w:val="single"/>
        </w:rPr>
        <w:t>Benchmark Replacement Notification</w:t>
      </w:r>
      <w:r>
        <w:rPr>
          <w:rFonts w:ascii="Times New Roman;serif" w:hAnsi="Times New Roman;serif"/>
          <w:b w:val="false"/>
          <w:color w:val="0000FF"/>
          <w:sz w:val="24"/>
          <w:u w:val="single"/>
        </w:rPr>
        <w:t>; Rates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2.04(d)</w:t>
      </w:r>
      <w:r>
        <w:rPr>
          <w:color w:val="000000"/>
        </w:rPr>
        <w:t xml:space="preserve"> </w:t>
      </w:r>
      <w:r>
        <w:rPr>
          <w:rFonts w:ascii="Times New Roman;serif" w:hAnsi="Times New Roman;serif"/>
          <w:b w:val="false"/>
          <w:color w:val="000000"/>
          <w:sz w:val="24"/>
        </w:rPr>
        <w:t xml:space="preserve">provides a mechanism for determining an alternative rate of interest in the event that </w:t>
      </w:r>
      <w:r>
        <w:rPr>
          <w:rFonts w:ascii="Times New Roman;serif" w:hAnsi="Times New Roman;serif"/>
          <w:b w:val="false"/>
          <w:strike/>
          <w:color w:val="FF0000"/>
          <w:sz w:val="24"/>
        </w:rPr>
        <w:t>Daily 1M SOFR or the Term SOFR Rate</w:t>
      </w:r>
      <w:r>
        <w:rPr>
          <w:rFonts w:ascii="Times New Roman;serif" w:hAnsi="Times New Roman;serif"/>
          <w:b w:val="false"/>
          <w:color w:val="0000FF"/>
          <w:sz w:val="24"/>
          <w:u w:val="single"/>
        </w:rPr>
        <w:t>any Benchmark</w:t>
      </w:r>
      <w:r>
        <w:rPr>
          <w:color w:val="000000"/>
        </w:rPr>
        <w:t xml:space="preserve"> </w:t>
      </w:r>
      <w:r>
        <w:rPr>
          <w:rFonts w:ascii="Times New Roman;serif" w:hAnsi="Times New Roman;serif"/>
          <w:b w:val="false"/>
          <w:color w:val="000000"/>
          <w:sz w:val="24"/>
        </w:rPr>
        <w:t xml:space="preserve">is no longer available or in certain other circumstances. The Administrative Agent does not warrant or accept any responsibility for and shall not have any liability with respect to, </w:t>
      </w:r>
      <w:r>
        <w:rPr>
          <w:rFonts w:ascii="Times New Roman;serif" w:hAnsi="Times New Roman;serif"/>
          <w:b w:val="false"/>
          <w:color w:val="0000FF"/>
          <w:sz w:val="24"/>
          <w:u w:val="single"/>
        </w:rPr>
        <w:t xml:space="preserve">(a) the continuation of, </w:t>
      </w:r>
      <w:r>
        <w:rPr>
          <w:rFonts w:ascii="Times New Roman;serif" w:hAnsi="Times New Roman;serif"/>
          <w:b w:val="false"/>
          <w:color w:val="000000"/>
          <w:sz w:val="24"/>
        </w:rPr>
        <w:t xml:space="preserve">the administration, submission or any other matter related to </w:t>
      </w:r>
      <w:r>
        <w:rPr>
          <w:rFonts w:ascii="Times New Roman;serif" w:hAnsi="Times New Roman;serif"/>
          <w:b w:val="false"/>
          <w:strike/>
          <w:color w:val="FF0000"/>
          <w:sz w:val="24"/>
        </w:rPr>
        <w:t>Daily 1M SOFR or the Term SOFR Rate, or with respect to</w:t>
      </w:r>
      <w:r>
        <w:rPr>
          <w:color w:val="000000"/>
        </w:rPr>
        <w:t xml:space="preserve"> </w:t>
      </w:r>
      <w:r>
        <w:rPr>
          <w:rFonts w:ascii="Times New Roman;serif" w:hAnsi="Times New Roman;serif"/>
          <w:b w:val="false"/>
          <w:color w:val="0000FF"/>
          <w:sz w:val="24"/>
          <w:u w:val="single"/>
        </w:rPr>
        <w:t xml:space="preserve">any Benchmark or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FF"/>
          <w:sz w:val="24"/>
          <w:u w:val="single"/>
        </w:rPr>
        <w:t>any component definition thereof or rates referred to in the definition thereof, or</w:t>
      </w:r>
      <w:r>
        <w:rPr>
          <w:color w:val="000000"/>
        </w:rPr>
        <w:t xml:space="preserve"> </w:t>
      </w:r>
      <w:r>
        <w:rPr>
          <w:rFonts w:ascii="Times New Roman;serif" w:hAnsi="Times New Roman;serif"/>
          <w:b w:val="false"/>
          <w:color w:val="000000"/>
          <w:sz w:val="24"/>
        </w:rPr>
        <w:t>any alternative or successor rate thereto, or replacement rate therefor</w:t>
      </w:r>
      <w:r>
        <w:rPr>
          <w:rFonts w:ascii="Times New Roman;serif" w:hAnsi="Times New Roman;serif"/>
          <w:b w:val="false"/>
          <w:strike/>
          <w:color w:val="FF0000"/>
          <w:sz w:val="24"/>
        </w:rPr>
        <w:t>.</w:t>
      </w:r>
      <w:r>
        <w:rPr>
          <w:color w:val="000000"/>
        </w:rPr>
        <w:t xml:space="preserve"> </w:t>
      </w:r>
      <w:r>
        <w:rPr>
          <w:rFonts w:ascii="Times New Roman;serif" w:hAnsi="Times New Roman;serif"/>
          <w:b w:val="false"/>
          <w:color w:val="0000FF"/>
          <w:sz w:val="24"/>
          <w:u w:val="single"/>
        </w:rPr>
        <w:t>(including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or (b) the effect, implementation or composition of any Conforming Changes. The Administrative Agent and its affiliates or other related entities may engage in transactions that affect the calculation of any Benchmark, any alternative, successor or replacement rate (including any Benchmark Replacement) or any relevant adjustments thereto, in each case, in a manner adverse to the Seller or any other person or entity.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Seller, any Purchaser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br/>
        <w:br/>
        <w:t>TERMS OF THE INVESTMENTS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2.01 </w:t>
      </w:r>
      <w:r>
        <w:rPr>
          <w:rFonts w:ascii="Times New Roman;serif" w:hAnsi="Times New Roman;serif"/>
          <w:b w:val="false"/>
          <w:color w:val="000000"/>
          <w:sz w:val="24"/>
          <w:u w:val="single"/>
        </w:rPr>
        <w:t>Purchase Facility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Investments</w:t>
      </w:r>
      <w:r>
        <w:rPr>
          <w:rFonts w:ascii="Times New Roman;serif" w:hAnsi="Times New Roman;serif"/>
          <w:b w:val="false"/>
          <w:color w:val="000000"/>
          <w:sz w:val="24"/>
        </w:rPr>
        <w:t xml:space="preserve">. Upon a request by the Seller pursuant to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and on the terms and subject to the conditions hereinafter set forth, the Purchasers shall, ratably in accordance with their respective Commitments, severally and not jointly, make payments of Capital to the Seller from time to time during the period from the Closing Date to the Termination Date. Each such payment of Capital by a Purchaser to the Seller shall constitute an Investment hereunder for all purposes. Under no circumstances shall any Purchaser be obligated to make any such Investment if any applicable condition precedent set forth in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is not satisfied with respect to such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Sale of Receivables and Other Sold Assets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Subject to sub-paragraph (ii) below, in consideration of the Purchasers’ respective agreements to make Investments in accordance with the terms hereof, the Seller, on the Closing Date and each date on which an Investment or Release occurs,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serif" w:hAnsi="Times New Roman;serif"/>
          <w:b w:val="false"/>
          <w:color w:val="000000"/>
          <w:sz w:val="24"/>
          <w:u w:val="single"/>
        </w:rPr>
        <w:t>Sold Assets</w:t>
      </w:r>
      <w:r>
        <w:rPr>
          <w:color w:val="000000"/>
        </w:rPr>
        <w:t>”</w:t>
      </w:r>
      <w:r>
        <w:rPr>
          <w:rFonts w:ascii="Times New Roman;serif" w:hAnsi="Times New Roman;serif"/>
          <w:b w:val="false"/>
          <w:color w:val="000000"/>
          <w:sz w:val="24"/>
        </w:rPr>
        <w:t xml:space="preserve">): (i) all Sold Receivables, (ii) all Related Security with respect to the Sold Receivables and (iii) all proceeds of the foregoing. Such sales, assignments and transfers by the Seller shall, in each case, occur and be deemed to occur for all purposes in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the terms hereof automatically without further action, notice or consent of any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Sale, Transfer and Assignment of Sold Swiss Receivables</w:t>
      </w:r>
      <w:r>
        <w:rPr>
          <w:rFonts w:ascii="Times New Roman;serif" w:hAnsi="Times New Roman;serif"/>
          <w:b w:val="false"/>
          <w:color w:val="000000"/>
          <w:sz w:val="24"/>
        </w:rPr>
        <w:t>. In consideration of the Purchasers’ respective agreements to make Investments in accordance with the terms hereof, the Seller, on the First Amendment Effective Date and each date on which an Investment or Release occurs, hereby agrees to sell, assign and transfer and hereby sells, assigns and transfers to the Administrative Agent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serif" w:hAnsi="Times New Roman;serif"/>
          <w:b w:val="false"/>
          <w:color w:val="000000"/>
          <w:sz w:val="24"/>
          <w:u w:val="single"/>
        </w:rPr>
        <w:t>Sold Swiss Assets</w:t>
      </w:r>
      <w:r>
        <w:rPr>
          <w:color w:val="000000"/>
        </w:rPr>
        <w:t>”</w:t>
      </w:r>
      <w:r>
        <w:rPr>
          <w:rFonts w:ascii="Times New Roman;serif" w:hAnsi="Times New Roman;serif"/>
          <w:b w:val="false"/>
          <w:color w:val="000000"/>
          <w:sz w:val="24"/>
        </w:rPr>
        <w:t>): (i) all Sold Swiss Receivables, (ii) all Related Security with respect to the Sold Swiss Receivables and (iii) all proceeds of the foregoing. Such sales, assignments and transfers by the Seller shall, in each case, occur and be deemed to occur for all purposes in accordance with the terms hereof automatically without further action, notice or consent of any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Intended Characterization as a Purchase and Sale</w:t>
      </w:r>
      <w:r>
        <w:rPr>
          <w:rFonts w:ascii="Times New Roman;serif" w:hAnsi="Times New Roman;serif"/>
          <w:b w:val="false"/>
          <w:color w:val="000000"/>
          <w:sz w:val="24"/>
        </w:rPr>
        <w:t xml:space="preserve">. It is the intention of the parties to this Agreement that each transfer and conveyance of the Seller’s right, title and interest in, to and under the Sold Assets to the Administrative Agent (for the ratable benefit of the Purchasers according to their Capital as increased or reduced from time to time hereunder) pursuant to this Agreement shall constitute a purchase and sale (and not only a pledge for collateral security), and such purchase and sale of the Sold Assets hereunder shall be treated as a sale for all purposes (except as provided in </w:t>
      </w:r>
      <w:r>
        <w:rPr>
          <w:rFonts w:ascii="Times New Roman;serif" w:hAnsi="Times New Roman;serif"/>
          <w:b w:val="false"/>
          <w:color w:val="000000"/>
          <w:sz w:val="24"/>
          <w:u w:val="single"/>
        </w:rPr>
        <w:t>Sections 2.01(d)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2.02(d)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12.11</w:t>
      </w:r>
      <w:r>
        <w:rPr>
          <w:rFonts w:ascii="Times New Roman;serif" w:hAnsi="Times New Roman;serif"/>
          <w:b w:val="false"/>
          <w:color w:val="000000"/>
          <w:sz w:val="24"/>
        </w:rPr>
        <w:t xml:space="preserve">). For the avoidance of doubt, this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shall not be construed to limit or otherwise modify </w:t>
      </w:r>
      <w:r>
        <w:rPr>
          <w:rFonts w:ascii="Times New Roman;serif" w:hAnsi="Times New Roman;serif"/>
          <w:b w:val="false"/>
          <w:color w:val="000000"/>
          <w:sz w:val="24"/>
          <w:u w:val="single"/>
        </w:rPr>
        <w:t>Section 2.02(d)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2.08</w:t>
      </w:r>
      <w:r>
        <w:rPr>
          <w:color w:val="000000"/>
        </w:rPr>
        <w:t xml:space="preserve"> </w:t>
      </w:r>
      <w:r>
        <w:rPr>
          <w:rFonts w:ascii="Times New Roman;serif" w:hAnsi="Times New Roman;serif"/>
          <w:b w:val="false"/>
          <w:color w:val="000000"/>
          <w:sz w:val="24"/>
        </w:rPr>
        <w:t>or any rights, interests, liabilities or obligations of any party hereunder or under any other Transaction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Obligations Not Assumed</w:t>
      </w:r>
      <w:r>
        <w:rPr>
          <w:rFonts w:ascii="Times New Roman;serif" w:hAnsi="Times New Roman;serif"/>
          <w:b w:val="false"/>
          <w:color w:val="000000"/>
          <w:sz w:val="24"/>
        </w:rPr>
        <w:t xml:space="preserve">. Notwithstanding any provision contained in this Agreement or any other Transaction Document to the contrary, the foregoing sale, assignment, transfer and conveyance set forth in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does not constitute, and is not intended to result in, the creation or an assumption by the Administrative Agent or any Purchaser of any obligation or liability of the Seller, any Originator, any Servicer, or any other Person under or in connection with all, or any portion of, any Sold Assets, all of which shall remain the obligations and liabilities of the Seller, the Originators, the Servicers and such other Persons,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Selection, Designation and Reporting of Sold Receivables</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The Seller (or a Servicer on its behalf) shall select and identify from the Pool Receivables (other than Canadian Receivables) all Sold Receivables to be sold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 the Seller shall select Sold Receivables from the Pool Receivables and the Seller shall transfer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100.00% of its interest in such Sold Receivables, and (ii) the Seller shall not select Sold Receivables in a manner that results in the aggregate Outstanding Balance of Sold Receivables exceeding the Aggregate Capital. The Seller shall maintain (or cause a Servicer to maintain) books and records sufficient to readily identify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Sold Receivables. The Seller and Servicers shall cause (i) all Sold Receivables to be identified on each Investment Request in accordance with </w:t>
      </w:r>
      <w:r>
        <w:rPr>
          <w:rFonts w:ascii="Times New Roman;serif" w:hAnsi="Times New Roman;serif"/>
          <w:b w:val="false"/>
          <w:color w:val="000000"/>
          <w:sz w:val="24"/>
          <w:u w:val="single"/>
        </w:rPr>
        <w:t>Section 2.02(a)</w:t>
      </w:r>
      <w:r>
        <w:rPr>
          <w:color w:val="000000"/>
        </w:rPr>
        <w:t xml:space="preserve"> </w:t>
      </w:r>
      <w:r>
        <w:rPr>
          <w:rFonts w:ascii="Times New Roman;serif" w:hAnsi="Times New Roman;serif"/>
          <w:b w:val="false"/>
          <w:color w:val="000000"/>
          <w:sz w:val="24"/>
        </w:rPr>
        <w:t>and (ii) the aggregate Outstanding Balance of each Obligor’s Sold Receivables to be identified on each Monthly Report delivered hereunder.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2.02 </w:t>
      </w:r>
      <w:r>
        <w:rPr>
          <w:rFonts w:ascii="Times New Roman;serif" w:hAnsi="Times New Roman;serif"/>
          <w:b w:val="false"/>
          <w:color w:val="000000"/>
          <w:sz w:val="24"/>
          <w:u w:val="single"/>
        </w:rPr>
        <w:t>Making Investments; Repayment of Investments</w:t>
      </w:r>
      <w:r>
        <w:rPr>
          <w:rFonts w:ascii="Times New Roman;serif" w:hAnsi="Times New Roman;serif"/>
          <w:b w:val="false"/>
          <w:color w:val="000000"/>
          <w:sz w:val="24"/>
        </w:rPr>
        <w:t xml:space="preserve">. (a) Each Investment hereunder shall be made at the written request of the Seller delivered to the Administrative Agent </w:t>
      </w:r>
      <w:r>
        <w:rPr>
          <w:rFonts w:ascii="Times New Roman;serif" w:hAnsi="Times New Roman;serif"/>
          <w:b w:val="false"/>
          <w:strike/>
          <w:color w:val="FF0000"/>
          <w:sz w:val="24"/>
        </w:rPr>
        <w:t xml:space="preserve">and each Purchaser </w:t>
      </w:r>
      <w:r>
        <w:rPr>
          <w:rFonts w:ascii="Times New Roman;serif" w:hAnsi="Times New Roman;serif"/>
          <w:b w:val="false"/>
          <w:color w:val="000000"/>
          <w:sz w:val="24"/>
        </w:rPr>
        <w:t xml:space="preserve">in the form of an Investment Request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any time when PNC (or an Affiliate thereof)  is </w:t>
      </w:r>
      <w:r>
        <w:rPr>
          <w:rFonts w:ascii="Times New Roman;serif" w:hAnsi="Times New Roman;serif"/>
          <w:b w:val="false"/>
          <w:strike/>
          <w:color w:val="FF0000"/>
          <w:sz w:val="24"/>
        </w:rPr>
        <w:t xml:space="preserve">both </w:t>
      </w:r>
      <w:r>
        <w:rPr>
          <w:rFonts w:ascii="Times New Roman;serif" w:hAnsi="Times New Roman;serif"/>
          <w:b w:val="false"/>
          <w:color w:val="000000"/>
          <w:sz w:val="24"/>
        </w:rPr>
        <w:t xml:space="preserve">the Administrative Agent </w:t>
      </w:r>
      <w:r>
        <w:rPr>
          <w:rFonts w:ascii="Times New Roman;serif" w:hAnsi="Times New Roman;serif"/>
          <w:b w:val="false"/>
          <w:strike/>
          <w:color w:val="FF0000"/>
          <w:sz w:val="24"/>
        </w:rPr>
        <w:t xml:space="preserve">and the sole Purchaser hereunder </w:t>
      </w:r>
      <w:r>
        <w:rPr>
          <w:rFonts w:ascii="Times New Roman;serif" w:hAnsi="Times New Roman;serif"/>
          <w:b w:val="false"/>
          <w:color w:val="000000"/>
          <w:sz w:val="24"/>
        </w:rPr>
        <w:t>and the Seller has entered into a PINACLE Agreement, then any request for an Investment made by the Seller using PINACLE shall constitute an Investment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Investment Request (1) shall be made by Seller no later than (x) in the case of a Investment Request made pursuant to PINACLE, </w:t>
      </w:r>
      <w:r>
        <w:rPr>
          <w:rFonts w:ascii="Times New Roman;serif" w:hAnsi="Times New Roman;serif"/>
          <w:b w:val="false"/>
          <w:strike/>
          <w:color w:val="FF0000"/>
          <w:sz w:val="24"/>
        </w:rPr>
        <w:t>3:00 p.m</w:t>
      </w:r>
      <w:r>
        <w:rPr>
          <w:rFonts w:ascii="Times New Roman;serif" w:hAnsi="Times New Roman;serif"/>
          <w:b w:val="false"/>
          <w:color w:val="0000FF"/>
          <w:sz w:val="24"/>
          <w:u w:val="single"/>
        </w:rPr>
        <w:t>4:00 p.m</w:t>
      </w:r>
      <w:r>
        <w:rPr>
          <w:rFonts w:ascii="Times New Roman;serif" w:hAnsi="Times New Roman;serif"/>
          <w:b w:val="false"/>
          <w:color w:val="000000"/>
          <w:sz w:val="24"/>
        </w:rPr>
        <w:t xml:space="preserve">. Eastern Time on the proposed date of such Investment, or (y) in the case of any other Investment Request, </w:t>
      </w:r>
      <w:r>
        <w:rPr>
          <w:rFonts w:ascii="Times New Roman;serif" w:hAnsi="Times New Roman;serif"/>
          <w:b w:val="false"/>
          <w:strike/>
          <w:color w:val="FF0000"/>
          <w:sz w:val="24"/>
        </w:rPr>
        <w:t>12:00 p.m.</w:t>
      </w:r>
      <w:r>
        <w:rPr>
          <w:rFonts w:ascii="Times New Roman;serif" w:hAnsi="Times New Roman;serif"/>
          <w:b w:val="false"/>
          <w:color w:val="0000FF"/>
          <w:sz w:val="24"/>
          <w:u w:val="single"/>
        </w:rPr>
        <w:t>12:00noon</w:t>
      </w:r>
      <w:r>
        <w:rPr>
          <w:color w:val="000000"/>
        </w:rPr>
        <w:t xml:space="preserve"> </w:t>
      </w:r>
      <w:r>
        <w:rPr>
          <w:rFonts w:ascii="Times New Roman;serif" w:hAnsi="Times New Roman;serif"/>
          <w:b w:val="false"/>
          <w:color w:val="000000"/>
          <w:sz w:val="24"/>
        </w:rPr>
        <w:t xml:space="preserve">Eastern Time on the proposed date of such Investment;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Investment Request made after such applicable time shall be deemed to have been made on the following Business Day, and (2) shall specify (i) the amount of Capital requested (which shall not be less than $1,000,000 and shall be an integral multiple of $100,000), (ii) other than for an Investment Request made pursuant to PINACLE, the allocation of such amount among the Purchasers, which shall be ratable based on the Commitments, (iii) the account to which the proceeds of such Investment shall be distributed and (iv) the date such requested Investment is to be made, which shall be a Business Day. If an Investment Request is deemed to have been made on the following Business Day pursuant to the parentheticals above and such Investment Request requests an Investment to be made prior to such following Business Day, such Investment Request shall be deemed to request that such Investment be made on such following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On the date of each Investment specified in the applicable Investment Request, </w:t>
      </w:r>
      <w:r>
        <w:rPr>
          <w:rFonts w:ascii="Times New Roman;serif" w:hAnsi="Times New Roman;serif"/>
          <w:b w:val="false"/>
          <w:strike/>
          <w:color w:val="FF0000"/>
          <w:sz w:val="24"/>
        </w:rPr>
        <w:t>the Purchasers (ratably in accordance with their respective Commitments)</w:t>
      </w:r>
      <w:r>
        <w:rPr>
          <w:rFonts w:ascii="Times New Roman;serif" w:hAnsi="Times New Roman;serif"/>
          <w:b w:val="false"/>
          <w:color w:val="0000FF"/>
          <w:sz w:val="24"/>
          <w:u w:val="single"/>
        </w:rPr>
        <w:t>each Purchaser</w:t>
      </w:r>
      <w:r>
        <w:rPr>
          <w:color w:val="000000"/>
        </w:rPr>
        <w:t xml:space="preserve"> </w:t>
      </w:r>
      <w:r>
        <w:rPr>
          <w:rFonts w:ascii="Times New Roman;serif" w:hAnsi="Times New Roman;serif"/>
          <w:b w:val="false"/>
          <w:color w:val="000000"/>
          <w:sz w:val="24"/>
        </w:rPr>
        <w:t xml:space="preserve">shall, upon satisfaction of the applicable conditions set forth in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pursuant to the other conditions set forth herein, </w:t>
      </w:r>
      <w:r>
        <w:rPr>
          <w:rFonts w:ascii="Times New Roman;serif" w:hAnsi="Times New Roman;serif"/>
          <w:b w:val="false"/>
          <w:strike/>
          <w:color w:val="FF0000"/>
          <w:sz w:val="24"/>
        </w:rPr>
        <w:t>make available</w:t>
      </w:r>
      <w:r>
        <w:rPr>
          <w:rFonts w:ascii="Times New Roman;serif" w:hAnsi="Times New Roman;serif"/>
          <w:b w:val="false"/>
          <w:color w:val="0000FF"/>
          <w:sz w:val="24"/>
          <w:u w:val="single"/>
        </w:rPr>
        <w:t>remit</w:t>
      </w:r>
      <w:r>
        <w:rPr>
          <w:color w:val="000000"/>
        </w:rPr>
        <w:t xml:space="preserve"> </w:t>
      </w:r>
      <w:r>
        <w:rPr>
          <w:rFonts w:ascii="Times New Roman;serif" w:hAnsi="Times New Roman;serif"/>
          <w:b w:val="false"/>
          <w:color w:val="000000"/>
          <w:sz w:val="24"/>
        </w:rPr>
        <w:t xml:space="preserve">to the </w:t>
      </w:r>
      <w:r>
        <w:rPr>
          <w:rFonts w:ascii="Times New Roman;serif" w:hAnsi="Times New Roman;serif"/>
          <w:b w:val="false"/>
          <w:strike/>
          <w:color w:val="FF0000"/>
          <w:sz w:val="24"/>
        </w:rPr>
        <w:t>Seller</w:t>
      </w:r>
      <w:r>
        <w:rPr>
          <w:rFonts w:ascii="Times New Roman;serif" w:hAnsi="Times New Roman;serif"/>
          <w:b w:val="false"/>
          <w:color w:val="0000FF"/>
          <w:sz w:val="24"/>
          <w:u w:val="single"/>
        </w:rPr>
        <w:t>Administrative Agent</w:t>
      </w:r>
      <w:r>
        <w:rPr>
          <w:color w:val="000000"/>
        </w:rPr>
        <w:t xml:space="preserve"> </w:t>
      </w:r>
      <w:r>
        <w:rPr>
          <w:rFonts w:ascii="Times New Roman;serif" w:hAnsi="Times New Roman;serif"/>
          <w:b w:val="false"/>
          <w:color w:val="000000"/>
          <w:sz w:val="24"/>
        </w:rPr>
        <w:t xml:space="preserve">in same day funds </w:t>
      </w:r>
      <w:r>
        <w:rPr>
          <w:rFonts w:ascii="Times New Roman;serif" w:hAnsi="Times New Roman;serif"/>
          <w:b w:val="false"/>
          <w:strike/>
          <w:color w:val="FF0000"/>
          <w:sz w:val="24"/>
        </w:rPr>
        <w:t>an aggregate amount (which shall constitute</w:t>
      </w:r>
      <w:r>
        <w:rPr>
          <w:rFonts w:ascii="Times New Roman;serif" w:hAnsi="Times New Roman;serif"/>
          <w:b w:val="false"/>
          <w:color w:val="0000FF"/>
          <w:sz w:val="24"/>
          <w:u w:val="single"/>
        </w:rPr>
        <w:t>to the account specified by the Administrative Agent for such purpose, such Purchaser’s ratable share of</w:t>
      </w:r>
      <w:r>
        <w:rPr>
          <w:color w:val="000000"/>
        </w:rPr>
        <w:t xml:space="preserve"> </w:t>
      </w:r>
      <w:r>
        <w:rPr>
          <w:rFonts w:ascii="Times New Roman;serif" w:hAnsi="Times New Roman;serif"/>
          <w:b w:val="false"/>
          <w:color w:val="000000"/>
          <w:sz w:val="24"/>
        </w:rPr>
        <w:t>the Capital of such Investment</w:t>
      </w:r>
      <w:r>
        <w:rPr>
          <w:rFonts w:ascii="Times New Roman;serif" w:hAnsi="Times New Roman;serif"/>
          <w:b w:val="false"/>
          <w:strike/>
          <w:color w:val="FF0000"/>
          <w:sz w:val="24"/>
        </w:rPr>
        <w:t>) equal to the amount</w:t>
      </w:r>
      <w:r>
        <w:rPr>
          <w:color w:val="000000"/>
        </w:rPr>
        <w:t xml:space="preserve"> </w:t>
      </w:r>
      <w:r>
        <w:rPr>
          <w:rFonts w:ascii="Times New Roman;serif" w:hAnsi="Times New Roman;serif"/>
          <w:b w:val="false"/>
          <w:color w:val="0000FF"/>
          <w:sz w:val="24"/>
          <w:u w:val="single"/>
        </w:rPr>
        <w:t>(as determined pursuant to Section 2.01(a)) such that the Administrative Agent is able to, and the Administrative Agent shall, to the extent the Purchasers have made funds available to it for such purpose and subject to Section 5.02 and the other conditions set forth herein, fund the Capital</w:t>
      </w:r>
      <w:r>
        <w:rPr>
          <w:color w:val="000000"/>
        </w:rPr>
        <w:t xml:space="preserve"> </w:t>
      </w:r>
      <w:r>
        <w:rPr>
          <w:rFonts w:ascii="Times New Roman;serif" w:hAnsi="Times New Roman;serif"/>
          <w:b w:val="false"/>
          <w:color w:val="000000"/>
          <w:sz w:val="24"/>
        </w:rPr>
        <w:t xml:space="preserve">of such Investment </w:t>
      </w:r>
      <w:r>
        <w:rPr>
          <w:rFonts w:ascii="Times New Roman;serif" w:hAnsi="Times New Roman;serif"/>
          <w:b w:val="false"/>
          <w:strike/>
          <w:color w:val="FF0000"/>
          <w:sz w:val="24"/>
        </w:rPr>
        <w:t>requested, at the account set forth in the related Investment Request.</w:t>
      </w:r>
      <w:r>
        <w:rPr>
          <w:rFonts w:ascii="Times New Roman;serif" w:hAnsi="Times New Roman;serif"/>
          <w:b w:val="false"/>
          <w:color w:val="0000FF"/>
          <w:sz w:val="24"/>
          <w:u w:val="single"/>
        </w:rPr>
        <w:t>to the Seller on the date of such Investment; provided that if any Purchaser fails to remit such funds to the Administrative Agent in a timely manner, the Administrative Agent may elect in its sole discretion to fund with its own funds such Purchaser’s portion of such Capital on the date thereof, and such Purchaser shall be subject to the repayment obligation in Section 3.04(a).</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Each Purchaser’s obligation shall be several, such that the failure of any Purchaser to make available to the </w:t>
      </w:r>
      <w:r>
        <w:rPr>
          <w:rFonts w:ascii="Times New Roman;serif" w:hAnsi="Times New Roman;serif"/>
          <w:b w:val="false"/>
          <w:color w:val="0000FF"/>
          <w:sz w:val="24"/>
          <w:u w:val="single"/>
        </w:rPr>
        <w:t xml:space="preserve">Administrative Agent or the </w:t>
      </w:r>
      <w:r>
        <w:rPr>
          <w:rFonts w:ascii="Times New Roman;serif" w:hAnsi="Times New Roman;serif"/>
          <w:b w:val="false"/>
          <w:color w:val="000000"/>
          <w:sz w:val="24"/>
        </w:rPr>
        <w:t>Seller any funds in connection with any Investment shall not relieve any other Purchaser of its obligation, if any, hereunder to make funds available on the date such Investment is requested (</w:t>
      </w:r>
      <w:r>
        <w:rPr>
          <w:rFonts w:ascii="Times New Roman;serif" w:hAnsi="Times New Roman;serif"/>
          <w:b w:val="false"/>
          <w:color w:val="000000"/>
          <w:sz w:val="24"/>
          <w:u w:val="single"/>
        </w:rPr>
        <w:t>it</w:t>
      </w:r>
      <w:r>
        <w:rPr>
          <w:color w:val="000000"/>
        </w:rPr>
        <w:t xml:space="preserve"> </w:t>
      </w:r>
      <w:r>
        <w:rPr>
          <w:rFonts w:ascii="Times New Roman;serif" w:hAnsi="Times New Roman;serif"/>
          <w:b w:val="false"/>
          <w:color w:val="000000"/>
          <w:sz w:val="24"/>
          <w:u w:val="single"/>
        </w:rPr>
        <w:t>being</w:t>
      </w:r>
      <w:r>
        <w:rPr>
          <w:color w:val="000000"/>
        </w:rPr>
        <w:t xml:space="preserve"> </w:t>
      </w:r>
      <w:r>
        <w:rPr>
          <w:rFonts w:ascii="Times New Roman;serif" w:hAnsi="Times New Roman;serif"/>
          <w:b w:val="false"/>
          <w:color w:val="000000"/>
          <w:sz w:val="24"/>
          <w:u w:val="single"/>
        </w:rPr>
        <w:t>understood</w:t>
      </w:r>
      <w:r>
        <w:rPr>
          <w:rFonts w:ascii="Times New Roman;serif" w:hAnsi="Times New Roman;serif"/>
          <w:b w:val="false"/>
          <w:color w:val="000000"/>
          <w:sz w:val="24"/>
        </w:rPr>
        <w:t xml:space="preserve">, that no Purchaser shall be responsible for the failure of any other Purchaser to make funds available to the </w:t>
      </w:r>
      <w:r>
        <w:rPr>
          <w:rFonts w:ascii="Times New Roman;serif" w:hAnsi="Times New Roman;serif"/>
          <w:b w:val="false"/>
          <w:color w:val="0000FF"/>
          <w:sz w:val="24"/>
          <w:u w:val="single"/>
        </w:rPr>
        <w:t xml:space="preserve">Administrative Agent or the </w:t>
      </w:r>
      <w:r>
        <w:rPr>
          <w:rFonts w:ascii="Times New Roman;serif" w:hAnsi="Times New Roman;serif"/>
          <w:b w:val="false"/>
          <w:color w:val="000000"/>
          <w:sz w:val="24"/>
        </w:rPr>
        <w:t>Seller in connection with any Investment hereunder)</w:t>
      </w:r>
      <w:r>
        <w:rPr>
          <w:rFonts w:ascii="Times New Roman;serif" w:hAnsi="Times New Roman;serif"/>
          <w:b w:val="false"/>
          <w:color w:val="0000FF"/>
          <w:sz w:val="24"/>
          <w:u w:val="single"/>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The Seller shall repay in full the outstanding Capital, together with all accrued and unpaid Yield, Fees and other Seller Obligations on the Final Maturity Date. Prior thereto, the Seller shall, on each Settlement Date and not later than two (2) Business Days after delivery of any Pool Report that demonstrates the existence of a Capital Coverage Amount Deficit, make a prepayment of the outstanding Capital of the Purchasers to the extent required to eliminate any Capital Coverage Amount Deficit and as otherwise required under </w:t>
      </w:r>
      <w:r>
        <w:rPr>
          <w:rFonts w:ascii="Times New Roman;serif" w:hAnsi="Times New Roman;serif"/>
          <w:b w:val="false"/>
          <w:color w:val="000000"/>
          <w:sz w:val="24"/>
          <w:u w:val="single"/>
        </w:rPr>
        <w:t>Section 3.01</w:t>
      </w:r>
      <w:r>
        <w:rPr>
          <w:rFonts w:ascii="Times New Roman;serif" w:hAnsi="Times New Roman;serif"/>
          <w:b w:val="false"/>
          <w:color w:val="000000"/>
          <w:sz w:val="24"/>
        </w:rPr>
        <w:t xml:space="preserve">. Notwithstanding the foregoing, the Seller, in its discretion, shall have the right to make a prepayment, in whole or in part, of the outstanding Capital of the Purchasers (i) on any Business Day if, at such time (A) PNC (or an Affiliate thereof) is </w:t>
      </w:r>
      <w:r>
        <w:rPr>
          <w:rFonts w:ascii="Times New Roman;serif" w:hAnsi="Times New Roman;serif"/>
          <w:b w:val="false"/>
          <w:strike/>
          <w:color w:val="FF0000"/>
          <w:sz w:val="24"/>
        </w:rPr>
        <w:t xml:space="preserve">both </w:t>
      </w:r>
      <w:r>
        <w:rPr>
          <w:rFonts w:ascii="Times New Roman;serif" w:hAnsi="Times New Roman;serif"/>
          <w:b w:val="false"/>
          <w:color w:val="000000"/>
          <w:sz w:val="24"/>
        </w:rPr>
        <w:t>the Administrative Agent</w:t>
      </w:r>
      <w:r>
        <w:rPr>
          <w:strike/>
          <w:color w:val="FF0000"/>
        </w:rPr>
        <w:t xml:space="preserve"> </w:t>
      </w:r>
      <w:r>
        <w:rPr>
          <w:rFonts w:ascii="Times New Roman;serif" w:hAnsi="Times New Roman;serif"/>
          <w:b w:val="false"/>
          <w:strike/>
          <w:color w:val="FF0000"/>
          <w:sz w:val="24"/>
        </w:rPr>
        <w:t>and the sole Purchaser hereunder</w:t>
      </w:r>
      <w:r>
        <w:rPr>
          <w:rFonts w:ascii="Times New Roman;serif" w:hAnsi="Times New Roman;serif"/>
          <w:b w:val="false"/>
          <w:color w:val="000000"/>
          <w:sz w:val="24"/>
        </w:rPr>
        <w:t xml:space="preserve">, (B) the Seller has entered into a PINACLE Agreement and (C) such prepayment is made with PINACLE;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any such prepayment made with PINACLE after 4:00 p.m. Eastern Time on any day shall be deemed to have been made on the next occurring Business Day, or (ii) upon same-day written notice by delivering to the Administrative Agent </w:t>
      </w:r>
      <w:r>
        <w:rPr>
          <w:rFonts w:ascii="Times New Roman;serif" w:hAnsi="Times New Roman;serif"/>
          <w:b w:val="false"/>
          <w:strike/>
          <w:color w:val="FF0000"/>
          <w:sz w:val="24"/>
        </w:rPr>
        <w:t xml:space="preserve">and each Purchaser </w:t>
      </w:r>
      <w:r>
        <w:rPr>
          <w:rFonts w:ascii="Times New Roman;serif" w:hAnsi="Times New Roman;serif"/>
          <w:b w:val="false"/>
          <w:color w:val="000000"/>
          <w:sz w:val="24"/>
        </w:rPr>
        <w:t xml:space="preserve">a Reduction Notice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no later than </w:t>
      </w:r>
      <w:r>
        <w:rPr>
          <w:rFonts w:ascii="Times New Roman;serif" w:hAnsi="Times New Roman;serif"/>
          <w:b w:val="false"/>
          <w:strike/>
          <w:color w:val="FF0000"/>
          <w:sz w:val="24"/>
        </w:rPr>
        <w:t>12:00 p.m.</w:t>
      </w:r>
      <w:r>
        <w:rPr>
          <w:rFonts w:ascii="Times New Roman;serif" w:hAnsi="Times New Roman;serif"/>
          <w:b w:val="false"/>
          <w:color w:val="0000FF"/>
          <w:sz w:val="24"/>
          <w:u w:val="single"/>
        </w:rPr>
        <w:t>12:00 noon</w:t>
      </w:r>
      <w:r>
        <w:rPr>
          <w:color w:val="000000"/>
        </w:rPr>
        <w:t xml:space="preserve"> </w:t>
      </w:r>
      <w:r>
        <w:rPr>
          <w:rFonts w:ascii="Times New Roman;serif" w:hAnsi="Times New Roman;serif"/>
          <w:b w:val="false"/>
          <w:color w:val="000000"/>
          <w:sz w:val="24"/>
        </w:rPr>
        <w:t>Eastern Time on the proposed Business Day of such prepayment (</w:t>
      </w:r>
      <w:r>
        <w:rPr>
          <w:rFonts w:ascii="Times New Roman;serif" w:hAnsi="Times New Roman;serif"/>
          <w:b w:val="false"/>
          <w:color w:val="000000"/>
          <w:sz w:val="24"/>
          <w:u w:val="single"/>
        </w:rPr>
        <w:t>it</w:t>
      </w:r>
      <w:r>
        <w:rPr>
          <w:color w:val="000000"/>
        </w:rPr>
        <w:t xml:space="preserve"> </w:t>
      </w:r>
      <w:r>
        <w:rPr>
          <w:rFonts w:ascii="Times New Roman;serif" w:hAnsi="Times New Roman;serif"/>
          <w:b w:val="false"/>
          <w:color w:val="000000"/>
          <w:sz w:val="24"/>
          <w:u w:val="single"/>
        </w:rPr>
        <w:t>being</w:t>
      </w:r>
      <w:r>
        <w:rPr>
          <w:color w:val="000000"/>
        </w:rPr>
        <w:t xml:space="preserve"> </w:t>
      </w:r>
      <w:r>
        <w:rPr>
          <w:rFonts w:ascii="Times New Roman;serif" w:hAnsi="Times New Roman;serif"/>
          <w:b w:val="false"/>
          <w:color w:val="000000"/>
          <w:sz w:val="24"/>
          <w:u w:val="single"/>
        </w:rPr>
        <w:t>understood</w:t>
      </w:r>
      <w:r>
        <w:rPr>
          <w:color w:val="000000"/>
        </w:rPr>
        <w:t xml:space="preserve"> </w:t>
      </w:r>
      <w:r>
        <w:rPr>
          <w:rFonts w:ascii="Times New Roman;serif" w:hAnsi="Times New Roman;serif"/>
          <w:b w:val="false"/>
          <w:color w:val="000000"/>
          <w:sz w:val="24"/>
        </w:rPr>
        <w:t xml:space="preserve">that any such request made after such time shall be deemed to have been made on the next occurring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that (i) each such prepayment shall be in a minimum aggregate amount of $1,000,000 and shall be an integral multiple of $100,000, (ii) the Seller shall not provide any Reduction Notice</w:t>
      </w:r>
      <w:r>
        <w:rPr>
          <w:color w:val="0000FF"/>
          <w:u w:val="single"/>
        </w:rPr>
        <w:t xml:space="preserve"> </w:t>
      </w:r>
      <w:r>
        <w:rPr>
          <w:rFonts w:ascii="Times New Roman;serif" w:hAnsi="Times New Roman;serif"/>
          <w:b w:val="false"/>
          <w:color w:val="0000FF"/>
          <w:sz w:val="24"/>
          <w:u w:val="single"/>
        </w:rPr>
        <w:t>or corresponding notice through PINACLE as contemplated above</w:t>
      </w:r>
      <w:r>
        <w:rPr>
          <w:rFonts w:ascii="Times New Roman;serif" w:hAnsi="Times New Roman;serif"/>
          <w:b w:val="false"/>
          <w:color w:val="000000"/>
          <w:sz w:val="24"/>
        </w:rPr>
        <w:t xml:space="preserve">, and no such Reduction Notice </w:t>
      </w:r>
      <w:r>
        <w:rPr>
          <w:rFonts w:ascii="Times New Roman;serif" w:hAnsi="Times New Roman;serif"/>
          <w:b w:val="false"/>
          <w:color w:val="0000FF"/>
          <w:sz w:val="24"/>
          <w:u w:val="single"/>
        </w:rPr>
        <w:t xml:space="preserve">or corresponding notice through PINACLE </w:t>
      </w:r>
      <w:r>
        <w:rPr>
          <w:rFonts w:ascii="Times New Roman;serif" w:hAnsi="Times New Roman;serif"/>
          <w:b w:val="false"/>
          <w:color w:val="000000"/>
          <w:sz w:val="24"/>
        </w:rPr>
        <w:t xml:space="preserve">shall be effective, if after giving effect thereto, the Aggregate Capital at such time would be less than an amount equal to the Minimum Funding Threshold and (iii) any accrued Yield and Fees in respect of such prepaid Capital shall be paid on the immediately following Settlement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color w:val="000000"/>
        </w:rPr>
        <w:t xml:space="preserve"> </w:t>
      </w:r>
      <w:r>
        <w:rPr>
          <w:rFonts w:ascii="Times New Roman;serif" w:hAnsi="Times New Roman;serif"/>
          <w:b w:val="false"/>
          <w:color w:val="000000"/>
          <w:sz w:val="24"/>
        </w:rPr>
        <w:t xml:space="preserve">that notwithstanding the foregoing, a prepayment may be in an amount necessary to reduce any Capital Coverage Amount Deficit existing at such time to zero. All prepayments pursuant to this section shall be accompanied by </w:t>
      </w:r>
      <w:r>
        <w:rPr>
          <w:rFonts w:ascii="Times New Roman;serif" w:hAnsi="Times New Roman;serif"/>
          <w:b w:val="false"/>
          <w:color w:val="0000FF"/>
          <w:sz w:val="24"/>
          <w:u w:val="single"/>
        </w:rPr>
        <w:t xml:space="preserve">payment of all accrued and unpaid yield and </w:t>
      </w:r>
      <w:r>
        <w:rPr>
          <w:rFonts w:ascii="Times New Roman;serif" w:hAnsi="Times New Roman;serif"/>
          <w:b w:val="false"/>
          <w:color w:val="000000"/>
          <w:sz w:val="24"/>
        </w:rPr>
        <w:t xml:space="preserve">any associated indemnity payments due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Seller may, at any time upon at least five (5) Business Days’ prior written notice to the Administrative Agent and each Purchaser, terminate the Facility Limit in whole or ratably reduce the Facility Limit in part. Each partial reduction in the Facility Limit shall be in a minimum aggregate amount of $5,000,000 or integral multiples of $1,000,000 in excess thereof, and no such partial reduction shall reduce the Facility Limit to an amount less than $75,000,000. In connection with any partial reduction in the Facility Limit, the Commitment of each Purchaser shall be ratably reduced. If the Facility Limit is terminated in whole, the Commitment of each Purchaser shall be reduced to zero. All prepayments pursuant to this section shall be accompanied by any associated indemnity payments due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In connection with any reduction of the Commitments, the Seller shall remit to the Administrative Agent (i) instructions regarding such reduction and (ii) for payment to the Purchasers, cash in an amount sufficient to pay (A) Capital of each Purchaser in excess of the Commitment of such Purchaser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including, without duplication, any associated indemnity payments due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 xml:space="preserve">. Upon receipt of any such amounts, the Administrative Agent shall apply such amounts first to the reduction of the outstanding Capital, and second to the payment of the remaining outstanding Seller Obligations with respect to such reduction, including any associated indemnity payments due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 by paying such amounts to the Purchasers.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For the avoidance of doubt, no repayment or prepayment of outstanding Capital by the Seller pursuant to this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shall require the Purchaser to transfer its right, title and interest in, to and under any of the Sold Assets back to the Seller. </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 xml:space="preserve">(h)    So long as no Event of Default or Potential Default exists and is continuing, the Seller may, from time to time prior to the Termination Date, request to increase the Facility Limit (and corresponding Commitments of the Committed Purchasers) by an aggregate amount not to exceed $50,000,000 (the “Maximum Facility Limit Increase”), such that the Facility Limit (and aggregate Commitments) may equal, but shall not exceed, $350,000,000; provided, that each such request for an increase shall be in a minimum amount of $25,000,000, unless such request is for the full remaining amount of the Maximum Facility Limit Increase. The Seller shall make such request by written notice to the Administrative Agent and each Purchaser, and in each such notice, the Seller shall specify (i) the aggregate amount of such increase in the Facility Limit, (ii) the amount (if any) by which each Purchaser’s Commitment is requested to be increased, (iii) the identity of any Person proposed to be joined as a new Purchaser party hereto and the amount such Person’s proposed new Commitment, (iv) the time period within which each Purchaser is requested to respond to the Seller’s request (which shall not be less than fifteen (15) Business Days (or such shorter period as the Seller and the Purchasers may agree in writing, which may be via email) from the date such notice is delivered to the Administrative Agent and the Purchasers), and (v) the proposed effective date of the requested increase (which shall not be less than fifteen (15) Business Days (or such shorter period as the Seller and the Purchasers may agree in writing, which may be via email) from the date such notice is delivered to the Administrative Agent and the Purchasers). If any Person is proposed to be joined as a new Purchaser party hereto as contemplated by this clause (g), such joinder shall be subject to the consents required by Section 12.06 as if such joinder were an assignment of a Purchaser’s Commitment and Capital, and no such joinder shall be permitted unless such Person is an Eligible Assignee. Each Purchaser shall notify the Administrative Agent and the Seller within the applicable time period specified in the Seller’s notice as to whether or not such Purchaser agrees, in its sole discretion, to accept the proposed increase (if any) in such Purchaser’s Commitment; provided that, for the avoidance of doubt, no Purchaser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shall have any obligation to accept any such proposed increase in its Commitment.  Any Purchaser that does not respond within such time period shall be deemed to have declined to increase its Commitment, and its Commitment shall not be increased.  In the event that a Purchaser does not agree to increase its Commitment as requested by the Seller, the Seller may (in consultation with the Administrative Agent) request that any unaccepted portion of the requested increases in Commitments be allocated to one or more willing Purchasers or other Person as agreed in writing among the Seller, the Administrative Agent and such willing Person (in each case, acting in such Person’s sole discretion).  If the Facility Limit or any Purchaser’s Commitment is increased pursuant to this clause (g), the parties hereto shall enter into such amendments or other documents reasonably requested by the Administrative Agent in order to document such increase, and as a condition precedent to any such increase, the Administrative Agent may, in its reasonable discretion and consistent in scope with similar deliverables provided by the SPV Entity-Related Parties in connection with the execution and delivery of this Agreement on the Closing Date, require (w) resolutions of one or more SPV Entity -Related Parties approving or consenting to such increase and authorizing the execution, delivery and performance of any related amendment to this Agreement, (x) relevant opinions of counsel of the SPV Entity-Related Parties, (y) the payment of agreed-upon fees and (z) such other documents, certifications and agreements reasonably requested by the Administrative Agent. No Purchaser’s Commitment shall be increased pursuant to this clause (g) if (x) the Termination Date has occurred, (y) a Potential Default or Event of Default has occurred and is continuing, or (z) if such Purchaser has not agreed in writing to such increase.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2.03 </w:t>
      </w:r>
      <w:r>
        <w:rPr>
          <w:rFonts w:ascii="Times New Roman;serif" w:hAnsi="Times New Roman;serif"/>
          <w:b w:val="false"/>
          <w:color w:val="000000"/>
          <w:sz w:val="24"/>
          <w:u w:val="single"/>
        </w:rPr>
        <w:t>Yield and Fees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On each Settlement Date, the Seller shall, in accordance with the terms and priorities for payment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 pay to each Purchaser, the Administrative Agent, the Structuring Agent certain fees (collectively, the “</w:t>
      </w:r>
      <w:r>
        <w:rPr>
          <w:rFonts w:ascii="Times New Roman;serif" w:hAnsi="Times New Roman;serif"/>
          <w:b w:val="false"/>
          <w:color w:val="000000"/>
          <w:sz w:val="24"/>
          <w:u w:val="single"/>
        </w:rPr>
        <w:t>Fees</w:t>
      </w:r>
      <w:r>
        <w:rPr>
          <w:color w:val="000000"/>
        </w:rPr>
        <w:t>”</w:t>
      </w:r>
      <w:r>
        <w:rPr>
          <w:rFonts w:ascii="Times New Roman;serif" w:hAnsi="Times New Roman;serif"/>
          <w:b w:val="false"/>
          <w:color w:val="000000"/>
          <w:sz w:val="24"/>
        </w:rPr>
        <w:t>) in the amounts set forth in the fee letter agreements from time to time entered into, among the Seller, the Purchasers and/or the Administrative Agent, the Structuring Agent (each such fee letter agreement is collectively referred to herein as the “</w:t>
      </w:r>
      <w:r>
        <w:rPr>
          <w:rFonts w:ascii="Times New Roman;serif" w:hAnsi="Times New Roman;serif"/>
          <w:b w:val="false"/>
          <w:color w:val="000000"/>
          <w:sz w:val="24"/>
          <w:u w:val="single"/>
        </w:rPr>
        <w:t>Fee Letter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Defaulting Purchaser’s right to receive Undrawn Fees shall be subject to the terms of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computations of Yield, Fees and other amounts hereunder shall be made on the basis of a year of 360 days (or, in the case of amounts determined by reference to the Base Rate, 365 or 366 days, as applicable) for the actual number of days (including the first but excluding the last day) elapsed.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Yield and Fees</w:t>
      </w:r>
      <w:r>
        <w:rPr>
          <w:rFonts w:ascii="Times New Roman;serif" w:hAnsi="Times New Roman;serif"/>
          <w:b w:val="false"/>
          <w:color w:val="000000"/>
          <w:sz w:val="24"/>
        </w:rPr>
        <w:t xml:space="preserve">. The Capital of each Purchaser shall accrue Yield on each day when such Capital remains outstanding at the then-applicable Yield Rate for such Capital. The Seller shall pay all Yield and Fees accrued during each Yield Period on the first Settlement Date occurring after the end of such Yield Period in accordance with the terms and priorities for payment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For the avoidance of doubt, Yield </w:t>
      </w:r>
      <w:r>
        <w:rPr>
          <w:rFonts w:ascii="Times New Roman;serif" w:hAnsi="Times New Roman;serif"/>
          <w:b w:val="false"/>
          <w:color w:val="0000FF"/>
          <w:sz w:val="24"/>
          <w:u w:val="single"/>
        </w:rPr>
        <w:t xml:space="preserve">and (except as otherwise specified in the appliable Fee Letter) Fees </w:t>
      </w:r>
      <w:r>
        <w:rPr>
          <w:rFonts w:ascii="Times New Roman;serif" w:hAnsi="Times New Roman;serif"/>
          <w:b w:val="false"/>
          <w:color w:val="000000"/>
          <w:sz w:val="24"/>
        </w:rPr>
        <w:t>accrued during each Yield Period shall be due and payable on the first Settlement Date after such Yield Period without regard to the availability of Collections for payment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Highest Lawful Rate</w:t>
      </w:r>
      <w:r>
        <w:rPr>
          <w:rFonts w:ascii="Times New Roman;serif" w:hAnsi="Times New Roman;serif"/>
          <w:b w:val="false"/>
          <w:color w:val="000000"/>
          <w:sz w:val="24"/>
        </w:rPr>
        <w:t>. If at any time the designated rate of interest (including the Yield Rate for such purpose) applicable to any Purchaser’s Capital exceeds such Purchaser’s highest lawful rate, the rate of interest (including the Yield Rate for such purpose) on such Purchaser’s Capital shall be limited to such Purchaser’s highest lawful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Selection of Term SOFR Rate; Rate Quotations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So long as no Event of Default is continuing, the Seller may, by written notice to the Administrative Agent, elect for all or any portion of the Aggregate Capital to accrue yield or interest by reference to the Term SOFR Rate (rather than Daily 1M SOFR) during any Yield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such election shall be made for </w:t>
      </w:r>
      <w:r>
        <w:rPr>
          <w:rFonts w:ascii="Times New Roman;serif" w:hAnsi="Times New Roman;serif"/>
          <w:b w:val="false"/>
          <w:strike/>
          <w:color w:val="FF0000"/>
          <w:sz w:val="24"/>
        </w:rPr>
        <w:t xml:space="preserve">any Yield Period that does not commence on a Monthly Settlement Date or for </w:t>
      </w:r>
      <w:r>
        <w:rPr>
          <w:rFonts w:ascii="Times New Roman;serif" w:hAnsi="Times New Roman;serif"/>
          <w:b w:val="false"/>
          <w:color w:val="000000"/>
          <w:sz w:val="24"/>
        </w:rPr>
        <w:t xml:space="preserve">less </w:t>
      </w:r>
      <w:r>
        <w:rPr>
          <w:rFonts w:ascii="Times New Roman;serif" w:hAnsi="Times New Roman;serif"/>
          <w:b w:val="false"/>
          <w:color w:val="0000FF"/>
          <w:sz w:val="24"/>
          <w:u w:val="single"/>
        </w:rPr>
        <w:t xml:space="preserve">(or more) </w:t>
      </w:r>
      <w:r>
        <w:rPr>
          <w:rFonts w:ascii="Times New Roman;serif" w:hAnsi="Times New Roman;serif"/>
          <w:b w:val="false"/>
          <w:color w:val="000000"/>
          <w:sz w:val="24"/>
        </w:rPr>
        <w:t xml:space="preserve">than a full Yield Period. Any such notice must specify the amount of the Aggregate Capital subject of such election and must be delivered not later than </w:t>
      </w:r>
      <w:r>
        <w:rPr>
          <w:rFonts w:ascii="Times New Roman;serif" w:hAnsi="Times New Roman;serif"/>
          <w:b w:val="false"/>
          <w:strike/>
          <w:color w:val="FF0000"/>
          <w:sz w:val="24"/>
        </w:rPr>
        <w:t>three</w:t>
      </w:r>
      <w:r>
        <w:rPr>
          <w:color w:val="000000"/>
        </w:rPr>
        <w:t xml:space="preserve"> </w:t>
      </w:r>
      <w:r>
        <w:rPr>
          <w:rFonts w:ascii="Times New Roman;serif" w:hAnsi="Times New Roman;serif"/>
          <w:b w:val="false"/>
          <w:color w:val="0000FF"/>
          <w:sz w:val="24"/>
          <w:u w:val="single"/>
        </w:rPr>
        <w:t>two</w:t>
      </w:r>
      <w:r>
        <w:rPr>
          <w:color w:val="000000"/>
        </w:rPr>
        <w:t xml:space="preserve"> </w:t>
      </w:r>
      <w:r>
        <w:rPr>
          <w:rFonts w:ascii="Times New Roman;serif" w:hAnsi="Times New Roman;serif"/>
          <w:b w:val="false"/>
          <w:color w:val="000000"/>
          <w:sz w:val="24"/>
        </w:rPr>
        <w:t>(</w:t>
      </w:r>
      <w:r>
        <w:rPr>
          <w:rFonts w:ascii="Times New Roman;serif" w:hAnsi="Times New Roman;serif"/>
          <w:b w:val="false"/>
          <w:strike/>
          <w:color w:val="FF0000"/>
          <w:sz w:val="24"/>
        </w:rPr>
        <w:t>3</w:t>
      </w:r>
      <w:r>
        <w:rPr>
          <w:rFonts w:ascii="Times New Roman;serif" w:hAnsi="Times New Roman;serif"/>
          <w:b w:val="false"/>
          <w:color w:val="0000FF"/>
          <w:sz w:val="24"/>
          <w:u w:val="single"/>
        </w:rPr>
        <w:t>2</w:t>
      </w:r>
      <w:r>
        <w:rPr>
          <w:rFonts w:ascii="Times New Roman;serif" w:hAnsi="Times New Roman;serif"/>
          <w:b w:val="false"/>
          <w:color w:val="000000"/>
          <w:sz w:val="24"/>
        </w:rPr>
        <w:t>) Business Days prior to the first day of the affected Yield Period. Any such portion of the Aggregate Capital that is subject to such an election shall be apportioned among the respective Purchasers’ Capital ratably</w:t>
      </w:r>
      <w:r>
        <w:rPr>
          <w:color w:val="0000FF"/>
          <w:u w:val="single"/>
        </w:rPr>
        <w:t xml:space="preserve"> </w:t>
      </w:r>
      <w:r>
        <w:rPr>
          <w:rFonts w:ascii="Times New Roman;serif" w:hAnsi="Times New Roman;serif"/>
          <w:b w:val="false"/>
          <w:color w:val="0000FF"/>
          <w:sz w:val="24"/>
          <w:u w:val="single"/>
        </w:rPr>
        <w:t>based on the aggregate outstanding Capital of each Purchaser at such time</w:t>
      </w:r>
      <w:r>
        <w:rPr>
          <w:rFonts w:ascii="Times New Roman;serif" w:hAnsi="Times New Roman;serif"/>
          <w:b w:val="false"/>
          <w:color w:val="000000"/>
          <w:sz w:val="24"/>
        </w:rPr>
        <w:t xml:space="preserve">. Notwithstanding the foregoing, (x) the Seller shall not make such an election if, as a result thereof, more than five (5) Capital Tranches would exist and (y) each Capital Tranche accruing interest by reference to the Term SOFR Rate shall be not be less than $1,000,000 and shall be an integral multiple of $100,000. For the avoidance of doubt, in the event of any conflict between the Seller’s election pursuant to this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and rate of interest applied pursuant to the definition of “Yield Rate,” the definition of “Yield Rate” shall control.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Seller may call the Administrative Agent on or before the date on which an Investment Request is to be delivered to receive an indication of the rates then in effect, but it is acknowledged that such projection shall not be binding on the Administrative Agent or the Purchasers nor affect the rate of interest which thereafter is actually in effect when the election is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Conforming Changes Relating to Daily 1M SOFR and the Term SOFR Rate</w:t>
      </w:r>
      <w:r>
        <w:rPr>
          <w:rFonts w:ascii="Times New Roman;serif" w:hAnsi="Times New Roman;serif"/>
          <w:b w:val="false"/>
          <w:color w:val="000000"/>
          <w:sz w:val="24"/>
        </w:rPr>
        <w:t xml:space="preserve">. 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shall provide notice to the Seller and the Purchasers each such amendment implementing such Conforming Changes reasonably promptly after such amendment becomes effective.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Yield and Interest After Default</w:t>
      </w:r>
      <w:r>
        <w:rPr>
          <w:rFonts w:ascii="Times New Roman;serif" w:hAnsi="Times New Roman;serif"/>
          <w:b w:val="false"/>
          <w:color w:val="000000"/>
          <w:sz w:val="24"/>
        </w:rPr>
        <w:t>. To the extent permitted by Law, upon the occurrence of an Event of Default and until such time such Event of Default shall have been cured or waived, at the discretion of the Administrative Agent or upon written demand by the Required Purchasers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Yield Rate</w:t>
      </w:r>
      <w:r>
        <w:rPr>
          <w:rFonts w:ascii="Times New Roman;serif" w:hAnsi="Times New Roman;serif"/>
          <w:b w:val="false"/>
          <w:color w:val="000000"/>
          <w:sz w:val="24"/>
        </w:rPr>
        <w:t>. The Yield Rate applicable to any Capital shall be increased by 2.00% per annum;</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Other Obligations</w:t>
      </w:r>
      <w:r>
        <w:rPr>
          <w:rFonts w:ascii="Times New Roman;serif" w:hAnsi="Times New Roman;serif"/>
          <w:b w:val="false"/>
          <w:color w:val="000000"/>
          <w:sz w:val="24"/>
        </w:rPr>
        <w:t xml:space="preserve">. Each other obligation (other than payments in respect of the Subordinated Note or Subordinated Loans (as applicable)) of any SPV Entity-Related Party hereunder if not paid when due shall bear interest at a rate per annum equal to the sum of the Base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an additional 2.00% per annum from the time such obligation becomes due and payable until the time such obligation is paid in full;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The Seller acknowledges that the increase in rates referred to in this </w:t>
      </w:r>
      <w:r>
        <w:rPr>
          <w:rFonts w:ascii="Times New Roman;serif" w:hAnsi="Times New Roman;serif"/>
          <w:b w:val="false"/>
          <w:color w:val="000000"/>
          <w:sz w:val="24"/>
          <w:u w:val="single"/>
        </w:rPr>
        <w:t>Section 2.03(f)</w:t>
      </w:r>
      <w:r>
        <w:rPr>
          <w:color w:val="000000"/>
        </w:rPr>
        <w:t xml:space="preserve"> </w:t>
      </w:r>
      <w:r>
        <w:rPr>
          <w:rFonts w:ascii="Times New Roman;serif" w:hAnsi="Times New Roman;serif"/>
          <w:b w:val="false"/>
          <w:color w:val="000000"/>
          <w:sz w:val="24"/>
        </w:rPr>
        <w:t>reflects, among other things, the fact that such Capital or other amounts have become a substantially greater risk given their default status and that the Purchasers are entitled to additional compensation for such risk; and all such interest or yield shall be payable upon demand by Administrative Agent or (if earlier) on the first Settlement Date occurring after such interest or yield accrues.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2.04 </w:t>
      </w:r>
      <w:r>
        <w:rPr>
          <w:rFonts w:ascii="Times New Roman;serif" w:hAnsi="Times New Roman;serif"/>
          <w:b w:val="false"/>
          <w:color w:val="000000"/>
          <w:sz w:val="24"/>
          <w:u w:val="single"/>
        </w:rPr>
        <w:t>Rate Unascertainable; Increased Costs; Illegality; Benchmark Replacement Setting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Unascertainable; Increased Costs</w:t>
      </w:r>
      <w:r>
        <w:rPr>
          <w:rFonts w:ascii="Times New Roman;serif" w:hAnsi="Times New Roman;serif"/>
          <w:b w:val="false"/>
          <w:color w:val="000000"/>
          <w:sz w:val="24"/>
        </w:rPr>
        <w:t>. If, at any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Administrative Agent shall have determined (which determination shall be conclusive and binding absent manifest error) that the Term SOFR Rate or Daily 1M SOFR, as applicable, cannot be determined pursuant to the definition thereof;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Required Purchasers determine that for any reason Daily 1M SOFR or the Term SOFR Rate does not adequately and fairly reflect the cost to such Purchasers of funding, establishing or maintaining such Purchasers’ Capital during the applicable Yield Period or that Daily 1M SOFR does not adequately and fairly reflect the cost to such Purchasers of funding, establishing or maintaining such Purchasers’ Capital, and such Purchasers have provided notice of such determination to the Administrative Agent;</w:t>
      </w:r>
    </w:p>
    <w:p>
      <w:pPr>
        <w:pStyle w:val="TextBody"/>
        <w:bidi w:val="0"/>
        <w:spacing w:lineRule="auto" w:line="288" w:before="0" w:after="240"/>
        <w:jc w:val="both"/>
        <w:rPr/>
      </w:pPr>
      <w:r>
        <w:rPr>
          <w:rFonts w:ascii="Times New Roman;serif" w:hAnsi="Times New Roman;serif"/>
          <w:b w:val="false"/>
          <w:color w:val="000000"/>
          <w:sz w:val="24"/>
        </w:rPr>
        <w:t xml:space="preserve">then the Administrative Agent shall have the rights specified in </w:t>
      </w:r>
      <w:r>
        <w:rPr>
          <w:rFonts w:ascii="Times New Roman;serif" w:hAnsi="Times New Roman;serif"/>
          <w:b w:val="false"/>
          <w:color w:val="000000"/>
          <w:sz w:val="24"/>
          <w:u w:val="single"/>
        </w:rPr>
        <w:t>Section 2.04(c)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 If at any time any Purchaser shall have determined or any Official Body shall have asserted that the making, maintenance or funding of any Capital (or an Investment thereof) accruing interest by reference to Daily 1M SOFR or the Term SOFR Rate or the determination or charging of yield or interest by reference to Daily 1M SOFR or the Term SOFR Rate has been made impracticable or unlawful, by compliance by such Purchaser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serif" w:hAnsi="Times New Roman;serif"/>
          <w:b w:val="false"/>
          <w:color w:val="000000"/>
          <w:sz w:val="24"/>
          <w:u w:val="single"/>
        </w:rPr>
        <w:t>Section 2.04(c)</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Administrative Agent’s and Purchaser’s Rights</w:t>
      </w:r>
      <w:r>
        <w:rPr>
          <w:rFonts w:ascii="Times New Roman;serif" w:hAnsi="Times New Roman;serif"/>
          <w:b w:val="false"/>
          <w:color w:val="000000"/>
          <w:sz w:val="24"/>
        </w:rPr>
        <w:t xml:space="preserve">. In the case of any event specified in </w:t>
      </w:r>
      <w:r>
        <w:rPr>
          <w:rFonts w:ascii="Times New Roman;serif" w:hAnsi="Times New Roman;serif"/>
          <w:b w:val="false"/>
          <w:color w:val="000000"/>
          <w:sz w:val="24"/>
          <w:u w:val="single"/>
        </w:rPr>
        <w:t>Section 2.04(a)</w:t>
      </w:r>
      <w:r>
        <w:rPr>
          <w:rFonts w:ascii="Times New Roman;serif" w:hAnsi="Times New Roman;serif"/>
          <w:b w:val="false"/>
          <w:color w:val="000000"/>
          <w:sz w:val="24"/>
        </w:rPr>
        <w:t xml:space="preserve">, the Administrative Agent shall promptly so notify the Purchasers and the Seller thereof, and in the case of an event specified in </w:t>
      </w:r>
      <w:r>
        <w:rPr>
          <w:rFonts w:ascii="Times New Roman;serif" w:hAnsi="Times New Roman;serif"/>
          <w:b w:val="false"/>
          <w:color w:val="000000"/>
          <w:sz w:val="24"/>
          <w:u w:val="single"/>
        </w:rPr>
        <w:t>Section 2.04(b)</w:t>
      </w:r>
      <w:r>
        <w:rPr>
          <w:rFonts w:ascii="Times New Roman;serif" w:hAnsi="Times New Roman;serif"/>
          <w:b w:val="false"/>
          <w:color w:val="000000"/>
          <w:sz w:val="24"/>
        </w:rPr>
        <w:t>, such Purchaser shall promptly so notify the Administrative Agent and endorse a certificate to such notice as to the specific circumstances of such notice, and the Administrative Agent shall promptly send copies of such notice and certificate to the other Purchasers and the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such date as shall be specified in such notice (which shall not be earlier than the date such notice is given), the obligation of (i) the Purchasers, in the case of such notice given by the Administrative Agent, or (ii) such Purchaser, in the case of such notice given by such Purchaser, to allow the Seller to select, convert to, renew or continue any Capital accruing Yield by reference to Daily 1M SOFR or the Term SOFR Rate, as applicable, shall be suspended (to the extent of the affected Yield Rate or Yield Period) until the Administrative Agent shall have later notified the Seller, or such Purchaser shall have later notified the Administrative Agent, of the Administrative Agent’s or such Purchaser’s, as the case may be, determination that the circumstances giving rise to such previous determination no longer exist.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a determination by the Administrative Agent under </w:t>
      </w:r>
      <w:r>
        <w:rPr>
          <w:rFonts w:ascii="Times New Roman;serif" w:hAnsi="Times New Roman;serif"/>
          <w:b w:val="false"/>
          <w:color w:val="000000"/>
          <w:sz w:val="24"/>
          <w:u w:val="single"/>
        </w:rPr>
        <w:t>Section 2.04(a)</w:t>
      </w:r>
      <w:r>
        <w:rPr>
          <w:rFonts w:ascii="Times New Roman;serif" w:hAnsi="Times New Roman;serif"/>
          <w:b w:val="false"/>
          <w:color w:val="000000"/>
          <w:sz w:val="24"/>
        </w:rPr>
        <w:t>, (A) if the Seller has previously delivered an Investment Request for an affected Investment that has not yet been made, such Investment Request shall be deemed to request an Investment of Base Rate Capital, and (B) any outstanding affected Capital accruing yield or interest by reference to Daily 1M SOFR shall automatically be converted into Base Rate Capital and (C) any outstanding affected Capital accruing yield or interest by reference to the Term SOFR Rate shall be deemed to have been converted into Base Rate Capital at the end of the applicable Yield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any Purchaser notifies the Administrative Agent of a determination under </w:t>
      </w:r>
      <w:r>
        <w:rPr>
          <w:rFonts w:ascii="Times New Roman;serif" w:hAnsi="Times New Roman;serif"/>
          <w:b w:val="false"/>
          <w:color w:val="000000"/>
          <w:sz w:val="24"/>
          <w:u w:val="single"/>
        </w:rPr>
        <w:t>Section 2.04(b)</w:t>
      </w:r>
      <w:r>
        <w:rPr>
          <w:color w:val="000000"/>
        </w:rPr>
        <w:t xml:space="preserve"> </w:t>
      </w:r>
      <w:r>
        <w:rPr>
          <w:rFonts w:ascii="Times New Roman;serif" w:hAnsi="Times New Roman;serif"/>
          <w:b w:val="false"/>
          <w:color w:val="000000"/>
          <w:sz w:val="24"/>
        </w:rPr>
        <w:t xml:space="preserve">above, the Seller shall, subject to the Seller’s indemnification obligations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 as to any Capital of the Purchaser to which Daily 1M SOFR or the Term SOFR Rate applies, on the date specified in such notice either convert such Capital to Base Rate Capital or prepay such Capital. Absent due notice from the Seller of conversion or prepayment, such Capital shall automatically be converted to Base Rate Capital upon such specified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 xml:space="preserve">of the definition of “Benchmark Replacement” for such Benchmark Replacement Date, such Benchmark Replacement will replace such Benchmark for all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and under any Transaction Document in respect of any Benchmark setting at or after 5:00 p.m. (New York City time) on the fifth (5th) Business Day after the date notice of such Benchmark Replacement is provided to the Purchasers without any amendment to, or further action or consent of any other party to, this Agreement or any other Transaction Document so long as the Administrative Agent has not received, by such time, written notice of objection to such Benchmark Replacement from Purchasers comprising the Required Purchasers.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Seller and the Purchasers of (A) the implementation of any Benchmark Replacement, and (B) the effectiveness of any Conforming Changes in connection with the use, administration, adoption, or implementation of a Benchmark Replacement. The Administrative Agent will notify the Seller of (x) the removal or reinstatement of any tenor of a Benchmark pursuant to </w:t>
      </w:r>
      <w:r>
        <w:rPr>
          <w:rFonts w:ascii="Times New Roman;serif" w:hAnsi="Times New Roman;serif"/>
          <w:b w:val="false"/>
          <w:color w:val="000000"/>
          <w:sz w:val="24"/>
          <w:u w:val="single"/>
        </w:rPr>
        <w:t>paragraph (iv)</w:t>
      </w:r>
      <w:r>
        <w:rPr>
          <w:color w:val="000000"/>
        </w:rPr>
        <w:t xml:space="preserve"> </w:t>
      </w:r>
      <w:r>
        <w:rPr>
          <w:rFonts w:ascii="Times New Roman;serif" w:hAnsi="Times New Roman;serif"/>
          <w:b w:val="false"/>
          <w:color w:val="000000"/>
          <w:sz w:val="24"/>
        </w:rPr>
        <w:t xml:space="preserve">below and (y) the commencement of any Benchmark Unavailability Period. Any determination, decision or election that may be made by the Administrative Agent or, if applicable, any Purchaser (or group of Purchasers) pursuant to this </w:t>
      </w:r>
      <w:r>
        <w:rPr>
          <w:rFonts w:ascii="Times New Roman;serif" w:hAnsi="Times New Roman;serif"/>
          <w:b w:val="false"/>
          <w:color w:val="000000"/>
          <w:sz w:val="24"/>
          <w:u w:val="single"/>
        </w:rPr>
        <w:t>Section 2.04(d)</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“Yield Period” (or any similar or analogous definition) for any Benchmark settings at or after such time to remove such unavailable or non-representative tenor; and (B) if a tenor that was removed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either (I) is subsequently displayed on a screen or information service for a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a Benchmark Replacement) or (II) is not, or is no longer, subject to an announcement that it is not or will not be representative for a Benchmark (including a Benchmark Replacement), then the Administrative Agent may modify the definition of “Yield Period” (or any similar or analogous definition) for all Benchmark settings at or after such time to reinstate such previously removed tenor.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Seller’s receipt of notice of the commencement of a Benchmark Unavailability Period with respect to Daily 1M SOFR or the Term SOFR Rate, the Seller may revoke any pending request for an Investment of Capital accruing Yield based on such rate or conversion to or continuation of Capital accruing Yield based on such rate to be made, converted or continued during any Benchmark Unavailability Period and, failing that, the Seller will be deemed to have converted any such request into a request for Base Rate Capital or conversion to Base Rate Capital.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As used in this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if such Benchmark (a) is Daily 1M SOFR, one month, and (b) is a term rate, any tenor for such Benchmark (or component thereof) that is or may be used for determining the Term SOFR Rate applicable to any Capital or the length of a yield or interest period pursuant to this Agreement as of such date and not including, for the avoidance of doubt, any tenor of such Benchmark that is then-removed from the definition of “Yield Period” pursuant to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SOFR, Daily 1M SOFR and the Term SOFR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has occurred with respect to the then-current Benchmark, then “Benchmark” means the applicable Benchmark Replacement to the extent that such Benchmark Replacement has replaced such prior benchmark rate pursuant to this Section.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Daily Simple SOFR;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the sum of (A) the alternate benchmark rate that has been selected by the Administrative Agent and the Seller, giving due consideration to (x) any selection or recommendation of a replacement benchmark rate or the mechanism for determining such a rate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Relevant Governmental Body or (y) any evolving or then-prevailing market convention for determining a benchmark rate as a replacement to the then-current Benchmark for Dollar-denominated syndicated credit facilities at such time and (B) the related Benchmark Replacement Adjustment; </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Benchmark Replacement as determined pursuant to </w:t>
      </w:r>
      <w:r>
        <w:rPr>
          <w:rFonts w:ascii="Times New Roman;serif" w:hAnsi="Times New Roman;serif"/>
          <w:b w:val="false"/>
          <w:color w:val="000000"/>
          <w:sz w:val="24"/>
          <w:u w:val="single"/>
        </w:rPr>
        <w:t>clause (2)</w:t>
      </w:r>
      <w:r>
        <w:rPr>
          <w:color w:val="000000"/>
        </w:rPr>
        <w:t xml:space="preserve"> </w:t>
      </w:r>
      <w:r>
        <w:rPr>
          <w:rFonts w:ascii="Times New Roman;serif" w:hAnsi="Times New Roman;serif"/>
          <w:b w:val="false"/>
          <w:color w:val="000000"/>
          <w:sz w:val="24"/>
        </w:rPr>
        <w:t xml:space="preserve">above would be less than the Floor, the Benchmark Replacement will be deemed to be the Floor for the purposes of this Agreement and the other Transaction Documents;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any Benchmark Replacement shall be administratively feasible as determined by the Administrative Agent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Seller,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 xml:space="preserve">means a date and time determined by the Administrative Agent, which date shall be no later than the earliest to occur of the following events with respect to the then-current Benchmark: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in the case of </w:t>
      </w:r>
      <w:r>
        <w:rPr>
          <w:rFonts w:ascii="Times New Roman;serif" w:hAnsi="Times New Roman;serif"/>
          <w:b w:val="false"/>
          <w:color w:val="000000"/>
          <w:sz w:val="24"/>
          <w:u w:val="single"/>
        </w:rPr>
        <w:t>clause (3)</w:t>
      </w:r>
      <w:r>
        <w:rPr>
          <w:color w:val="000000"/>
        </w:rPr>
        <w:t xml:space="preserve"> </w:t>
      </w:r>
      <w:r>
        <w:rPr>
          <w:rFonts w:ascii="Times New Roman;serif" w:hAnsi="Times New Roman;serif"/>
          <w:b w:val="false"/>
          <w:color w:val="000000"/>
          <w:sz w:val="24"/>
        </w:rPr>
        <w:t xml:space="preserve">of the definition of “Benchmark Transition Event,” the date determined by the Administrative Agent, which date shall promptly follow the date of the public statement or publication of information referenced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if such Benchmark is a term rate or is based on a term rate, the “Benchmark Replacement Date” will be deemed to have occurred in the case 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 xml:space="preserve">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 public statement or publication of information by a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based on a term rate,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    a public statement or publication of information by the regulatory supervisor for the administrator of such Benchmark (or the published component used in the calculation thereof) or a Official Body having jurisdiction over the Administrative Agent announcing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Benchmark (or such component thereof) or, if such Benchmark is a term rate or based on a term rate, all Available Tenors of such Benchmark (or such component thereof) are not, or as of a specified future date will not be, representative.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or a rate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Transaction Document in accordance with this </w:t>
      </w:r>
      <w:r>
        <w:rPr>
          <w:rFonts w:ascii="Times New Roman;serif" w:hAnsi="Times New Roman;serif"/>
          <w:b w:val="false"/>
          <w:color w:val="000000"/>
          <w:sz w:val="24"/>
          <w:u w:val="single"/>
        </w:rPr>
        <w:t>Section 2.04(d)</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Transaction Document in accordance with this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 xml:space="preserve">means the benchmark rate floor, if any, provided in this Agreement initially (as of the execution of this Agreement, the modification, amendment or renewal of this Agreement or otherwise) with respect to Daily 1M SOFR or the Term SOFR Rate, as applicable, or, if no floor is specified, zero.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2.05 </w:t>
      </w:r>
      <w:r>
        <w:rPr>
          <w:rFonts w:ascii="Times New Roman;serif" w:hAnsi="Times New Roman;serif"/>
          <w:b w:val="false"/>
          <w:color w:val="000000"/>
          <w:sz w:val="24"/>
          <w:u w:val="single"/>
        </w:rPr>
        <w:t>Records of Investments</w:t>
      </w:r>
      <w:r>
        <w:rPr>
          <w:rFonts w:ascii="Times New Roman;serif" w:hAnsi="Times New Roman;serif"/>
          <w:b w:val="false"/>
          <w:color w:val="000000"/>
          <w:sz w:val="24"/>
        </w:rPr>
        <w:t xml:space="preserve">. Each Purchaser shall record in its records, the date and amount of each Investment made by such the Purchaser hereunder, the interest or yield rate with respect thereto, the Yield accrued thereon and each repayment and payment thereof. Subject to </w:t>
      </w:r>
      <w:r>
        <w:rPr>
          <w:rFonts w:ascii="Times New Roman;serif" w:hAnsi="Times New Roman;serif"/>
          <w:b w:val="false"/>
          <w:color w:val="000000"/>
          <w:sz w:val="24"/>
          <w:u w:val="single"/>
        </w:rPr>
        <w:t xml:space="preserve">Section </w:t>
      </w:r>
      <w:r>
        <w:rPr>
          <w:rFonts w:ascii="Times New Roman;serif" w:hAnsi="Times New Roman;serif"/>
          <w:b w:val="false"/>
          <w:strike/>
          <w:color w:val="FF0000"/>
          <w:sz w:val="24"/>
          <w:u w:val="single"/>
        </w:rPr>
        <w:t>12.03</w:t>
      </w:r>
      <w:r>
        <w:rPr>
          <w:rFonts w:ascii="Times New Roman;serif" w:hAnsi="Times New Roman;serif"/>
          <w:b w:val="false"/>
          <w:color w:val="0000FF"/>
          <w:sz w:val="24"/>
          <w:u w:val="single"/>
        </w:rPr>
        <w:t>12.06</w:t>
      </w:r>
      <w:r>
        <w:rPr>
          <w:rFonts w:ascii="Times New Roman;serif" w:hAnsi="Times New Roman;serif"/>
          <w:b w:val="false"/>
          <w:color w:val="000000"/>
          <w:sz w:val="24"/>
          <w:u w:val="single"/>
        </w:rPr>
        <w:t>(c)</w:t>
      </w:r>
      <w:r>
        <w:rPr>
          <w:rFonts w:ascii="Times New Roman;serif" w:hAnsi="Times New Roman;serif"/>
          <w:b w:val="false"/>
          <w:color w:val="000000"/>
          <w:sz w:val="24"/>
        </w:rPr>
        <w:t>, such records shall be conclusive and binding absent manifest error. The failure to so record any such information or any error in so recording any such information shall not, however, limit or otherwise affect the obligations of the Seller hereunder or under the other Transaction Documents to repay the Capital of each Purchaser, together with all Yield accruing thereon and all other Seller Obligations.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2.06 </w:t>
      </w:r>
      <w:r>
        <w:rPr>
          <w:rFonts w:ascii="Times New Roman;serif" w:hAnsi="Times New Roman;serif"/>
          <w:b w:val="false"/>
          <w:color w:val="000000"/>
          <w:sz w:val="24"/>
          <w:u w:val="single"/>
        </w:rPr>
        <w:t>Defaulting Purchasers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Defaulting Purchaser Adjustments</w:t>
      </w:r>
      <w:r>
        <w:rPr>
          <w:rFonts w:ascii="Times New Roman;serif" w:hAnsi="Times New Roman;serif"/>
          <w:b w:val="false"/>
          <w:color w:val="000000"/>
          <w:sz w:val="24"/>
        </w:rPr>
        <w:t>. Notwithstanding anything to the contrary contained in this Agreement, if any Purchaser becomes a Defaulting Purchaser, then, until such time as such Purchaser is no longer a Defaulting Purchaser, to the extent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Such Defaulting Purchaser’s right to approve or disapprove any amendment, waiver or consent with respect to this Agreement shall be restricted as specified in the definition of Required Purchasers.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Defaulting Purchaser Waterfall</w:t>
      </w:r>
      <w:r>
        <w:rPr>
          <w:rFonts w:ascii="Times New Roman;serif" w:hAnsi="Times New Roman;serif"/>
          <w:b w:val="false"/>
          <w:color w:val="000000"/>
          <w:sz w:val="24"/>
        </w:rPr>
        <w:t xml:space="preserve">. Any payment of capital, principal, interest, yield, fees or other amounts received by the Administrative Agent for the account of such Defaulting Purchaser (whether voluntary or mandatory, at maturity, pursuant to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or otherwise) or received by the Administrative Agent from a Defaulting Purchaser pursuant to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shall be applied at such time or times as may be determined by the Administrative Agent as follows: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payment of any amounts owing by such Defaulting Purchaser to the Administrative Agent hereunder; </w:t>
      </w:r>
      <w:r>
        <w:rPr>
          <w:rFonts w:ascii="Times New Roman;serif" w:hAnsi="Times New Roman;serif"/>
          <w:b w:val="false"/>
          <w:i/>
          <w:color w:val="000000"/>
          <w:sz w:val="24"/>
        </w:rPr>
        <w:t>second</w:t>
      </w:r>
      <w:r>
        <w:rPr>
          <w:rFonts w:ascii="Times New Roman;serif" w:hAnsi="Times New Roman;serif"/>
          <w:b w:val="false"/>
          <w:color w:val="000000"/>
          <w:sz w:val="24"/>
        </w:rPr>
        <w:t xml:space="preserve">, as the Seller may request (so long as no Potential Default or Event of Default exists), to the funding of any Investment in respect of which such Defaulting Purchaser has failed to fund its portion thereof as required by this Agreement, as determined by the Administrative Agent; </w:t>
      </w:r>
      <w:r>
        <w:rPr>
          <w:rFonts w:ascii="Times New Roman;serif" w:hAnsi="Times New Roman;serif"/>
          <w:b w:val="false"/>
          <w:i/>
          <w:color w:val="000000"/>
          <w:sz w:val="24"/>
        </w:rPr>
        <w:t>third</w:t>
      </w:r>
      <w:r>
        <w:rPr>
          <w:rFonts w:ascii="Times New Roman;serif" w:hAnsi="Times New Roman;serif"/>
          <w:b w:val="false"/>
          <w:color w:val="000000"/>
          <w:sz w:val="24"/>
        </w:rPr>
        <w:t xml:space="preserve">, if so determined by the Administrative Agent and the Seller, to be held in a deposit account and released pro rata in order to satisfy such Defaulting Purchaser’s potential future funding obligations with respect to Investments under this Agreement;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the payment of any amounts owing to the Purchasers as a result of any judgment of a court of competent jurisdiction obtained by any Purchaser against such Defaulting Purchaser as a result of such Defaulting Purchaser’s breach of its obligations under this Agreement; </w:t>
      </w:r>
      <w:r>
        <w:rPr>
          <w:rFonts w:ascii="Times New Roman;serif" w:hAnsi="Times New Roman;serif"/>
          <w:b w:val="false"/>
          <w:i/>
          <w:color w:val="000000"/>
          <w:sz w:val="24"/>
        </w:rPr>
        <w:t>fifth</w:t>
      </w:r>
      <w:r>
        <w:rPr>
          <w:rFonts w:ascii="Times New Roman;serif" w:hAnsi="Times New Roman;serif"/>
          <w:b w:val="false"/>
          <w:color w:val="000000"/>
          <w:sz w:val="24"/>
        </w:rPr>
        <w:t xml:space="preserve">, so long as no Potential Default or Event of Default exists, to the payment of any amounts owing to the Seller as a result of any judgment of a court of competent jurisdiction obtained by the Seller against such Defaulting Purchaser as a result of such Defaulting Purchaser's breach of its obligations under this Agreement; and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such Defaulting Purchaser or as otherwise directed by a court of competent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(x) such payment is a payment of Capital of any Investments in respect of which such Defaulting Purchaser has not fully funded its appropriate share, and (y) such Investments were made at a time when the conditions specified in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were satisfied or waived, such payment shall be applied solely to pay the Investments of all Non-Defaulting Purchasers on a pro rata basis prior to being applied to the payment of any Investments of such Defaulting Purchaser until such time as all Investments are held by the Purchasers pro rata in accordance with the Commitments. Any payments, prepayments or other amounts paid or payable to a Defaulting Purchaser that are applied (or held) to pay amounts owed by a Defaulting Purchaser pursuant to this </w:t>
      </w:r>
      <w:r>
        <w:rPr>
          <w:rFonts w:ascii="Times New Roman;serif" w:hAnsi="Times New Roman;serif"/>
          <w:b w:val="false"/>
          <w:color w:val="000000"/>
          <w:sz w:val="24"/>
          <w:u w:val="single"/>
        </w:rPr>
        <w:t>Section 2.06(a)(ii)</w:t>
      </w:r>
      <w:r>
        <w:rPr>
          <w:color w:val="000000"/>
        </w:rPr>
        <w:t xml:space="preserve"> </w:t>
      </w:r>
      <w:r>
        <w:rPr>
          <w:rFonts w:ascii="Times New Roman;serif" w:hAnsi="Times New Roman;serif"/>
          <w:b w:val="false"/>
          <w:color w:val="000000"/>
          <w:sz w:val="24"/>
        </w:rPr>
        <w:t>shall be deemed paid to and redirected by such Defaulting Purchaser, and each Purchaser irrevocably consents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Certain Fees</w:t>
      </w:r>
      <w:r>
        <w:rPr>
          <w:rFonts w:ascii="Times New Roman;serif" w:hAnsi="Times New Roman;serif"/>
          <w:b w:val="false"/>
          <w:color w:val="000000"/>
          <w:sz w:val="24"/>
        </w:rPr>
        <w:t>. Notwithstanding anything to the contrary in the applicable Fee Letter, no Defaulting Purchaser shall be entitled to receive any Undrawn Fee accrued for any period during which that Purchaser is a Defaulting Purchaser (and the Seller shall not be required to pay any such Undrawn Fee that otherwise would have been required to have been paid to that Defaulting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Defaulting Purchaser Cure</w:t>
      </w:r>
      <w:r>
        <w:rPr>
          <w:rFonts w:ascii="Times New Roman;serif" w:hAnsi="Times New Roman;serif"/>
          <w:b w:val="false"/>
          <w:color w:val="000000"/>
          <w:sz w:val="24"/>
        </w:rPr>
        <w:t xml:space="preserve">. If the Seller and the Administrative Agent agree in writing that a Purchaser is no longer a Defaulting Purchaser,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will so notify the parties hereto, whereupon as of the effective date specified in such notice and subject to any conditions specified therein, that Purchaser will, to the extent applicable, purchase at par that portion of outstanding Investments of the other Purchasers or take such other actions as the Administrative Agent may determine to be necessary to cause the Investments to be held pro rata by the Purchasers in accordance with the Commitments, whereupon such Purchaser will cease to be a Defaulting Purchaser;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adjustments will be made retroactively with respect to fees accrued or payments made by or on behalf of the Seller while that Purchaser was a Defaulting Purchaser;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except to the extent otherwise expressly agreed by the affected parties, no change hereunder from Defaulting Purchaser to Purchaser will constitute a waiver or release of any claim of any party hereunder arising from that Purchaser’s having been a Defaulting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Termination of Defaulting Purchaser</w:t>
      </w:r>
      <w:r>
        <w:rPr>
          <w:rFonts w:ascii="Times New Roman;serif" w:hAnsi="Times New Roman;serif"/>
          <w:b w:val="false"/>
          <w:color w:val="000000"/>
          <w:sz w:val="24"/>
        </w:rPr>
        <w:t xml:space="preserve">. The Seller may terminate the unused amount of the Commitment of any Defaulting Purchaser upon not less than five (5) Business Days’ prior notice to the Administrative Agent (which shall promptly notify the Purchasers thereof), and in such event the provisions of </w:t>
      </w:r>
      <w:r>
        <w:rPr>
          <w:rFonts w:ascii="Times New Roman;serif" w:hAnsi="Times New Roman;serif"/>
          <w:b w:val="false"/>
          <w:color w:val="000000"/>
          <w:sz w:val="24"/>
          <w:u w:val="single"/>
        </w:rPr>
        <w:t>Section 2.06(a)(ii)</w:t>
      </w:r>
      <w:r>
        <w:rPr>
          <w:color w:val="000000"/>
        </w:rPr>
        <w:t xml:space="preserve"> </w:t>
      </w:r>
      <w:r>
        <w:rPr>
          <w:rFonts w:ascii="Times New Roman;serif" w:hAnsi="Times New Roman;serif"/>
          <w:b w:val="false"/>
          <w:color w:val="000000"/>
          <w:sz w:val="24"/>
        </w:rPr>
        <w:t xml:space="preserve">will apply to all amounts thereafter paid by the Seller for the account of such Defaulting Purchaser under this Agreement (whether on account of Capital, principal, interest, Yield, fees, indemnity or other amounts);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no Event of Default shall have occurred and be continuing, and (ii) such termination shall not be deemed to be a waiver or release of any claim the Seller, the Administrative Agent or any Purchaser may have against such Defaulting Purchaser.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2.07 </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If, notwithstanding the intent of the parties stated in </w:t>
      </w:r>
      <w:r>
        <w:rPr>
          <w:rFonts w:ascii="Times New Roman;serif" w:hAnsi="Times New Roman;serif"/>
          <w:b w:val="false"/>
          <w:color w:val="000000"/>
          <w:sz w:val="24"/>
          <w:u w:val="single"/>
        </w:rPr>
        <w:t>Section 2.01(c)</w:t>
      </w:r>
      <w:r>
        <w:rPr>
          <w:rFonts w:ascii="Times New Roman;serif" w:hAnsi="Times New Roman;serif"/>
          <w:b w:val="false"/>
          <w:color w:val="000000"/>
          <w:sz w:val="24"/>
        </w:rPr>
        <w:t xml:space="preserve">, the sale, assignment and transfer of any Sold Assets to the Administrative Agent (for the ratable benefit of the Purchasers) hereunder (including pursuant to </w:t>
      </w:r>
      <w:r>
        <w:rPr>
          <w:rFonts w:ascii="Times New Roman;serif" w:hAnsi="Times New Roman;serif"/>
          <w:b w:val="false"/>
          <w:color w:val="000000"/>
          <w:sz w:val="24"/>
          <w:u w:val="single"/>
        </w:rPr>
        <w:t>Section 2.01(b)</w:t>
      </w:r>
      <w:r>
        <w:rPr>
          <w:rFonts w:ascii="Times New Roman;serif" w:hAnsi="Times New Roman;serif"/>
          <w:b w:val="false"/>
          <w:color w:val="000000"/>
          <w:sz w:val="24"/>
        </w:rPr>
        <w:t xml:space="preserve">) is not treated as a sale for all purposes (except as provided in </w:t>
      </w:r>
      <w:r>
        <w:rPr>
          <w:rFonts w:ascii="Times New Roman;serif" w:hAnsi="Times New Roman;serif"/>
          <w:b w:val="false"/>
          <w:color w:val="000000"/>
          <w:sz w:val="24"/>
          <w:u w:val="single"/>
        </w:rPr>
        <w:t>Sections 2.01(d)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12.11</w:t>
      </w:r>
      <w:r>
        <w:rPr>
          <w:rFonts w:ascii="Times New Roman;serif" w:hAnsi="Times New Roman;serif"/>
          <w:b w:val="false"/>
          <w:color w:val="000000"/>
          <w:sz w:val="24"/>
        </w:rPr>
        <w:t>), then such sale, assignment and transfer of such Sold Assets shall be treated as the grant of a security interest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 Therefore, as security for the performance by the Seller of all the terms, covenants and agreements on the part of the Seller to be performed under this Agreement or any other Transaction Document, including the punctual payment when due of the Aggregate Capital and all Yield and all other Seller Obligations, the Seller hereby grants to the Administrative Agent for its benefit and the ratable benefit of the Secured Parties, a continuing first priority security interest in, all of the Seller’s right, title and interest in, to and under all of the Sold Assets, whether now or hereafter owned, existing or arising.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Administrative Agent (for the benefit of the Secured Parties) shall have, with respect to all the Sold Assets, and in addition to all the other rights and remedies available to the Administrative Agent (for the benefit of the Secured Parties), all the rights and remedies of a secured party under any applicable UCC.</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For the avoidance of doubt, (i) the grant of security interest pursuant to this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 xml:space="preserve">shall be in addition to, and shall not be construed to limit or modify, the sale of Sold Assets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or the Seller’s grant of security interest pursuant to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(ii) nothing in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shall be construed as limiting the rights, interests (including any security interest), obligations or liabilities of any party under this </w:t>
      </w:r>
      <w:r>
        <w:rPr>
          <w:rFonts w:ascii="Times New Roman;serif" w:hAnsi="Times New Roman;serif"/>
          <w:b w:val="false"/>
          <w:color w:val="000000"/>
          <w:sz w:val="24"/>
          <w:u w:val="single"/>
        </w:rPr>
        <w:t>Section 2.07</w:t>
      </w:r>
      <w:r>
        <w:rPr>
          <w:rFonts w:ascii="Times New Roman;serif" w:hAnsi="Times New Roman;serif"/>
          <w:b w:val="false"/>
          <w:color w:val="000000"/>
          <w:sz w:val="24"/>
        </w:rPr>
        <w:t xml:space="preserve">, and (iii) subject to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 xml:space="preserve">shall not be construed to contradict the intentions of the parties set forth in </w:t>
      </w:r>
      <w:r>
        <w:rPr>
          <w:rFonts w:ascii="Times New Roman;serif" w:hAnsi="Times New Roman;serif"/>
          <w:b w:val="false"/>
          <w:color w:val="000000"/>
          <w:sz w:val="24"/>
          <w:u w:val="single"/>
        </w:rPr>
        <w:t>Section 2.01(c)</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2.08 </w:t>
      </w:r>
      <w:r>
        <w:rPr>
          <w:rFonts w:ascii="Times New Roman;serif" w:hAnsi="Times New Roman;serif"/>
          <w:b w:val="false"/>
          <w:color w:val="000000"/>
          <w:sz w:val="24"/>
          <w:u w:val="single"/>
        </w:rPr>
        <w:t>SPV Entity Guaranty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Guaranty of Payment</w:t>
      </w:r>
      <w:r>
        <w:rPr>
          <w:rFonts w:ascii="Times New Roman;serif" w:hAnsi="Times New Roman;serif"/>
          <w:b w:val="false"/>
          <w:color w:val="000000"/>
          <w:sz w:val="24"/>
        </w:rPr>
        <w:t>. The Seller hereby absolutely, irrevocably and unconditionally guarantees to each Purchaser, the Administrative Agent and the other Secured Parties the prompt payment of the Sold Receivables by the related Obligors and all other payment obligations included in the Sold Assets (collectively, the “</w:t>
      </w:r>
      <w:r>
        <w:rPr>
          <w:rFonts w:ascii="Times New Roman;serif" w:hAnsi="Times New Roman;serif"/>
          <w:b w:val="false"/>
          <w:color w:val="000000"/>
          <w:sz w:val="24"/>
          <w:u w:val="single"/>
        </w:rPr>
        <w:t>Seller Guaranteed Obligations</w:t>
      </w:r>
      <w:r>
        <w:rPr>
          <w:color w:val="000000"/>
        </w:rPr>
        <w:t>”</w:t>
      </w:r>
      <w:r>
        <w:rPr>
          <w:rFonts w:ascii="Times New Roman;serif" w:hAnsi="Times New Roman;serif"/>
          <w:b w:val="false"/>
          <w:color w:val="000000"/>
          <w:sz w:val="24"/>
        </w:rPr>
        <w:t>), in each case, in full when due, whether at stated maturity, as a mandatory prepayment, by acceleration or otherwise (such guaranty, the “</w:t>
      </w:r>
      <w:r>
        <w:rPr>
          <w:rFonts w:ascii="Times New Roman;serif" w:hAnsi="Times New Roman;serif"/>
          <w:b w:val="false"/>
          <w:color w:val="000000"/>
          <w:sz w:val="24"/>
          <w:u w:val="single"/>
        </w:rPr>
        <w:t>Seller Guaranty</w:t>
      </w:r>
      <w:r>
        <w:rPr>
          <w:color w:val="000000"/>
        </w:rPr>
        <w:t>”</w:t>
      </w:r>
      <w:r>
        <w:rPr>
          <w:rFonts w:ascii="Times New Roman;serif" w:hAnsi="Times New Roman;serif"/>
          <w:b w:val="false"/>
          <w:color w:val="000000"/>
          <w:sz w:val="24"/>
        </w:rPr>
        <w:t xml:space="preserve">). The Canadian Guarantor hereby absolutely, irrevocably and unconditionally guarantees to each Purchaser, the Administrative Agent and the other Secured Parties the prompt payment of the Seller Obligations (collectively, the </w:t>
      </w:r>
      <w:r>
        <w:rPr>
          <w:color w:val="000000"/>
          <w:u w:val="single"/>
        </w:rPr>
        <w:t>“</w:t>
      </w:r>
      <w:r>
        <w:rPr>
          <w:rFonts w:ascii="Times New Roman;serif" w:hAnsi="Times New Roman;serif"/>
          <w:b w:val="false"/>
          <w:color w:val="000000"/>
          <w:sz w:val="24"/>
          <w:u w:val="single"/>
        </w:rPr>
        <w:t>Canadian Guarantor Guaranteed Obligations</w:t>
      </w:r>
      <w:r>
        <w:rPr>
          <w:color w:val="000000"/>
        </w:rPr>
        <w:t>”</w:t>
      </w:r>
      <w:r>
        <w:rPr>
          <w:rFonts w:ascii="Times New Roman;serif" w:hAnsi="Times New Roman;serif"/>
          <w:b w:val="false"/>
          <w:color w:val="000000"/>
          <w:sz w:val="24"/>
        </w:rPr>
        <w:t>; together with the Seller Guaranteed Obligations, the “Guaranteed Obligations”), in each case, in full when due, whether at stated maturity, as a mandatory prepayment, by acceleration or otherwise (such guaranty, the “</w:t>
      </w:r>
      <w:r>
        <w:rPr>
          <w:rFonts w:ascii="Times New Roman;serif" w:hAnsi="Times New Roman;serif"/>
          <w:b w:val="false"/>
          <w:color w:val="000000"/>
          <w:sz w:val="24"/>
          <w:u w:val="single"/>
        </w:rPr>
        <w:t>Canadian Guarantor Guaranty</w:t>
      </w:r>
      <w:r>
        <w:rPr>
          <w:color w:val="000000"/>
        </w:rPr>
        <w:t>”</w:t>
      </w:r>
      <w:r>
        <w:rPr>
          <w:rFonts w:ascii="Times New Roman;serif" w:hAnsi="Times New Roman;serif"/>
          <w:b w:val="false"/>
          <w:color w:val="000000"/>
          <w:sz w:val="24"/>
        </w:rPr>
        <w:t>; together with the Seller Guaranty, the “</w:t>
      </w:r>
      <w:r>
        <w:rPr>
          <w:rFonts w:ascii="Times New Roman;serif" w:hAnsi="Times New Roman;serif"/>
          <w:b w:val="false"/>
          <w:color w:val="000000"/>
          <w:sz w:val="24"/>
          <w:u w:val="single"/>
        </w:rPr>
        <w:t>SPV Entity Guarantees</w:t>
      </w:r>
      <w:r>
        <w:rPr>
          <w:color w:val="000000"/>
        </w:rPr>
        <w:t>”</w:t>
      </w:r>
      <w:r>
        <w:rPr>
          <w:rFonts w:ascii="Times New Roman;serif" w:hAnsi="Times New Roman;serif"/>
          <w:b w:val="false"/>
          <w:color w:val="000000"/>
          <w:sz w:val="24"/>
        </w:rPr>
        <w:t>).  Each SPV Entity Guaranty is a guaranty of payment and performance and not of collection and is a continuing irrevocable guaranty and shall apply to all Guaranteed Obligations whenever arising. To the extent the obligations of any SPV Entity hereunder in respect to its SPV Entity Guaranty shall be adjudicated to be invalid or unenforceable for any reason (including because of any applicable state, provincial or federal Law relating to fraudulent conveyances or transfers) then such obligations of such SPV Entity shall be limited to the maximum amount that is permissible under applicable Law (whether federal, provincial or state or otherwise and including Debtor Relief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Unconditional Guaranty</w:t>
      </w:r>
      <w:r>
        <w:rPr>
          <w:rFonts w:ascii="Times New Roman;serif" w:hAnsi="Times New Roman;serif"/>
          <w:b w:val="false"/>
          <w:color w:val="000000"/>
          <w:sz w:val="24"/>
        </w:rPr>
        <w:t xml:space="preserve">. The obligations of each SPV Entity under its SPV Entity Guaranty are absolute, irrevocable, and unconditional, irrespective of the value, genuineness, validity, regularity or enforceability of the related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Each SPV Entity agrees that its SPV Entity Guaranty may be enforced by the Administrative Agent or the Purchasers without the necessity at any time of resorting to or exhausting any other security or collateral and without the necessity at any time of having recourse to any of the other Transaction Documents or any collateral, including the Sold Assets and Pledged Collateral, hereafter securing the Guaranteed Obligations, the Seller Obligations or otherwise, and each SPV Entity hereby waives the right to require the Administrative Agent or the Purchasers to make demand on or proceed against any Obligor, any Originator, any Servicer, the Performance Guarantor or any other Person or to require the Administrative Agent or the Purchasers to pursue any other remedy or enforce any other right. Each SPV Entity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agrees that no Person or Official Body shall have any right to request any return or reimbursement of funds from the Administrative Agent or the Purchasers in connection with monies received under or in respect of any SPV Entity Guaranty. Each SPV Entity further agrees that nothing contained herein shall prevent the Administrative Agent or the Purchasers from suing on any of the other Transaction Documents or foreclosing its or their, as applicable, security interest in or lien on the Sold Assets, the Pledged Collateral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such SPV Entity’s obligations under its SPV Entity Guaranty; it being the purpose and intent of each SPV Entity that its obligations under its SPV Entity Guaranty shall be absolute, independent and unconditional under any and all circumstances. Neither any SPV Entity Guaranty nor any remedy for the enforcement thereof shall be impaired, modified, changed or released in any manner whatsoever by an impairment, modification, change, release, increase or limitation of the liability of any Obligor, any Originator, any Servicer or the Performance Guarantor or by reason of the bankruptcy, insolvency, liquidation, receivership, dissolution or winding-up of any Obligor, any Originator, any SPV Entity, the Performance Guarantor or any Servicer. Each SPV Entity hereby waives any and all notice of the creation, renewal, extension, accrual, or increase of any of its Guaranteed Obligations and notice of or proof of reliance by the Administrative Agent or any Purchaser on its SPV Entity Guaranty or acceptance of its SPV Entity Guaranty. All dealings between any Obligor, any Originator, any Servicer or any SPV Entity, on the one hand, and the Administrative Agent and the Purchasers, on the other hand, shall be conclusively presumed to have been had or consummated in reliance upon its SPV Entity Guaranty. Each SPV Entity hereby represents and warrants that it is, and immediately after giving effect to its SPV Entity Guaranty and the obligation evidenced hereby, will be, solvent. Each SPV Entity Guaranty and the obligations of the respective SPV Entity thereunder shall be valid and enforceable and shall not be subject to any limitation, impairment or discharge for any reason (other than payment in full of all related Guaranteed Obligations), including the occurrence of any of the following, whether or not the Administrative 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the Pledged Collateral or the Guaranteed Obligations or any agreement relating thereto, or with respect to any guaranty of or other security for the payment of the Sold Assets or the Guaranteed Obligations, (B) any waiver, amendment or modification of, or any consent to departure from, any of the terms or provisions (including provisions relating to any Event of Default) of any Transaction Document or any agreement or instrument executed pursuant thereto, or of any guaranty or other security for the Sold Assets or the Guaranteed Obligations, (C) to the fullest extent permitted by applicable Law, any of the Guaranteed Obligations, or any agreement relating thereto, at any time being found to be illegal, invalid or unenforceable in any respect, (D) the application of payments received from any source to the payment of Debt other than the Guaranteed Obligations, even though the Administrative Agent might have elected to apply such payment to any part or all of the Guaranteed Obligations, (E) any failure to perfect or continue perfection of a security interest in any of the Sold Assets or other Pledged Collateral, (F) any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defenses, set-offs or counterclaims which any SPV Entity, any Originator, any Servicer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any SPV Entity as an obligor in respect of the Sold Assets or the Guaranteed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Modifications</w:t>
      </w:r>
      <w:r>
        <w:rPr>
          <w:rFonts w:ascii="Times New Roman;serif" w:hAnsi="Times New Roman;serif"/>
          <w:b w:val="false"/>
          <w:color w:val="000000"/>
          <w:sz w:val="24"/>
        </w:rPr>
        <w:t>. Each SPV Entity agrees that: (i) all or any part of any security interest, lien, collateral security or supporting obligation now or hereafter held for any Guaranteed Obligation may be exchanged, compromised or surrendered from time to time; (ii) none of the Purchasers or the Administrative Agent shall have any obligation to protect, perfect, secure or insure any security interest or lien now or hereafter held, if any, for the Guaranteed Obligations; (iii) the time or place of payment of any Guaranteed Obligation may be changed or extended, in whole or in part, to a time certain or otherwise, and may be renewed or accelerated, in whole or in part; (iv) any Obligor, any Originator, any SPV Entity or any Servicer and any other party (including any co-guarantor) liable for payment of any Guaranteed Obligation may be granted indulgences generally; (v) any of the provisions of Contracts or any other agreements or documents governing or giving rise to any Guaranteed Obligation may be modified, amended or waived; and (vi) any deposit balance for the credit of any Obligor, any Originator, any Servicer or any SPV Entity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any SPV Entity, which shall remain bound thereon, notwithstanding any such exchange, compromise, surrender, extension, renewal, acceleration, modification, indulgence or release.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Waiver of Rights</w:t>
      </w:r>
      <w:r>
        <w:rPr>
          <w:rFonts w:ascii="Times New Roman;serif" w:hAnsi="Times New Roman;serif"/>
          <w:b w:val="false"/>
          <w:color w:val="000000"/>
          <w:sz w:val="24"/>
        </w:rPr>
        <w:t xml:space="preserve">. Each SPV Entity expressly waives to the fullest extent permitted by applicable Law: (i) notice of acceptance of its SPV Entity Guaranty by the Purchasers and the Administrative Agent; (ii) presentment and demand for payment or performance of any of the Guaranteed Obligations; (iii) protest and notice of dishonor or of default (except as specifically required in this Agreement) with respect to the Guaranteed Obligations or with respect to any security therefor; (iv)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(v) all other notices, demands, presentments, protests or any agreement or instrument related to the Sold Assets or the Guaranteed Obligations to which such SPV Entity might otherwise be entitled; (vi) any right to require the Administrative Agent or any Purchaser as a condition of payment or performance by such SPV Entity, to (A) proceed against any Obligor, any Originator, the Performance Guarantor any Servicer or any other Person, (B) proceed against or exhaust any other security held from any Obligor, any Originator, any Servicer, the Performance Guarantor or any other Person, (C) proceed against or have resort to any balance of any deposit account, securities account or credit on the books of the Administrative Agent, the Purchasers or any other Person, or (D) pursue any other remedy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power of the Administrative Agent or the Purchasers whatsoever; (vii) any defense arising by reason of the incapacity, lack of authority or any disability or other defense of any Obligor, any Originator, any Servicer, the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any Servicer, the Performance Guarantor or any other Person from any cause other than payment in full of the Sold Assets and the Guaranteed Obligations; (viii) any defense based upon any applicable Law which provides that the obligation of a surety must be neither larger in amount nor in other respects more burdensome than that of the principal; (ix) any defense based upon the Administrative Agent’s or any Purchaser’s errors or omissions in the administration of the Sold Assets or the Guaranteed Obligations; (x) (A) any principles or provisions of law, statutory or otherwise, which are or might be in conflict with the terms of this Agreement and any legal or equitable discharge of the Sold Assets or the Guaranteed Obligations, (B) the benefit of any statute of limitations affecting such SPV Entity’s liability under its SPV Entity Guaranty or the enforcement of its SPV Entity Guaranty, (C) any rights to set-offs, recoupments and counterclaims, and (D) promptness, diligence and any requirement that the Administrative Agent and the Purchasers protect, secure, perfect or insure any other security interest or lien or any property subject thereto; and (xi) to the fullest extent permitted by applicable Law, any defenses or benefits that may be derived from or afforded by applicable Law which limit the liability of or exonerate guarantors or sureties, or which may conflict with the terms of this Agreement and its SPV Entity Guaranty.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Reinstatement</w:t>
      </w:r>
      <w:r>
        <w:rPr>
          <w:rFonts w:ascii="Times New Roman;serif" w:hAnsi="Times New Roman;serif"/>
          <w:b w:val="false"/>
          <w:color w:val="000000"/>
          <w:sz w:val="24"/>
        </w:rPr>
        <w:t xml:space="preserve">. Notwithstanding anything contained in this Agreement or the other Transaction Documents, the obligations of each SPV Entity under this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or reorganization or otherwise, and each SPV Entity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Each SPV Entity agrees that, as between the Seller, on the one hand, and Administrative Agent and the Purchasers, on the other hand, the Guaranteed Obligations may be declared to be forthwith due and payable as provided in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(and shall be deemed to have become automatically due and payable in the circumstances provided in </w:t>
      </w:r>
      <w:r>
        <w:rPr>
          <w:rFonts w:ascii="Times New Roman;serif" w:hAnsi="Times New Roman;serif"/>
          <w:b w:val="false"/>
          <w:color w:val="000000"/>
          <w:sz w:val="24"/>
          <w:u w:val="single"/>
        </w:rPr>
        <w:t>Section 9.02</w:t>
      </w:r>
      <w:r>
        <w:rPr>
          <w:rFonts w:ascii="Times New Roman;serif" w:hAnsi="Times New Roman;serif"/>
          <w:b w:val="false"/>
          <w:color w:val="000000"/>
          <w:sz w:val="24"/>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SPV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Subrogation</w:t>
      </w:r>
      <w:r>
        <w:rPr>
          <w:rFonts w:ascii="Times New Roman;serif" w:hAnsi="Times New Roman;serif"/>
          <w:b w:val="false"/>
          <w:color w:val="000000"/>
          <w:sz w:val="24"/>
        </w:rPr>
        <w:t>. Each SPV Entity hereby waives all rights of subrogation (whether contractual or otherwise) to the claims of the Administrative Agent, the Purchasers and the other Secured Parties against any Obligor, any Originator, any Servicer, the Performance Guarantor or any other Person in respect of the Guaranteed Obligations until such time as all Guaranteed Obligations have been indefeasibly paid in full in cash and the Final Payout Date has occurred. Each SPV Entity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any Servicer, the Performance Guarantor or any other Person in respect of the Guaranteed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Inducement</w:t>
      </w:r>
      <w:r>
        <w:rPr>
          <w:rFonts w:ascii="Times New Roman;serif" w:hAnsi="Times New Roman;serif"/>
          <w:b w:val="false"/>
          <w:color w:val="000000"/>
          <w:sz w:val="24"/>
        </w:rPr>
        <w:t>. The Purchasers have been induced to make the Investments and Releases under this Agreement in part based upon the SPV Entities Guarantees, and each SPV Entity desires that its SPV Entity Guaranty be honored and enforced as separate obligations of such SPV Entity, should Administrative Agent and the Purchasers desire to do so.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Security Interest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To secure the prompt payment and performance of its Guaranteed Obligations, each SPV Entity hereby pledges, mortgages, charges and assigns (by way of security) to the Administrative Agent, for the benefit of the Purchasers and the other Secured Parties, and grants to the Administrative Agent, for the benefit of the Purchasers and the other Secured Parties, a continuing security interest in and lien upon, all of the undertaking, property and assets of such SPV Entity, whether now or hereafter owned, existing or arising and wherever located, including the following (collectively, the “</w:t>
      </w:r>
      <w:r>
        <w:rPr>
          <w:rFonts w:ascii="Times New Roman;serif" w:hAnsi="Times New Roman;serif"/>
          <w:b w:val="false"/>
          <w:color w:val="000000"/>
          <w:sz w:val="24"/>
          <w:u w:val="single"/>
        </w:rPr>
        <w:t>Pledged Collateral</w:t>
      </w:r>
      <w:r>
        <w:rPr>
          <w:color w:val="000000"/>
        </w:rPr>
        <w:t>”</w:t>
      </w:r>
      <w:r>
        <w:rPr>
          <w:rFonts w:ascii="Times New Roman;serif" w:hAnsi="Times New Roman;serif"/>
          <w:b w:val="false"/>
          <w:color w:val="000000"/>
          <w:sz w:val="24"/>
        </w:rPr>
        <w:t>): (A) all Unsold Receivables; (B) all Related Security with respect to such Unsold Receivables; (C) the Lock-Boxes and Collection Accounts and all amounts on deposit therein, and all certificates and instruments, if any, from time to time evidencing such Lock-Boxes and Collection Accounts and amounts on deposit therein; (D) all rights of such SPV Entity under the applicable Transfer Agreement; (E) all other personal and fixture property or assets of such SPV Entity of every kind and nature including all goods (including inventory, equipment and any accessions thereto), instruments (including promissory notes), documents, accounts, chattel paper (whether tangible or electronic), deposit accounts, securities accounts, securities entitlements, letter-of-credit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or the PPSA, as applicable); and (F) all proceeds of, and all amounts received or receivable under any or all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Each SPV Entity confirms that value has been given by the Administrative Agent and the Secured Parties to such SPV Entity, that such SPV Entity has rights in its Pledged Collateral existing at the date of this Agreement, and that such SPV Entity and the Administrative Agent have not agreed to postpone the time for attachment of the security interests granted hereunder to any of the Pledged Collateral of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SPV Entity. The security interests granted hereunder with respect to the Pledged Collateral of each SPV Entity created by this Agreement shall have effect and be deemed to be effective whether or not the related Guaranteed Obligations of such SPV Entity under its SPV Entity Guaranty or any part thereof are owing or in existence before or after or upon the date of this Agreement. Neither the execution and delivery of this Agreement nor the provision of any financial accommodation by any Secured Party shall oblige any Secured Party to make any financial accommodation or further financial accommodation available to either SPV Entity or any 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The Administrative Agent (for the benefit of the Secured Parties) shall have, with respect to all the Pledged Collateral, and in addition to all the other rights and remedies available to the Administrative Agent (for the benefit of the Secured Parties), all the rights and remedies of a secured party under any applicable UCC or PPSA or under this Agreement, including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(iv)    For the avoidance of doubt, the grant of security interest pursuant to this </w:t>
      </w:r>
      <w:r>
        <w:rPr>
          <w:rFonts w:ascii="Times New Roman;serif" w:hAnsi="Times New Roman;serif"/>
          <w:b w:val="false"/>
          <w:color w:val="000000"/>
          <w:sz w:val="24"/>
          <w:u w:val="single"/>
        </w:rPr>
        <w:t>Section 2.08(i)</w:t>
      </w:r>
      <w:r>
        <w:rPr>
          <w:color w:val="000000"/>
        </w:rPr>
        <w:t xml:space="preserve"> </w:t>
      </w:r>
      <w:r>
        <w:rPr>
          <w:rFonts w:ascii="Times New Roman;serif" w:hAnsi="Times New Roman;serif"/>
          <w:b w:val="false"/>
          <w:color w:val="000000"/>
          <w:sz w:val="24"/>
        </w:rPr>
        <w:t xml:space="preserve">shall be in addition to, and shall not be construed to limit or modify, the sale of Sold Assets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or the Seller’s grant of security interest pursuant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2.09 </w:t>
      </w:r>
      <w:r>
        <w:rPr>
          <w:rFonts w:ascii="Times New Roman;serif" w:hAnsi="Times New Roman;serif"/>
          <w:b w:val="false"/>
          <w:color w:val="000000"/>
          <w:sz w:val="24"/>
          <w:u w:val="single"/>
        </w:rPr>
        <w:t>Authorization to File Financing Statements; Further Assurances</w:t>
      </w:r>
      <w:r>
        <w:rPr>
          <w:rFonts w:ascii="Times New Roman;serif" w:hAnsi="Times New Roman;serif"/>
          <w:b w:val="false"/>
          <w:color w:val="000000"/>
          <w:sz w:val="24"/>
        </w:rPr>
        <w:t xml:space="preserve">. Each SPV Entity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 Promptly upon request, each SPV Entity shall deliver such instruments, assignments or other documents or agreements, and shall take such actions, as the Administrative Agent or any Purchaser deems appropriate to evidence or perfect its ownership or security interest and lien on any of the Supporting Assets, or otherwise to give effect to the intent of </w:t>
      </w:r>
      <w:r>
        <w:rPr>
          <w:rFonts w:ascii="Times New Roman;serif" w:hAnsi="Times New Roman;serif"/>
          <w:b w:val="false"/>
          <w:color w:val="000000"/>
          <w:sz w:val="24"/>
          <w:u w:val="single"/>
        </w:rPr>
        <w:t>Sections 2.01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2.08</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2.10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Each Purchaser shall, where the Seller, the Canadian Guarantor or a Servicer has provided personal data (as defined in the relevant Data Protection Laws) with respect to the Pool Receivables to the Administrative Agent and/or the Purchasers, only use such personal data for the purpose of performing their obligations under, and the transactions contemplated by, the Transaction Documents.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III</w:t>
        <w:br/>
        <w:br/>
        <w:t>SETTLEMENT PROCEDURES AND PAYMENT PROVISIONS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3.01 </w:t>
      </w:r>
      <w:r>
        <w:rPr>
          <w:rFonts w:ascii="Times New Roman;serif" w:hAnsi="Times New Roman;serif"/>
          <w:b w:val="false"/>
          <w:color w:val="000000"/>
          <w:sz w:val="24"/>
          <w:u w:val="single"/>
        </w:rPr>
        <w:t>Settlement Procedures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So long as the Administrative Agent has not taken dominion and control of the Collection Accounts, the Servicers shall set aside and hold in trust for the Administrative Agent, for the benefit of the Secured Parties (or, if so requested by the Administrative Agent, segregate in a separate account designated by the Administrative Agent, which shall be an account maintained and/or controlled by the Administrative Agent unless the Administrative Agent otherwise instructs in its sole discretion), for application in accordance with the priority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payments set forth below, all Collections on Pool Receivables that are actually received by a Servicer or any SPV Entity or received in any Lock-Box or Collection Account;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if the Administrative Agent has not taken dominion of the Collection Accounts, that so long as each of the conditions precedent set forth in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are satisfied on such date, the applicable Servicer may (x) release to the applicable SPV Entity from Collections received on Pledged Collateral the amount (if any) necessary to pay the purchase price for Receivables purchased by such SPV Entity on such date in accordance with the terms of the First Tier Transfer Agreement, the Canadian Transfer Agreement, the UK Transfer Agreement or the Swiss Transfer Agreement, as applicable and (y) release to the Seller all or a portion of Collections received on Sold Assets in exchange for the Seller designating an equivalent amount (based on aggregate Outstanding Balances) of Unsold Receivables as new Sold Receivables on Seller’s books and records pursuant to </w:t>
      </w:r>
      <w:r>
        <w:rPr>
          <w:rFonts w:ascii="Times New Roman;serif" w:hAnsi="Times New Roman;serif"/>
          <w:b w:val="false"/>
          <w:color w:val="000000"/>
          <w:sz w:val="24"/>
          <w:u w:val="single"/>
        </w:rPr>
        <w:t>Section 2.01(e)</w:t>
      </w:r>
      <w:r>
        <w:rPr>
          <w:rFonts w:ascii="Times New Roman;serif" w:hAnsi="Times New Roman;serif"/>
          <w:b w:val="false"/>
          <w:color w:val="000000"/>
          <w:sz w:val="24"/>
        </w:rPr>
        <w:t xml:space="preserve">, which new Sold Receivables will be automatically and immediately sold by the Seller to the Administrative Agent (for the ratable benefit of the Purchasers) pursuant to </w:t>
      </w:r>
      <w:r>
        <w:rPr>
          <w:rFonts w:ascii="Times New Roman;serif" w:hAnsi="Times New Roman;serif"/>
          <w:b w:val="false"/>
          <w:color w:val="000000"/>
          <w:sz w:val="24"/>
          <w:u w:val="single"/>
        </w:rPr>
        <w:t>Section 2.01(b)</w:t>
      </w:r>
      <w:r>
        <w:rPr>
          <w:color w:val="000000"/>
        </w:rPr>
        <w:t xml:space="preserve"> </w:t>
      </w:r>
      <w:r>
        <w:rPr>
          <w:rFonts w:ascii="Times New Roman;serif" w:hAnsi="Times New Roman;serif"/>
          <w:b w:val="false"/>
          <w:color w:val="000000"/>
          <w:sz w:val="24"/>
        </w:rPr>
        <w:t xml:space="preserve">upon such release (each such release of Collections described in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(y)</w:t>
      </w:r>
      <w:r>
        <w:rPr>
          <w:color w:val="000000"/>
        </w:rPr>
        <w:t xml:space="preserve"> </w:t>
      </w:r>
      <w:r>
        <w:rPr>
          <w:rFonts w:ascii="Times New Roman;serif" w:hAnsi="Times New Roman;serif"/>
          <w:b w:val="false"/>
          <w:color w:val="000000"/>
          <w:sz w:val="24"/>
        </w:rPr>
        <w:t>above, a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and (B) if the Administrative Agent has taken dominion of the Collection Accounts in accordance with the terms of this Agreement, any such Release shall be made only in accordance with </w:t>
      </w:r>
      <w:r>
        <w:rPr>
          <w:rFonts w:ascii="Times New Roman;serif" w:hAnsi="Times New Roman;serif"/>
          <w:b w:val="false"/>
          <w:color w:val="000000"/>
          <w:sz w:val="24"/>
          <w:u w:val="single"/>
        </w:rPr>
        <w:t>Section 8.03(c)</w:t>
      </w:r>
      <w:r>
        <w:rPr>
          <w:rFonts w:ascii="Times New Roman;serif" w:hAnsi="Times New Roman;serif"/>
          <w:b w:val="false"/>
          <w:color w:val="000000"/>
          <w:sz w:val="24"/>
        </w:rPr>
        <w:t>. On each Settlement Date, the Servicers (or, following its assumption of control of the Collection Accounts, the Administrative Agent) shall distribute such Collections in the following order of priority: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the Servicers (ratably, based on the amount then due and owing) for the payment of all unpaid Servicing Fees accrued </w:t>
      </w:r>
      <w:r>
        <w:rPr>
          <w:rFonts w:ascii="Times New Roman;serif" w:hAnsi="Times New Roman;serif"/>
          <w:b w:val="false"/>
          <w:strike/>
          <w:color w:val="FF0000"/>
          <w:sz w:val="24"/>
        </w:rPr>
        <w:t>up to (but not including) such Settlement Date</w:t>
      </w:r>
      <w:r>
        <w:rPr>
          <w:rFonts w:ascii="Times New Roman;serif" w:hAnsi="Times New Roman;serif"/>
          <w:b w:val="false"/>
          <w:color w:val="0000FF"/>
          <w:sz w:val="24"/>
          <w:u w:val="single"/>
        </w:rPr>
        <w:t>through the end of the most recently-ended Yield Period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w:t>
      </w:r>
      <w:r>
        <w:rPr>
          <w:rFonts w:ascii="Times New Roman;serif" w:hAnsi="Times New Roman;serif"/>
          <w:b w:val="false"/>
          <w:color w:val="0000FF"/>
          <w:sz w:val="24"/>
          <w:u w:val="single"/>
        </w:rPr>
        <w:t xml:space="preserve">the Administrative Agent for further distribution to </w:t>
      </w:r>
      <w:r>
        <w:rPr>
          <w:rFonts w:ascii="Times New Roman;serif" w:hAnsi="Times New Roman;serif"/>
          <w:b w:val="false"/>
          <w:color w:val="000000"/>
          <w:sz w:val="24"/>
        </w:rPr>
        <w:t xml:space="preserve">each Purchaser and other Purchaser Party (ratably, based on the amount then due and owing), (w) all unpaid Yield accrued on such Purchaser’s Capital </w:t>
      </w:r>
      <w:r>
        <w:rPr>
          <w:rFonts w:ascii="Times New Roman;serif" w:hAnsi="Times New Roman;serif"/>
          <w:b w:val="false"/>
          <w:strike/>
          <w:color w:val="FF0000"/>
          <w:sz w:val="24"/>
        </w:rPr>
        <w:t>up to (but not including) such Settlement Date</w:t>
      </w:r>
      <w:r>
        <w:rPr>
          <w:rFonts w:ascii="Times New Roman;serif" w:hAnsi="Times New Roman;serif"/>
          <w:b w:val="false"/>
          <w:color w:val="0000FF"/>
          <w:sz w:val="24"/>
          <w:u w:val="single"/>
        </w:rPr>
        <w:t>through the end of the most recently-ended Yield Period</w:t>
      </w:r>
      <w:r>
        <w:rPr>
          <w:rFonts w:ascii="Times New Roman;serif" w:hAnsi="Times New Roman;serif"/>
          <w:b w:val="false"/>
          <w:color w:val="000000"/>
          <w:sz w:val="24"/>
        </w:rPr>
        <w:t xml:space="preserve">, (x) all unpaid Fees accrued </w:t>
      </w:r>
      <w:r>
        <w:rPr>
          <w:rFonts w:ascii="Times New Roman;serif" w:hAnsi="Times New Roman;serif"/>
          <w:b w:val="false"/>
          <w:strike/>
          <w:color w:val="FF0000"/>
          <w:sz w:val="24"/>
        </w:rPr>
        <w:t>up to (but not including) such Settlement Date</w:t>
      </w:r>
      <w:r>
        <w:rPr>
          <w:rFonts w:ascii="Times New Roman;serif" w:hAnsi="Times New Roman;serif"/>
          <w:b w:val="false"/>
          <w:color w:val="0000FF"/>
          <w:sz w:val="24"/>
          <w:u w:val="single"/>
        </w:rPr>
        <w:t>through the end of the most recently-ended Yield Period or otherwise due and payable pursuant to the applicable Fee Letter</w:t>
      </w:r>
      <w:r>
        <w:rPr>
          <w:rFonts w:ascii="Times New Roman;serif" w:hAnsi="Times New Roman;serif"/>
          <w:b w:val="false"/>
          <w:color w:val="000000"/>
          <w:sz w:val="24"/>
        </w:rPr>
        <w:t xml:space="preserve">, (y) any indemnity payments under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 xml:space="preserve">due to such Purchaser and other Purchaser Party, and (z) any additional amounts or indemnified amounts payable under </w:t>
      </w:r>
      <w:r>
        <w:rPr>
          <w:rFonts w:ascii="Times New Roman;serif" w:hAnsi="Times New Roman;serif"/>
          <w:b w:val="false"/>
          <w:color w:val="000000"/>
          <w:sz w:val="24"/>
          <w:u w:val="single"/>
        </w:rPr>
        <w:t>Sections 4.03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11.01</w:t>
      </w:r>
      <w:r>
        <w:rPr>
          <w:color w:val="000000"/>
        </w:rPr>
        <w:t xml:space="preserve"> </w:t>
      </w:r>
      <w:r>
        <w:rPr>
          <w:rFonts w:ascii="Times New Roman;serif" w:hAnsi="Times New Roman;serif"/>
          <w:b w:val="false"/>
          <w:color w:val="000000"/>
          <w:sz w:val="24"/>
        </w:rPr>
        <w:t>in respect of such payments;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as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below,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prior to the occurrence of the Termination Date, to the extent that a Capital Coverage Amount Deficit exists on such date, to the </w:t>
      </w:r>
      <w:r>
        <w:rPr>
          <w:rFonts w:ascii="Times New Roman;serif" w:hAnsi="Times New Roman;serif"/>
          <w:b w:val="false"/>
          <w:color w:val="0000FF"/>
          <w:sz w:val="24"/>
          <w:u w:val="single"/>
        </w:rPr>
        <w:t xml:space="preserve">Administrative Agent for further distribution to the </w:t>
      </w:r>
      <w:r>
        <w:rPr>
          <w:rFonts w:ascii="Times New Roman;serif" w:hAnsi="Times New Roman;serif"/>
          <w:b w:val="false"/>
          <w:color w:val="000000"/>
          <w:sz w:val="24"/>
        </w:rPr>
        <w:t>Purchasers (ratably, based on the aggregate outstanding Capital of each Purchaser at such time) for the payment of a portion of the outstanding Aggregate Capital at such time, in an aggregate amount equal to the amount necessary to reduce the Capital Coverage Amount Deficit to zero ($0); or</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on and after the occurrence of the Termination Date, to </w:t>
      </w:r>
      <w:r>
        <w:rPr>
          <w:rFonts w:ascii="Times New Roman;serif" w:hAnsi="Times New Roman;serif"/>
          <w:b w:val="false"/>
          <w:strike/>
          <w:color w:val="FF0000"/>
          <w:sz w:val="24"/>
        </w:rPr>
        <w:t>each Purchaser</w:t>
      </w:r>
      <w:r>
        <w:rPr>
          <w:rFonts w:ascii="Times New Roman;serif" w:hAnsi="Times New Roman;serif"/>
          <w:b w:val="false"/>
          <w:color w:val="0000FF"/>
          <w:sz w:val="24"/>
          <w:u w:val="single"/>
        </w:rPr>
        <w:t>the Administrative Agent for further distribution to the Purchasers</w:t>
      </w:r>
      <w:r>
        <w:rPr>
          <w:color w:val="000000"/>
        </w:rPr>
        <w:t xml:space="preserve"> </w:t>
      </w:r>
      <w:r>
        <w:rPr>
          <w:rFonts w:ascii="Times New Roman;serif" w:hAnsi="Times New Roman;serif"/>
          <w:b w:val="false"/>
          <w:color w:val="000000"/>
          <w:sz w:val="24"/>
        </w:rPr>
        <w:t xml:space="preserve">(ratably, based on the aggregate outstanding Capital of each Purchaser at such time) for the payment in full of the aggregate outstanding Capital of </w:t>
      </w:r>
      <w:r>
        <w:rPr>
          <w:rFonts w:ascii="Times New Roman;serif" w:hAnsi="Times New Roman;serif"/>
          <w:b w:val="false"/>
          <w:color w:val="0000FF"/>
          <w:sz w:val="24"/>
          <w:u w:val="single"/>
        </w:rPr>
        <w:t xml:space="preserve">each </w:t>
      </w:r>
      <w:r>
        <w:rPr>
          <w:rFonts w:ascii="Times New Roman;serif" w:hAnsi="Times New Roman;serif"/>
          <w:b w:val="false"/>
          <w:color w:val="000000"/>
          <w:sz w:val="24"/>
        </w:rPr>
        <w:t>such Purchaser at such time;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w:t>
      </w:r>
      <w:r>
        <w:rPr>
          <w:rFonts w:ascii="Times New Roman;serif" w:hAnsi="Times New Roman;serif"/>
          <w:b w:val="false"/>
          <w:color w:val="0000FF"/>
          <w:sz w:val="24"/>
          <w:u w:val="single"/>
        </w:rPr>
        <w:t>to the Administrative Agent for further distribution</w:t>
      </w:r>
      <w:r>
        <w:rPr>
          <w:color w:val="000000"/>
        </w:rPr>
        <w:t xml:space="preserve"> </w:t>
      </w:r>
      <w:r>
        <w:rPr>
          <w:rFonts w:ascii="Times New Roman;serif" w:hAnsi="Times New Roman;serif"/>
          <w:b w:val="false"/>
          <w:color w:val="000000"/>
          <w:sz w:val="24"/>
        </w:rPr>
        <w:t xml:space="preserve">to the Secured Parties (ratably, based on the amount due and owing at such time), for the payment of all other Seller Obligations then due and owing by any SPV Entity to the Secured Parties;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fifth</w:t>
      </w:r>
      <w:r>
        <w:rPr>
          <w:rFonts w:ascii="Times New Roman;serif" w:hAnsi="Times New Roman;serif"/>
          <w:b w:val="false"/>
          <w:color w:val="000000"/>
          <w:sz w:val="24"/>
        </w:rPr>
        <w:t>, to each SPV Entity, the amount of any accrued and unpaid interest on the Subordinated Notes or the Subordinated Loans (as applicable), which amount the applicable SPV Entity shall pay to the applicable originator(s);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     </w:t>
      </w:r>
      <w:r>
        <w:rPr>
          <w:rFonts w:ascii="Times New Roman;serif" w:hAnsi="Times New Roman;serif"/>
          <w:b w:val="false"/>
          <w:color w:val="000000"/>
          <w:sz w:val="24"/>
          <w:u w:val="single"/>
        </w:rPr>
        <w:t>sixth</w:t>
      </w:r>
      <w:r>
        <w:rPr>
          <w:rFonts w:ascii="Times New Roman;serif" w:hAnsi="Times New Roman;serif"/>
          <w:b w:val="false"/>
          <w:color w:val="000000"/>
          <w:sz w:val="24"/>
        </w:rPr>
        <w:t xml:space="preserve">, prior to the occurrence of the Termination Date, at the election of the Seller and in accordance with </w:t>
      </w:r>
      <w:r>
        <w:rPr>
          <w:rFonts w:ascii="Times New Roman;serif" w:hAnsi="Times New Roman;serif"/>
          <w:b w:val="false"/>
          <w:color w:val="000000"/>
          <w:sz w:val="24"/>
          <w:u w:val="single"/>
        </w:rPr>
        <w:t>Section 2.02(d)</w:t>
      </w:r>
      <w:r>
        <w:rPr>
          <w:rFonts w:ascii="Times New Roman;serif" w:hAnsi="Times New Roman;serif"/>
          <w:b w:val="false"/>
          <w:color w:val="000000"/>
          <w:sz w:val="24"/>
        </w:rPr>
        <w:t>, to the payment of all or any portion of the outstanding Capital of the Purchasers at such time (ratably, based on the aggregate outstanding Capital of each Purchaser at such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seventh</w:t>
      </w:r>
      <w:r>
        <w:rPr>
          <w:rFonts w:ascii="Times New Roman;serif" w:hAnsi="Times New Roman;serif"/>
          <w:b w:val="false"/>
          <w:color w:val="000000"/>
          <w:sz w:val="24"/>
        </w:rPr>
        <w:t>, to the applicable SPV Entity, the amount of any unpaid purchase price payable by such SPV Entity to the Originators for Pool Receivables under the applicable Transfer Agreement to the extent required to be paid in cash on such Settlement Date, which amount the applicable SPV Entity shall pay to the applicable Originator(s);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eighth</w:t>
      </w:r>
      <w:r>
        <w:rPr>
          <w:rFonts w:ascii="Times New Roman;serif" w:hAnsi="Times New Roman;serif"/>
          <w:b w:val="false"/>
          <w:color w:val="000000"/>
          <w:sz w:val="24"/>
        </w:rPr>
        <w:t xml:space="preserve">, from Collections allocable to the Seller, to the Canadian Guarantor the amount of (A) any Guarantee Fee due and payable on such Monthly Settlement Date in accordance with the terms of the SPV Reimbursement and Contribution Agreement and (B) any outstanding SPV Reimbursement Obligation owed to the Canadian SPV;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Collections shall be applied to pay any outstanding SPV Reimbursement Obligation before any Guarantee Fee if failure to apply such Collections to the payment of such SPV Reimbursement Obligation would cause such SPV Reimbursement Obligation to remain unpaid for more than 12 months;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ninth</w:t>
      </w:r>
      <w:r>
        <w:rPr>
          <w:rFonts w:ascii="Times New Roman;serif" w:hAnsi="Times New Roman;serif"/>
          <w:b w:val="false"/>
          <w:color w:val="000000"/>
          <w:sz w:val="24"/>
        </w:rPr>
        <w:t>, to each SPV Entity, the amount of any principal then due and payable on the Subordinated Notes or the Subordinated Loans (as applicable), which amount such SPV Entity shall pay to the applicable Originator(s);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tenth</w:t>
      </w:r>
      <w:r>
        <w:rPr>
          <w:rFonts w:ascii="Times New Roman;serif" w:hAnsi="Times New Roman;serif"/>
          <w:b w:val="false"/>
          <w:color w:val="000000"/>
          <w:sz w:val="24"/>
        </w:rPr>
        <w:t>, the balance, if any, to be paid to each SPV Entity for its own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Amounts payable pursuant to each of </w:t>
      </w:r>
      <w:r>
        <w:rPr>
          <w:rFonts w:ascii="Times New Roman;serif" w:hAnsi="Times New Roman;serif"/>
          <w:b w:val="false"/>
          <w:color w:val="000000"/>
          <w:sz w:val="24"/>
          <w:u w:val="single"/>
        </w:rPr>
        <w:t>clauses first</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fourth</w:t>
      </w:r>
      <w:r>
        <w:rPr>
          <w:color w:val="000000"/>
        </w:rPr>
        <w:t xml:space="preserve"> </w:t>
      </w:r>
      <w:r>
        <w:rPr>
          <w:rFonts w:ascii="Times New Roman;serif" w:hAnsi="Times New Roman;serif"/>
          <w:b w:val="false"/>
          <w:color w:val="000000"/>
          <w:sz w:val="24"/>
        </w:rPr>
        <w:t xml:space="preserve">above shall be paid (at each level of priority) first from available Collections on Sold Receivables and other Sold Assets, second, to the extent necessary in order to make all such payments at such level of priority in full, from Collections on Unsold Receivables relating to U.S. Receivables, UK Receivables and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Swiss Receivables and other Pledged Collateral relating to U.S. Receivables, UK Receivables and Swiss Receivables, and third to the extent necessary in order to make all such payments in full, from Collections on Unsold Receivables that are Canadian Receivables and other Pledged Collateral relating to Canadian Receivables, which Collections on Unsold Receivables that are Canadian Receivables and other Pledged Collateral relating to Canadian Receivables shall be applied in satisfaction of the Canadian Guarantor’s obligations under its SPV Entity Guaranty. The Seller’s right to receive payments (if any) from time to time pursuant to </w:t>
      </w:r>
      <w:r>
        <w:rPr>
          <w:rFonts w:ascii="Times New Roman;serif" w:hAnsi="Times New Roman;serif"/>
          <w:b w:val="false"/>
          <w:color w:val="000000"/>
          <w:sz w:val="24"/>
          <w:u w:val="single"/>
        </w:rPr>
        <w:t>clause fifth</w:t>
      </w:r>
      <w:r>
        <w:rPr>
          <w:color w:val="000000"/>
        </w:rPr>
        <w:t xml:space="preserve"> </w:t>
      </w:r>
      <w:r>
        <w:rPr>
          <w:rFonts w:ascii="Times New Roman;serif" w:hAnsi="Times New Roman;serif"/>
          <w:b w:val="false"/>
          <w:color w:val="000000"/>
          <w:sz w:val="24"/>
        </w:rPr>
        <w:t>above shall, to the extent arising from Collections on Sold Receivables, constitute compensation to the Seller for the Seller’s provision of the Seller Guaranty and the Purchaser Parties’ interests in the Sold Asset and the Pledged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All payments or distributions to be made by the Servicers, the Seller and any other Person to any Purchaser Party (or its respective related Secured Parties), shall be paid or distributed to </w:t>
      </w:r>
      <w:r>
        <w:rPr>
          <w:rFonts w:ascii="Times New Roman;serif" w:hAnsi="Times New Roman;serif"/>
          <w:b w:val="false"/>
          <w:strike/>
          <w:color w:val="FF0000"/>
          <w:sz w:val="24"/>
        </w:rPr>
        <w:t>such Purchaser Party.</w:t>
      </w:r>
      <w:r>
        <w:rPr>
          <w:rFonts w:ascii="Times New Roman;serif" w:hAnsi="Times New Roman;serif"/>
          <w:b w:val="false"/>
          <w:color w:val="0000FF"/>
          <w:sz w:val="24"/>
          <w:u w:val="single"/>
        </w:rPr>
        <w:t>the Administrative Agent for further distribution to each applicable Purchaser at such account as such Purchaser has designated in writing to the Administrative Agent from time to time. Each Purchaser, upon its receipt of any such payments or distributions, shall distribute such amounts to such Purchaser’s applicable related Secured Parties; provided that if the Administrative Agent shall have received insufficient funds to pay all of the above amounts in full on any such date, the Administrative Agent shall pay each Purchaser, and each Purchaser shall pay such amounts to such Purchaser’s applicable related Secured Parties in accordance with the priority of payments set forth above, and with respect to any such category above for which there are insufficient funds to pay all amounts owing on such date, ratably (based on the amounts in such categories owing to each such related Person) among all such related Persons entitled to payment thereof. Notwithstanding anything to the contrary set forth in this Section 3.01, the Administrative Agent shall have no obligation to distribute or pay any amount under this Section 3.01 except to the extent actually received by the Administrative Agent. Each payment by the Servicer or the Seller to the Administrative Agent for the account of any Purchaser or other Secured Party hereunder shall be deemed to constitute payment by the Servicer or the Seller directly to such Purchaser or other Secured Party. Each Purchaser shall provide timely and accurate responses to each of the Administrative Agent’s requests for information necessary for the Administrative Agent to make the allocations, payments and distributions to the Purchasers and other Secured Parties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and to the extent the Administrative Agent or any other Secured Party shall be required for any reason to pay over to any Person (including any Obligor or any trustee, receiver, custodian or similar official in any Relief Proceeding) any amount received on its behalf hereunder, such amount shall be deemed not to have been so received but rather to have been retained by the Seller and, accordingly, the Administrative Agent or such other Secured Party, as the case may be, shall have a claim against the Seller for such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For the purposes of this </w:t>
      </w:r>
      <w:r>
        <w:rPr>
          <w:rFonts w:ascii="Times New Roman;serif" w:hAnsi="Times New Roman;serif"/>
          <w:b w:val="false"/>
          <w:color w:val="000000"/>
          <w:sz w:val="24"/>
          <w:u w:val="single"/>
        </w:rPr>
        <w:t>Section 3.01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if on any day the Outstanding Balance of any Pool Receivable is reduced or cancelled as a result of (A) any defective, rejected, returned, repossessed or foreclosed goods or services, (B) any revision, cancellation, allowance, rebate,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memo, discount or other adjustment made by any SPV Entity-Related Party or any Affiliate thereof or (C) any setoff, counterclaim or dispute between any SPV Entity-Related Party or any Affiliate thereof, and an Obligor, the applicable SPV Entity shall be deemed to have received on such day a Collection of such Pool Receivable in an amount equal to the positive difference between (A) such Pool Receivable’s Outstanding Balance prior to such reduction and (B) its Outstanding Balance after such reduction, and such SPV Entity shall within two (2) Business Days pay to a Collection Account or as otherwise directed by the Administrative Agent at such time, for the benefit of the Purchaser Parties for application pursuant to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an amount equal to (x) if such reduction occurs prior to the Termination Date and no Event of Default or Potential Default has occurred and is continuing, the lesser of (I) the sum of all deemed Collections with respect to such reduction and (II) an amount necessary to eliminate any Capital Coverage Amount Deficit that exists at such time and (y) if such reduction occurs on or after the Termination Date or at any time when an Event of Default or Potential Default has occurred and is continuing, the sum of all deemed Collections with respect to such reduction (Collections deemed to have been received pursuant to this </w:t>
      </w:r>
      <w:r>
        <w:rPr>
          <w:rFonts w:ascii="Times New Roman;serif" w:hAnsi="Times New Roman;serif"/>
          <w:b w:val="false"/>
          <w:color w:val="000000"/>
          <w:sz w:val="24"/>
          <w:u w:val="single"/>
        </w:rPr>
        <w:t>Section 3.01(d)(i)</w:t>
      </w:r>
      <w:r>
        <w:rPr>
          <w:color w:val="000000"/>
        </w:rPr>
        <w:t xml:space="preserve"> </w:t>
      </w:r>
      <w:r>
        <w:rPr>
          <w:rFonts w:ascii="Times New Roman;serif" w:hAnsi="Times New Roman;serif"/>
          <w:b w:val="false"/>
          <w:color w:val="000000"/>
          <w:sz w:val="24"/>
        </w:rPr>
        <w:t>are hereinafter sometimes referred to as “</w:t>
      </w:r>
      <w:r>
        <w:rPr>
          <w:rFonts w:ascii="Times New Roman;serif" w:hAnsi="Times New Roman;serif"/>
          <w:b w:val="false"/>
          <w:color w:val="000000"/>
          <w:sz w:val="24"/>
          <w:u w:val="single"/>
        </w:rPr>
        <w:t>Dilution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if (A) any representation or warranty in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is not true with respect to any Pool Receivable at the time made or (B) any Receivable included in any Pool Report as an Eligible Receivable or in any calculation of the Net Receivables Pool Balance as an Eligible Receivable fails to be an Eligible Receivable at the time of such inclusion, then, in either case, the SPV Entity, as applicable, shall be deemed to have received on such day a Collection of such Pool Receivable’s Outstanding Balance in full, and such SPV Entity shall within two (2) Business Days pay to a Collection Account or as otherwise directed by the Administrative Agent at such time, for the benefit of the Purchaser Parties for application pursuant to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an amount equal to (x) if such breach occurs prior to the Termination Date and no Event of Default or Potential Default has occurred and is continuing, the lesser of (I) the sum of all deemed Collections with respect to such breach and (II) an amount necessary to eliminate any Capital Coverage Amount Deficit that exists at such time and (y) if such breach occurs on or after the Termination Date or at any time when an Event of Default or Potential Default has occurred and is continuing, the sum of all deemed Collections with respect to such breach (Collections deemed to have been received pursuant to </w:t>
      </w:r>
      <w:r>
        <w:rPr>
          <w:rFonts w:ascii="Times New Roman;serif" w:hAnsi="Times New Roman;serif"/>
          <w:b w:val="false"/>
          <w:color w:val="000000"/>
          <w:sz w:val="24"/>
          <w:u w:val="single"/>
        </w:rPr>
        <w:t>Sections 3.01(d)(i)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3.01(d)(ii)</w:t>
      </w:r>
      <w:r>
        <w:rPr>
          <w:rFonts w:ascii="Times New Roman;serif" w:hAnsi="Times New Roman;serif"/>
          <w:b w:val="false"/>
          <w:color w:val="000000"/>
          <w:sz w:val="24"/>
        </w:rPr>
        <w:t>, including any Dilution, are hereinafter sometimes referred to as “</w:t>
      </w:r>
      <w:r>
        <w:rPr>
          <w:rFonts w:ascii="Times New Roman;serif" w:hAnsi="Times New Roman;serif"/>
          <w:b w:val="false"/>
          <w:color w:val="000000"/>
          <w:sz w:val="24"/>
          <w:u w:val="single"/>
        </w:rPr>
        <w:t>Deemed Collections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except as provided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if and to the extent the Administrative Agent or any other Secured Party shall be required for any reason to pay over to an Obligor (or any trustee, receiver, custodian or similar official in any Relief Proceeding) any amount received by it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3.02 </w:t>
      </w:r>
      <w:r>
        <w:rPr>
          <w:rFonts w:ascii="Times New Roman;serif" w:hAnsi="Times New Roman;serif"/>
          <w:b w:val="false"/>
          <w:color w:val="000000"/>
          <w:sz w:val="24"/>
          <w:u w:val="single"/>
        </w:rPr>
        <w:t>Payments and Computations, Etc</w:t>
      </w:r>
      <w:r>
        <w:rPr>
          <w:rFonts w:ascii="Times New Roman;serif" w:hAnsi="Times New Roman;serif"/>
          <w:b w:val="false"/>
          <w:color w:val="0000FF"/>
          <w:sz w:val="24"/>
          <w:u w:val="single"/>
        </w:rPr>
        <w:t>.</w:t>
      </w:r>
      <w:r>
        <w:rPr>
          <w:rFonts w:ascii="Times New Roman;serif" w:hAnsi="Times New Roman;serif"/>
          <w:b w:val="false"/>
          <w:strike/>
          <w:color w:val="FF0000"/>
          <w:sz w:val="24"/>
        </w:rPr>
        <w:t xml:space="preserve">. </w:t>
      </w:r>
      <w:r>
        <w:rPr>
          <w:rFonts w:ascii="Times New Roman;serif" w:hAnsi="Times New Roman;serif"/>
          <w:b w:val="false"/>
          <w:color w:val="000000"/>
          <w:sz w:val="24"/>
        </w:rPr>
        <w:t xml:space="preserve">(a) All amounts to be paid by any SPV Entity or a Servicer to any Secured Party hereunder shall be paid no later than </w:t>
      </w:r>
      <w:r>
        <w:rPr>
          <w:rFonts w:ascii="Times New Roman;serif" w:hAnsi="Times New Roman;serif"/>
          <w:b w:val="false"/>
          <w:strike/>
          <w:color w:val="FF0000"/>
          <w:sz w:val="24"/>
        </w:rPr>
        <w:t>12:00 p.m.</w:t>
      </w:r>
      <w:r>
        <w:rPr>
          <w:rFonts w:ascii="Times New Roman;serif" w:hAnsi="Times New Roman;serif"/>
          <w:b w:val="false"/>
          <w:color w:val="0000FF"/>
          <w:sz w:val="24"/>
          <w:u w:val="single"/>
        </w:rPr>
        <w:t>12:00 noon</w:t>
      </w:r>
      <w:r>
        <w:rPr>
          <w:color w:val="000000"/>
        </w:rPr>
        <w:t xml:space="preserve"> </w:t>
      </w:r>
      <w:r>
        <w:rPr>
          <w:rFonts w:ascii="Times New Roman;serif" w:hAnsi="Times New Roman;serif"/>
          <w:b w:val="false"/>
          <w:color w:val="000000"/>
          <w:sz w:val="24"/>
        </w:rPr>
        <w:t xml:space="preserve">Eastern Time on the day when due in same day funds to the </w:t>
      </w:r>
      <w:r>
        <w:rPr>
          <w:rFonts w:ascii="Times New Roman;serif" w:hAnsi="Times New Roman;serif"/>
          <w:b w:val="false"/>
          <w:strike/>
          <w:color w:val="FF0000"/>
          <w:sz w:val="24"/>
        </w:rPr>
        <w:t>applicable party to which such amounts are due</w:t>
      </w:r>
      <w:r>
        <w:rPr>
          <w:rFonts w:ascii="Times New Roman;serif" w:hAnsi="Times New Roman;serif"/>
          <w:b w:val="false"/>
          <w:color w:val="0000FF"/>
          <w:sz w:val="24"/>
          <w:u w:val="single"/>
        </w:rPr>
        <w:t>Administrative Agent for the account of such Secured Party at the account specified by the Administrative Agent for such purpose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Each of the SPV Entities and the Servicers shall, to the extent permitted by applicable Law, pay interest on any amount not paid or deposited by it when due hereunder, at an interest rate per annum equal to 2.00% </w:t>
      </w:r>
      <w:r>
        <w:rPr>
          <w:rFonts w:ascii="Times New Roman;serif" w:hAnsi="Times New Roman;serif"/>
          <w:b w:val="false"/>
          <w:color w:val="000000"/>
          <w:sz w:val="24"/>
          <w:u w:val="single"/>
        </w:rPr>
        <w:t>per annum</w:t>
      </w:r>
      <w:r>
        <w:rPr>
          <w:color w:val="000000"/>
        </w:rPr>
        <w:t xml:space="preserve"> </w:t>
      </w:r>
      <w:r>
        <w:rPr>
          <w:rFonts w:ascii="Times New Roman;serif" w:hAnsi="Times New Roman;serif"/>
          <w:b w:val="false"/>
          <w:color w:val="000000"/>
          <w:sz w:val="24"/>
        </w:rPr>
        <w:t>above the Base Rate, payable on demand.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All Capital, Yield, Fees and other amounts from time to time payable to the Purchaser Parties hereunder shall be paid to the applicable Purchaser Parties from time to time in Dollars.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In making the distributions and payments out of Collections hereunder and in setting aside and reserving Collections for future distributions and payments hereunder (including, without limitation, the distribution of Collections pursuant to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the Servicers shall, to the extent Collections are available therefor and subject to any applicable priorities of payment set forth herein (including under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(i) first, apply available Collections in a particular Eligible Currency to amounts distributable or payable in such Eligible Currency, and (ii) second, to the extent that available Collections in a particular Eligible Currency are not sufficient to distribute, pay, set aside or reserve for amounts distributable or payable in such Eligible Currency, apply any excess Collections received in another Eligible Currency to such amounts after converting such Collections to the applicable Eligible Currency pursuant to </w:t>
      </w:r>
      <w:r>
        <w:rPr>
          <w:rFonts w:ascii="Times New Roman;serif" w:hAnsi="Times New Roman;serif"/>
          <w:b w:val="false"/>
          <w:color w:val="000000"/>
          <w:sz w:val="24"/>
          <w:u w:val="single"/>
        </w:rPr>
        <w:t>clause (f)</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If on any Settlement Date or any other day a payment is due and payable hereunder it is necessary for funds in one currency to be converted into any other currency in order to make any payment or distribution required to be made hereunder, the applicable SPV Entity (or the Servicers on its behalf) shall solicit offer quotations from at least two (2) foreign exchange dealers reasonably acceptable to the Administrative Agent for effecting such exchange and shall select the quotation which provides for the best exchange rate. The applicable SPV Entity (or the Servicers on its behalf) shall effect such exchange on such Settlement Date or other day, as the case may be. Notwithstanding the foregoing, if the Administrative Agent has obtained exclusive control of any Collection Accounts or if an Event of Default has occurred and is continuing, the Administrative Agent shall have the right to convert Collections denominated in any currency in order to make such payments of distributions due in another currency in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the Administrative Agent’s customary practices for currency conversions. Any loss, cost or expense incurred in connection with any such conversion shall be for the account of the applicable SPV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Interest Act (Canada)</w:t>
      </w:r>
      <w:r>
        <w:rPr>
          <w:rFonts w:ascii="Times New Roman;serif" w:hAnsi="Times New Roman;serif"/>
          <w:b w:val="false"/>
          <w:color w:val="000000"/>
          <w:sz w:val="24"/>
        </w:rPr>
        <w:t>. For the purposes of the Interest Act (Canada) and disclosure thereunder, whenever any yield, interest or fee to be paid under any Transaction Document is to be calculated on the basis of a 360-day year, the yearly rate of interest to which the rate used in such calculation is equivalent is the rate so used multiplied by the actual number of days in the calendar year in which the same is to be ascertained and divided by 360. The rates of interest under this Agreement are nominal rates, and not effective rates or yields. The principle of deemed reinvestment of interest does not apply to any interest calculation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Criminal Interest</w:t>
      </w:r>
      <w:r>
        <w:rPr>
          <w:rFonts w:ascii="Times New Roman;serif" w:hAnsi="Times New Roman;serif"/>
          <w:b w:val="false"/>
          <w:color w:val="000000"/>
          <w:sz w:val="24"/>
        </w:rPr>
        <w:t>. If any provision of this Agreement would oblige the Canadian Guarantor to make any payment of interest or other amount payable to any Purchaser in an amount or calculated at a rate which would be prohibited by applicable Law or would result in a receipt by that Purchaser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Purchaser of “interest” at a “criminal rate”.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3.03 </w:t>
      </w:r>
      <w:r>
        <w:rPr>
          <w:rFonts w:ascii="Times New Roman;serif" w:hAnsi="Times New Roman;serif"/>
          <w:b w:val="false"/>
          <w:color w:val="000000"/>
          <w:sz w:val="24"/>
          <w:u w:val="single"/>
        </w:rPr>
        <w:t>Sharing of Payments by Purchasers</w:t>
      </w:r>
      <w:r>
        <w:rPr>
          <w:rFonts w:ascii="Times New Roman;serif" w:hAnsi="Times New Roman;serif"/>
          <w:b w:val="false"/>
          <w:color w:val="000000"/>
          <w:sz w:val="24"/>
        </w:rPr>
        <w:t xml:space="preserve">. If any Purchaser shall, by exercising any right of setoff, counterclaim or banker’s lien or any other right, by receipt of voluntary payment, by realization upon security, or by any other non-pro rata source, obtain payment in respect of any principal of or interest on any of its Investments or Capital or other obligations hereunder resulting in such Purchaser’s receiving payment of a proportion of the aggregate amount of its Capital and accrued Yield thereon or other such obligations greater than the pro-rata share of the amount such Purchaser is entitled thereto, then the Purchaser receiving such greater proportion shall (a) notify the Administrative Agent of such fact, and (b) purchase (for cash at face value) participations in the Investments (and related Capital) and such other obligations of the other Purchasers, or make such other adjustments as shall be equitable, so that the benefit of all such payments shall be shared by the Purchasers ratably in accordance with the aggregate amount of Capital of and accrued Yield on their respective Investments and other amounts owing them,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Purchaser or the holder making such purchase;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provisions of this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 xml:space="preserve">shall not be construed to apply to (x) any payment made by the SPV Entity-Related Parties pursuant to and in accordance with the express terms of the Transaction Documents (including the application of funds arising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existence of a Defaulting Purchaser) or (y) any payment obtained by a Purchaser as consideration for the assignment of or sale of a participation in any of its Capital.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SPV Entity-Related Party consents to the foregoing and agrees, to the extent it may effectively do so under applicable Law, that any Purchaser acquiring a participation pursuant to the foregoing arrangements may exercise against each SPV Entity-Related Party rights of setoff and counterclaim with respect to such participation as fully as if such Purchaser were a direct creditor of each SPV Entity-Related Party in the amount of such participation.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3.04 </w:t>
      </w:r>
      <w:r>
        <w:rPr>
          <w:rFonts w:ascii="Times New Roman;serif" w:hAnsi="Times New Roman;serif"/>
          <w:b w:val="false"/>
          <w:color w:val="000000"/>
          <w:sz w:val="24"/>
          <w:u w:val="single"/>
        </w:rPr>
        <w:t>Administrative Agent’s Clawback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Funding by Purchasers; Presumption by Administrative Agent</w:t>
      </w:r>
      <w:r>
        <w:rPr>
          <w:rFonts w:ascii="Times New Roman;serif" w:hAnsi="Times New Roman;serif"/>
          <w:b w:val="false"/>
          <w:color w:val="000000"/>
          <w:sz w:val="24"/>
        </w:rPr>
        <w:t xml:space="preserve">. Unless the Administrative Agent shall have received notice from a Purchaser prior to the proposed date of any Investment, that such Purchaser will not make available to the Administrative Agent such Purchaser’s share of such Investment, the Administrative Agent may assume that such Purchaser has made such share available on such date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and may, in reliance upon such assumption, make available to the Seller a corresponding amount. In such event, if a Purchaser has not in fact made its share of the applicable Investment available to the Administrative Agent, then the applicable Purchaser and the Seller severally agree to pay to the Administrative Agent forthwith on demand such corresponding amount with interest thereon, for each day from and including the date such amount is made available to the Seller to but excluding the date of payment to the Administrative Agent, at (i) in the case of a payment to be made by such Purchaser, the greater of the Effective Federal Funds Rate and a rate determined by the Administrative Agent in accordance with banking industry rules on interbank compensation, and (ii) in the case of a payment to be made by the Seller, the Yield Rate applicable to Base Rate Capitals. If the Seller and such Purchaser shall pay such interest to the Administrative Agent for the same or an overlapping period, the Administrative Agent shall promptly remit to the Seller the amount of such interest paid by the Seller for such period. If such Purchaser pays its share of the applicable Investment to the Administrative Agent, then the amount so paid shall constitute such Purchaser’s share included in such Investment. Any payment by the Seller shall be without prejudice to any claim the Seller may have against a Purchaser that shall have failed to make such payment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Payments by an SPV Entity; Presumptions by Administrative Agent</w:t>
      </w:r>
      <w:r>
        <w:rPr>
          <w:rFonts w:ascii="Times New Roman;serif" w:hAnsi="Times New Roman;serif"/>
          <w:b w:val="false"/>
          <w:color w:val="000000"/>
          <w:sz w:val="24"/>
        </w:rPr>
        <w:t xml:space="preserve">. Unless the Administrative Agent shall have received notice from an SPV Entity prior to the date on which any payment is due to the Administrative Agent for the account of the Purchasers </w:t>
      </w:r>
      <w:r>
        <w:rPr>
          <w:rFonts w:ascii="Times New Roman;serif" w:hAnsi="Times New Roman;serif"/>
          <w:b w:val="false"/>
          <w:color w:val="0000FF"/>
          <w:sz w:val="24"/>
          <w:u w:val="single"/>
        </w:rPr>
        <w:t xml:space="preserve">or any other Secured Parties </w:t>
      </w:r>
      <w:r>
        <w:rPr>
          <w:rFonts w:ascii="Times New Roman;serif" w:hAnsi="Times New Roman;serif"/>
          <w:b w:val="false"/>
          <w:color w:val="000000"/>
          <w:sz w:val="24"/>
        </w:rPr>
        <w:t xml:space="preserve">hereunder that such SPV Entity will not make such payment, the Administrative Agent may assume that such SPV Entity has made such payment on such date in accordance herewith and may, in reliance upon such assumption, distribute to the Purchasers the amount due. In such event, if such SPV Entity has not in fact made such payment, then each of the Purchasers severally agrees to repay to the Administrative Agent forthwith on demand the amount so distributed to such Purchaser,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br/>
        <w:br/>
        <w:t>INCREASED COSTS; FUNDING LOSSES; TAXES; ILLEGALITY AND</w:t>
        <w:br/>
        <w:t>SECURITY INTEREST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4.01 </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impose, modify or deem applicable any reserve, special deposit, compulsory loan, insurance charge or similar requirement against assets of, deposits with or for the account of, or credit extended or participated in by, any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subject any Recipient to any Taxes (other than (A) Indemnified Taxes, (B) Taxes described in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of the definition of Excluded Taxes and (C) Connection Income Taxes) on its loans, loan principal, letters of credit, commitments, or other obligations, or its deposits, reserves, other liabilities or capital attributable thereto or change the basis of taxation of payments to the Recipient in respect thereof;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impose on any Purchaser or the relevant market any other condition, cost or expense (other than Taxes) affecting this Agreement or Investments made by such Purchaser or participation therein;</w:t>
      </w:r>
    </w:p>
    <w:p>
      <w:pPr>
        <w:pStyle w:val="TextBody"/>
        <w:bidi w:val="0"/>
        <w:spacing w:lineRule="auto" w:line="288" w:before="0" w:after="240"/>
        <w:jc w:val="both"/>
        <w:rPr/>
      </w:pPr>
      <w:r>
        <w:rPr>
          <w:rFonts w:ascii="Times New Roman;serif" w:hAnsi="Times New Roman;serif"/>
          <w:b w:val="false"/>
          <w:color w:val="000000"/>
          <w:sz w:val="24"/>
        </w:rPr>
        <w:t xml:space="preserve">and the result of any of the foregoing shall be to increase the cost to such Purchaser or such other Recipient of making, converting to, continuing or maintaining any Investment or of maintaining its obligation to make any such Investment, or to reduce the amount of any sum received or receivable by such Purchaser or other Recipient hereunder (whether of Capital, principal, interest, Yield or any other amount) then, upon request of such Purchaser or other Recipient, the Seller will pay to such Purchaser or other Recipient, as the case may be, such additional amount or amounts as will compensate such Purchaser or other Recipient, as the case may be, for such additional costs incurred or reduction suffered;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upon the occurrence of any Change in Law imposing a reserve percentage on any interest rate based on SOFR, the Administrative Agent, in its reasonable discretion, may modify the calculation of each such SOFR-based yield or interest rate to add (or otherwise account for) such reserve percentage. The obligations of the Seller under this Section 4.01(a)(iii) shall survive the termination of this Agreement and the repayment of any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 xml:space="preserve">. If any Purchaser determines that any Change in Law affecting such Purchaser or any Lending Office of such Purchaser or such Purchaser’s holding company, if any, regarding capital or liquidity requirements has or would have the effect of reducing the rate of return on such Purchaser’s capital or on the capital of such Purchaser’s holding company, if any, as a consequence of this Agreement, the Commitments of such Purchaser or the Investments made by such Purchaser, to a level below that which such Purchaser or such Purchaser’s holding company could have achieved but for such Change in Law (taking into consideration such Purchaser’s policies and the policies of such Purchaser’s holding company with respect to capital adequacy), then from time to time the Seller will pay to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Purchaser such additional amount or amounts as will compensate such Purchaser or such Purchaser’s holding company for any such reduction suffered.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Certificates for Reimbursement</w:t>
      </w:r>
      <w:r>
        <w:rPr>
          <w:rFonts w:ascii="Times New Roman;serif" w:hAnsi="Times New Roman;serif"/>
          <w:b w:val="false"/>
          <w:color w:val="000000"/>
          <w:sz w:val="24"/>
        </w:rPr>
        <w:t xml:space="preserve">. A certificate of a Purchaser setting forth the amount or amounts necessary to compensate such Purchaser or its holding company, as the case may be, as specified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Section and delivered to the Seller shall be conclusive absent manifest error. The Seller shall pay such Purchaser the amount shown as due on any such certificate on the first Settlement Date occurring ten (10) or more days after receipt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such certificate shall state the basis upon which such amount has been calculated.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Purchaser to demand compensation pursuant to this Section shall not constitute a waiver of such Purchaser’s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Seller shall not be required to compensate a Purchaser pursuant to this Section for any increased costs incurred or reductions suffered more than nine (9) months prior to the date that such Purchaser notifies the Seller of the Change in Law giving rise to such increased costs or reductions and of such Purchaser’s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4.02 </w:t>
      </w:r>
      <w:r>
        <w:rPr>
          <w:rFonts w:ascii="Times New Roman;serif" w:hAnsi="Times New Roman;serif"/>
          <w:b w:val="false"/>
          <w:color w:val="000000"/>
          <w:sz w:val="24"/>
          <w:u w:val="single"/>
        </w:rPr>
        <w:t>Indemnity for Funding Losses</w:t>
      </w:r>
      <w:r>
        <w:rPr>
          <w:rFonts w:ascii="Times New Roman;serif" w:hAnsi="Times New Roman;serif"/>
          <w:b w:val="false"/>
          <w:color w:val="000000"/>
          <w:sz w:val="24"/>
        </w:rPr>
        <w:t xml:space="preserve">. In addition to the compensation or payments required by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the Seller shall indemnify each Purchaser against all liabilities, losses or expenses (including loss of anticipated profits, any foreign exchange losses and any loss or expense arising from the liquidation or reemployment of funds obtained by it to maintain any Capital, from fees payable to terminate the deposits from which such funds were obtained or from the performance of any foreign exchange contract) which such Purchaser sustains or incurs as a consequence of any: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payment, prepayment, conversion or renewal of any Capital to which the Term SOFR Rate applies on a day other than </w:t>
      </w:r>
      <w:r>
        <w:rPr>
          <w:rFonts w:ascii="Times New Roman;serif" w:hAnsi="Times New Roman;serif"/>
          <w:b w:val="false"/>
          <w:strike/>
          <w:color w:val="FF0000"/>
          <w:sz w:val="24"/>
        </w:rPr>
        <w:t>a Monthly Settlement Date</w:t>
      </w:r>
      <w:r>
        <w:rPr>
          <w:rFonts w:ascii="Times New Roman;serif" w:hAnsi="Times New Roman;serif"/>
          <w:b w:val="false"/>
          <w:color w:val="0000FF"/>
          <w:sz w:val="24"/>
          <w:u w:val="single"/>
        </w:rPr>
        <w:t>the last day of the Yield Period for the applicable Capital Tranche</w:t>
      </w:r>
      <w:r>
        <w:rPr>
          <w:color w:val="000000"/>
        </w:rPr>
        <w:t xml:space="preserve"> </w:t>
      </w:r>
      <w:r>
        <w:rPr>
          <w:rFonts w:ascii="Times New Roman;serif" w:hAnsi="Times New Roman;serif"/>
          <w:b w:val="false"/>
          <w:color w:val="000000"/>
          <w:sz w:val="24"/>
        </w:rPr>
        <w:t>(whether or not any such payment or prepayment is mandatory, voluntary, or automatic and whether or not any such payment or prepayment is then due);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attempt by the Seller to revoke (expressly, by later inconsistent notices or otherwise) in whole or part any Investment Request or notice relating to prepayments under </w:t>
      </w:r>
      <w:r>
        <w:rPr>
          <w:rFonts w:ascii="Times New Roman;serif" w:hAnsi="Times New Roman;serif"/>
          <w:b w:val="false"/>
          <w:color w:val="000000"/>
          <w:sz w:val="24"/>
          <w:u w:val="single"/>
        </w:rPr>
        <w:t>Section 2.02(d)</w:t>
      </w:r>
      <w:r>
        <w:rPr>
          <w:color w:val="000000"/>
        </w:rPr>
        <w:t xml:space="preserve"> </w:t>
      </w:r>
      <w:r>
        <w:rPr>
          <w:rFonts w:ascii="Times New Roman;serif" w:hAnsi="Times New Roman;serif"/>
          <w:b w:val="false"/>
          <w:color w:val="000000"/>
          <w:sz w:val="24"/>
        </w:rPr>
        <w:t>or failure by the Seller (for a reason other than the failure of such Purchaser to fund an Investment) to prepay, borrow, continue or convert any Capital on the date or in the amount notified by the Seller;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assignment of Capital then accruing Yield based on the Term SOFR Rate on a day other than the last day of the Yield Period therefor as a result of a request by the Seller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any Purchaser sustains or incurs any such loss or expense, it shall from time to time notify the Seller of the amount determined in good faith by such Purchaser (which determination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may include such assumptions, allocations of costs and expenses and averaging or attribution methods as such Purchaser shall deem reasonable) to be necessary to indemnify such Purchaser for such loss or expense</w:t>
      </w:r>
      <w:r>
        <w:rPr>
          <w:color w:val="0000FF"/>
          <w:u w:val="single"/>
        </w:rPr>
        <w:t xml:space="preserve"> </w:t>
      </w:r>
      <w:r>
        <w:rPr>
          <w:rFonts w:ascii="Times New Roman;serif" w:hAnsi="Times New Roman;serif"/>
          <w:b w:val="false"/>
          <w:color w:val="0000FF"/>
          <w:sz w:val="24"/>
          <w:u w:val="single"/>
        </w:rPr>
        <w:t>(with a copy to the Administrative Agent)</w:t>
      </w:r>
      <w:r>
        <w:rPr>
          <w:rFonts w:ascii="Times New Roman;serif" w:hAnsi="Times New Roman;serif"/>
          <w:b w:val="false"/>
          <w:color w:val="000000"/>
          <w:sz w:val="24"/>
        </w:rPr>
        <w:t>. Such notice shall specify in reasonable detail the basis for such determination. Such amount shall be due and payable by the Seller to such Purchaser on the first Settlement Date occurring after such notice is given</w:t>
      </w:r>
      <w:r>
        <w:rPr>
          <w:strike/>
          <w:color w:val="FF0000"/>
        </w:rPr>
        <w:t xml:space="preserve"> </w:t>
      </w:r>
      <w:r>
        <w:rPr>
          <w:rFonts w:ascii="Times New Roman;serif" w:hAnsi="Times New Roman;serif"/>
          <w:b w:val="false"/>
          <w:strike/>
          <w:color w:val="FF0000"/>
          <w:sz w:val="24"/>
        </w:rPr>
        <w:t>or,</w:t>
      </w:r>
      <w:r>
        <w:rPr>
          <w:rFonts w:ascii="Times New Roman;serif" w:hAnsi="Times New Roman;serif"/>
          <w:b w:val="false"/>
          <w:color w:val="0000FF"/>
          <w:sz w:val="24"/>
          <w:u w:val="single"/>
        </w:rPr>
        <w:t>; provided, however, that</w:t>
      </w:r>
      <w:r>
        <w:rPr>
          <w:color w:val="000000"/>
        </w:rPr>
        <w:t xml:space="preserve"> </w:t>
      </w:r>
      <w:r>
        <w:rPr>
          <w:rFonts w:ascii="Times New Roman;serif" w:hAnsi="Times New Roman;serif"/>
          <w:b w:val="false"/>
          <w:color w:val="000000"/>
          <w:sz w:val="24"/>
        </w:rPr>
        <w:t xml:space="preserve">if such amount is payable due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above, then </w:t>
      </w:r>
      <w:r>
        <w:rPr>
          <w:rFonts w:ascii="Times New Roman;serif" w:hAnsi="Times New Roman;serif"/>
          <w:b w:val="false"/>
          <w:color w:val="0000FF"/>
          <w:sz w:val="24"/>
          <w:u w:val="single"/>
        </w:rPr>
        <w:t xml:space="preserve">the Seller shall pay such amount </w:t>
      </w:r>
      <w:r>
        <w:rPr>
          <w:rFonts w:ascii="Times New Roman;serif" w:hAnsi="Times New Roman;serif"/>
          <w:b w:val="false"/>
          <w:color w:val="000000"/>
          <w:sz w:val="24"/>
        </w:rPr>
        <w:t>on the date of such payment, prepayment, conversion, renewal or assignment so long as such notice has been given on or prior to such date.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4.03 </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xml:space="preserve">. Any and all payments by or on account of any obligation of the Seller under any Transaction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Seller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the applicable Recipient receives an amount equal to the sum it would have received had no such deduction or withholding been made.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Payment of Other Taxes by the SPV Entities</w:t>
      </w:r>
      <w:r>
        <w:rPr>
          <w:rFonts w:ascii="Times New Roman;serif" w:hAnsi="Times New Roman;serif"/>
          <w:b w:val="false"/>
          <w:color w:val="000000"/>
          <w:sz w:val="24"/>
        </w:rPr>
        <w:t>. Each SPV Entity shall timely pay to the relevant Official Body in accordance with applicable Law, or, at the option of the Administrative Agent, timely reimburse the Administrative Agent for the payment of, any Other Taxes.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Indemnification by the Seller</w:t>
      </w:r>
      <w:r>
        <w:rPr>
          <w:rFonts w:ascii="Times New Roman;serif" w:hAnsi="Times New Roman;serif"/>
          <w:b w:val="false"/>
          <w:color w:val="000000"/>
          <w:sz w:val="24"/>
        </w:rPr>
        <w:t xml:space="preserve">. The Seller shall indemnify each Recipient, on the next Settlement Date occurring ten (10) or more days after demand therefor, for the full amount of any (i) Indemnified Taxes (including Indemnified Taxes imposed or asserted on or attributable to amounts payable under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and (ii) incremental Taxes that arise because an Investment or any Capital is not treated consistently with the Intended Tax Treatment (such indemnification will include any U.S. federal, state or local income and franchise Taxes necessary to make such Recipient whole on an after-tax basis such that the applicable Recipient receives an amount equal to the sum it would have received had the Investment or Capital been treated consistently with the Intended Tax Treatment taking into account the taxability of receipt of payments under this clause (ii) and any reasonable expenses arising out of, relating to, or resulting from the foregoing). A certificate as to the amount of such payment or liability delivered to the Seller by a Purchaser (with a copy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 or by the Administrative Agent on its own behalf or on behalf of a Purchaser,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Indemnification by the Purchasers</w:t>
      </w:r>
      <w:r>
        <w:rPr>
          <w:rFonts w:ascii="Times New Roman;serif" w:hAnsi="Times New Roman;serif"/>
          <w:b w:val="false"/>
          <w:color w:val="000000"/>
          <w:sz w:val="24"/>
        </w:rPr>
        <w:t xml:space="preserve">. Each Purchaser shall severally indemnify the Administrative Agent, within ten (10) days after demand therefor, for (i) any Indemnified Taxes attributable to such Purchaser (but only to the extent that the SPV Entity-Related Parties have not already indemnified the Administrative Agent for such Indemnified Taxes and without limiting any obligation of any SPV Entity-Related Party to do so), (ii) any Taxes attributable to such Purchaser’s failure to comply with the provisions of </w:t>
      </w:r>
      <w:r>
        <w:rPr>
          <w:rFonts w:ascii="Times New Roman;serif" w:hAnsi="Times New Roman;serif"/>
          <w:b w:val="false"/>
          <w:color w:val="000000"/>
          <w:sz w:val="24"/>
          <w:u w:val="single"/>
        </w:rPr>
        <w:t>Section 12.06(a)</w:t>
      </w:r>
      <w:r>
        <w:rPr>
          <w:color w:val="000000"/>
        </w:rPr>
        <w:t xml:space="preserve"> </w:t>
      </w:r>
      <w:r>
        <w:rPr>
          <w:rFonts w:ascii="Times New Roman;serif" w:hAnsi="Times New Roman;serif"/>
          <w:b w:val="false"/>
          <w:color w:val="000000"/>
          <w:sz w:val="24"/>
        </w:rPr>
        <w:t xml:space="preserve">relating to the maintenance of a Participant Register, and (iii) any Excluded Taxes attributable to such Purchaser, in each case, that are payable or paid by the Administrative Agent in connection with any Transaction Document, and any reasonable expenses arising therefrom or with respect thereto, whether or not such Taxes were correctly or legally imposed or asserted by the relevant Official Body. A certificate as to the amount of such payment or liability delivered to any Purchaser by the Administrative Agent shall be conclusive absent manifest error. Each Purchaser hereby authorizes the Administrative Agent to set off and apply any and all amounts at any time owing to such Purchaser under any Transaction Document or otherwise payable by the Administrative Agent to the Purchaser from any other source against any amount due to the Administrative Agent under this </w:t>
      </w:r>
      <w:r>
        <w:rPr>
          <w:rFonts w:ascii="Times New Roman;serif" w:hAnsi="Times New Roman;serif"/>
          <w:b w:val="false"/>
          <w:color w:val="000000"/>
          <w:sz w:val="24"/>
          <w:u w:val="single"/>
        </w:rPr>
        <w:t>Section 4.03(e)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xml:space="preserve">. As soon as practicable after any payment of Taxes by the Seller to an Official Body pursuant to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the Seller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Status of Purchasers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Any Purchaser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Purchaser,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Purchaser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Sections 4.03(g)(ii)(1)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4.03(g)(ii)(2)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4.03(h)</w:t>
      </w:r>
      <w:r>
        <w:rPr>
          <w:rFonts w:ascii="Times New Roman;serif" w:hAnsi="Times New Roman;serif"/>
          <w:b w:val="false"/>
          <w:color w:val="000000"/>
          <w:sz w:val="24"/>
        </w:rPr>
        <w:t>) shall not be required if, in the Purchaser’s reasonable judgment, such completion, execution or submission would subject such Purchaser to any material unreimbursed cost or expense or would materially prejudice the legal or commercial position of such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Without limiting the generality of the foregoing, in the event that the Seller is a U.S.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    any Purchaser that is a U.S. Person shall deliver to the Seller and the Administrative Agent on or prior to the date on which such Purchaser becomes a Purchaser under this Agreement (and from time to time thereafter upon the reasonable request of the Seller or the Administrative Agent), executed copies of IRS Form W-9 certifying that such Purchaser is exempt from U.S. federal backup withholding tax;</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whichever of the following is applicable: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in the case of a Foreign Purchaser claiming the benefits of an income tax treaty to which the United States is a party (x) with respect to payments of interest under any Transaction Document, executed copies of IRS Form W-8BEN-E (or W-8BEN if applicable) establishing an exemption from, or reduction of, U.S. federal withholding Tax pursuant to the “interest” article of such tax treaty and (y) with respect to any other applicable payments under any Transaction Document, IRS Form W-8BEN-E (or W-8BEN if applicable)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executed copies of IRS Form W-8ECI;</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in the case of a Foreign Purchaser claiming the benefits of the exemption for portfolio interest under Section 881(c) of the Code, (x) a certificate substantially in the form of </w:t>
      </w:r>
      <w:r>
        <w:rPr>
          <w:rFonts w:ascii="Times New Roman;serif" w:hAnsi="Times New Roman;serif"/>
          <w:b w:val="false"/>
          <w:color w:val="000000"/>
          <w:sz w:val="24"/>
          <w:u w:val="single"/>
        </w:rPr>
        <w:t>Exhibit H-1</w:t>
      </w:r>
      <w:r>
        <w:rPr>
          <w:color w:val="000000"/>
        </w:rPr>
        <w:t xml:space="preserve"> </w:t>
      </w:r>
      <w:r>
        <w:rPr>
          <w:rFonts w:ascii="Times New Roman;serif" w:hAnsi="Times New Roman;serif"/>
          <w:b w:val="false"/>
          <w:color w:val="000000"/>
          <w:sz w:val="24"/>
        </w:rPr>
        <w:t>to the effect that such Foreign Purchaser is not (A) a “bank” within the meaning of Section 881(c)(3)(A) of the Code, (B) a “10 percent shareholder” of the Seller within the meaning of Section 881(c)(3)(B) of the Code, or (C) a “controlled foreign corporation” described in Section 881(c)(3)(C) of the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xml:space="preserve">) and (y) executed copies of IRS Form W-8BEN-E (or W-8BEN if applicable); or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to the extent a Foreign Purchaser is not the beneficial owner, executed copies of IRS Form W-8IMY, accompanied by IRS Form W-8ECI, IRS Form W-8BEN-E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W-8BEN if applicable), a U.S. Tax Compliance Certificate substantially in the form of </w:t>
      </w:r>
      <w:r>
        <w:rPr>
          <w:rFonts w:ascii="Times New Roman;serif" w:hAnsi="Times New Roman;serif"/>
          <w:b w:val="false"/>
          <w:color w:val="000000"/>
          <w:sz w:val="24"/>
          <w:u w:val="single"/>
        </w:rPr>
        <w:t>Exhibit H-2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H-3</w:t>
      </w:r>
      <w:r>
        <w:rPr>
          <w:rFonts w:ascii="Times New Roman;serif" w:hAnsi="Times New Roman;serif"/>
          <w:b w:val="false"/>
          <w:color w:val="000000"/>
          <w:sz w:val="24"/>
        </w:rPr>
        <w:t xml:space="preserve">, 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Foreign Purchaser is a partnership and one or more direct or indirect partners of such Foreign Purchaser are claiming the portfolio interest exemption, such Foreign Purchaser may provide a U.S. Tax Compliance Certificate substantially in the form of </w:t>
      </w:r>
      <w:r>
        <w:rPr>
          <w:rFonts w:ascii="Times New Roman;serif" w:hAnsi="Times New Roman;serif"/>
          <w:b w:val="false"/>
          <w:color w:val="000000"/>
          <w:sz w:val="24"/>
          <w:u w:val="single"/>
        </w:rPr>
        <w:t>Exhibit H-4</w:t>
      </w:r>
      <w:r>
        <w:rPr>
          <w:color w:val="000000"/>
        </w:rPr>
        <w:t xml:space="preserve"> </w:t>
      </w:r>
      <w:r>
        <w:rPr>
          <w:rFonts w:ascii="Times New Roman;serif" w:hAnsi="Times New Roman;serif"/>
          <w:b w:val="false"/>
          <w:color w:val="000000"/>
          <w:sz w:val="24"/>
        </w:rPr>
        <w:t>on behalf of each such direct and indirect partner;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    any Foreign Purchaser shall, to the extent it is legally entitled to do so, deliver to the Seller and the Administrative Agent (in such number of copies as shall be requested by the recipient) on or prior to the date on which such Foreign Purchaser becomes a Purchaser under this Agreement (and from time to time thereafter upon the reasonable request of the Seller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(4)    if a payment made to a Purchaser under any Transaction Document would be subject to U.S. federal withholding Tax imposed by FATCA if such Purchaser were to fail to comply with the applicable reporting requirements of FATCA (including those contained in Section 1471(b) or 1472(b) of the Code, as applicable), such Purchaser shall deliver to the Seller and the Administrative Agent at the time or times prescribed by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Purchaser has complied with such Purchaser’s obligations under FATCA or to determine the amount to deduct and withhold from such payment. Solely for purposes of this </w:t>
      </w:r>
      <w:r>
        <w:rPr>
          <w:rFonts w:ascii="Times New Roman;serif" w:hAnsi="Times New Roman;serif"/>
          <w:b w:val="false"/>
          <w:color w:val="000000"/>
          <w:sz w:val="24"/>
          <w:u w:val="single"/>
        </w:rPr>
        <w:t>clause (D)</w:t>
      </w:r>
      <w:r>
        <w:rPr>
          <w:rFonts w:ascii="Times New Roman;serif" w:hAnsi="Times New Roman;serif"/>
          <w:b w:val="false"/>
          <w:color w:val="000000"/>
          <w:sz w:val="24"/>
        </w:rPr>
        <w:t>, “</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include any amendments made to FATCA after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agrees that if any form or certification it previously delivered expires or becomes obsolete or inaccurate in any respect, it shall update such form or certification or promptly notify the Seller and the Administrative Agent in writing of its legal inability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(including by the payment of additional amounts pursuant to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it shall pay to the indemnifying party an amount equal to such refund (but only to the extent of indemnity payments made under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4"/>
          <w:u w:val="single"/>
        </w:rPr>
        <w:t>Section 4.03(h)</w:t>
      </w:r>
      <w:r>
        <w:rPr>
          <w:color w:val="000000"/>
        </w:rPr>
        <w:t xml:space="preserve"> </w:t>
      </w:r>
      <w:r>
        <w:rPr>
          <w:rFonts w:ascii="Times New Roman;serif" w:hAnsi="Times New Roman;serif"/>
          <w:b w:val="false"/>
          <w:color w:val="000000"/>
          <w:sz w:val="24"/>
        </w:rPr>
        <w:t xml:space="preserve">(plus any penalties, interest or other charges imposed by the relevant Official Body) in the event that such indemnified party is required to repay such refund to such Official Body. Notwithstanding anything to the contrary in this </w:t>
      </w:r>
      <w:r>
        <w:rPr>
          <w:rFonts w:ascii="Times New Roman;serif" w:hAnsi="Times New Roman;serif"/>
          <w:b w:val="false"/>
          <w:color w:val="000000"/>
          <w:sz w:val="24"/>
          <w:u w:val="single"/>
        </w:rPr>
        <w:t>Section 4.03(h)</w:t>
      </w:r>
      <w:r>
        <w:rPr>
          <w:rFonts w:ascii="Times New Roman;serif" w:hAnsi="Times New Roman;serif"/>
          <w:b w:val="false"/>
          <w:color w:val="000000"/>
          <w:sz w:val="24"/>
        </w:rPr>
        <w:t xml:space="preserve">, in no event will the indemnified party be required to pay any amount to an indemnifying party pursuant to this </w:t>
      </w:r>
      <w:r>
        <w:rPr>
          <w:rFonts w:ascii="Times New Roman;serif" w:hAnsi="Times New Roman;serif"/>
          <w:b w:val="false"/>
          <w:color w:val="000000"/>
          <w:sz w:val="24"/>
          <w:u w:val="single"/>
        </w:rPr>
        <w:t>Section 4.03(h)</w:t>
      </w:r>
      <w:r>
        <w:rPr>
          <w:color w:val="000000"/>
        </w:rPr>
        <w:t xml:space="preserve"> </w:t>
      </w:r>
      <w:r>
        <w:rPr>
          <w:rFonts w:ascii="Times New Roman;serif" w:hAnsi="Times New Roman;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VAT</w:t>
      </w:r>
      <w:r>
        <w:rPr>
          <w:rFonts w:ascii="Times New Roman;serif" w:hAnsi="Times New Roman;serif"/>
          <w:b w:val="false"/>
          <w:color w:val="000000"/>
          <w:sz w:val="24"/>
        </w:rPr>
        <w:t>. Unless expressly stated otherwise, all sums payable under this Agreement are stated exclusive of VAT unless they are payable by the Seller, in which case they are stated inclusive of VAT.  If (i) VAT is payable on any supply made under this Agreement and (ii) according to this Agreement the consideration for such supply is stated exclusive of VAT, the recipient will pay to the supplier an amount equal to the VAT payable on the supply at the same time as it makes the relevant payment to the supplier, unless the recipient is itself obliged to account for VAT directly to the relevant tax authority under any reverse charge mechanism.  In each case where payment under this Agreement is made in consideration for a supply for VAT purposes, the supplier must promptly provide the recipient with a VAT invoice in respect of the relevant supply (unless the relevant VAT legislation does not require any such invoice to be issued).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Each party’s obligations under this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shall survive the resignation of the Administrative Agent or any assignment of rights by, or the replacement of, a Purchaser, the termination of the Commitments and the repayment, satisfaction or discharge of all Seller Obligations.</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4.04 </w:t>
      </w:r>
      <w:r>
        <w:rPr>
          <w:rFonts w:ascii="Times New Roman;serif" w:hAnsi="Times New Roman;serif"/>
          <w:b w:val="false"/>
          <w:color w:val="000000"/>
          <w:sz w:val="24"/>
          <w:u w:val="single"/>
        </w:rPr>
        <w:t>Replacement of a Purchaser</w:t>
      </w:r>
      <w:r>
        <w:rPr>
          <w:rFonts w:ascii="Times New Roman;serif" w:hAnsi="Times New Roman;serif"/>
          <w:b w:val="false"/>
          <w:color w:val="000000"/>
          <w:sz w:val="24"/>
        </w:rPr>
        <w:t xml:space="preserve">. If any Purchaser requests compensation under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or if the Seller is required to pay any Indemnified Taxes or additional amounts to any Purchaser or any Official Body for the account of any Purchaser pursuant to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and, in each case, such Purchaser has declined or is unable to designate a different lending office in accordance with </w:t>
      </w:r>
      <w:r>
        <w:rPr>
          <w:rFonts w:ascii="Times New Roman;serif" w:hAnsi="Times New Roman;serif"/>
          <w:b w:val="false"/>
          <w:color w:val="000000"/>
          <w:sz w:val="24"/>
          <w:u w:val="single"/>
        </w:rPr>
        <w:t>Section 4.05</w:t>
      </w:r>
      <w:r>
        <w:rPr>
          <w:rFonts w:ascii="Times New Roman;serif" w:hAnsi="Times New Roman;serif"/>
          <w:b w:val="false"/>
          <w:color w:val="000000"/>
          <w:sz w:val="24"/>
        </w:rPr>
        <w:t xml:space="preserve">, or if any Purchaser is a Defaulting Purchaser or a Non-Consenting Purchaser, then the Seller may, at its sole expense and effort, upon notice to such Purchaser and the Administrative Agent, require such Purchaser to assign and delegate,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without recourse (in accordance with and subject to the restrictions contained in, and consents required by, </w:t>
      </w:r>
      <w:r>
        <w:rPr>
          <w:rFonts w:ascii="Times New Roman;serif" w:hAnsi="Times New Roman;serif"/>
          <w:b w:val="false"/>
          <w:color w:val="000000"/>
          <w:sz w:val="24"/>
          <w:u w:val="single"/>
        </w:rPr>
        <w:t>Section 12.06</w:t>
      </w:r>
      <w:r>
        <w:rPr>
          <w:rFonts w:ascii="Times New Roman;serif" w:hAnsi="Times New Roman;serif"/>
          <w:b w:val="false"/>
          <w:color w:val="000000"/>
          <w:sz w:val="24"/>
        </w:rPr>
        <w:t xml:space="preserve">), all of its interests, rights (other than its existing rights to payments pursuant to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and obligations under this Agreement and the related Transaction Documents to an Eligible Assignee that shall assume such obligations (which assignee may be another Purchaser, if a Purchaser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Seller shall have paid to the Administrative Agent the assignment fee (if any) specified in </w:t>
      </w:r>
      <w:r>
        <w:rPr>
          <w:rFonts w:ascii="Times New Roman;serif" w:hAnsi="Times New Roman;serif"/>
          <w:b w:val="false"/>
          <w:color w:val="000000"/>
          <w:sz w:val="24"/>
          <w:u w:val="single"/>
        </w:rPr>
        <w:t>Section 12.06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such Purchaser shall have received payment of an amount equal to the outstanding Capital of its Investments, accrued Yield thereon, accrued Fees and all other amounts payable to it hereunder and under the other Transaction Documents (including any amounts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 from the assignee (to the extent of such outstanding Capital, principal and accrued interest, Yield and fees) or the Seller (in the case of all other amounts);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in the case of any such assignment resulting from a claim for compensation under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 such assignment will result in a reduction in such compensation or payments thereafter;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such assignment does not conflict with applicable Law;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in the case of any assignment resulting from a Purchaser becoming a Non-Consenting Purchaser, the applicable assignee shall have consented to the applicable amendment, waiver or consent.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Purchaser shall not be required to make any such assignment or delegation if, prior thereto, as a result of a waiver by such Purchaser or otherwise, the circumstances entitling the Seller to require such assignment and delegation cease to apply.</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4.05 </w:t>
      </w:r>
      <w:r>
        <w:rPr>
          <w:rFonts w:ascii="Times New Roman;serif" w:hAnsi="Times New Roman;serif"/>
          <w:b w:val="false"/>
          <w:color w:val="000000"/>
          <w:sz w:val="24"/>
          <w:u w:val="single"/>
        </w:rPr>
        <w:t>Designation of a Different Lending Office</w:t>
      </w:r>
      <w:r>
        <w:rPr>
          <w:rFonts w:ascii="Times New Roman;serif" w:hAnsi="Times New Roman;serif"/>
          <w:b w:val="false"/>
          <w:color w:val="000000"/>
          <w:sz w:val="24"/>
        </w:rPr>
        <w:t xml:space="preserve">. If any Purchaser requests compensation under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or the Seller is or will be required to pay any Indemnified Taxes or additional amounts to any Purchaser or any Official Body for the account of any Purchaser pursuant to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then such Purchaser shall (at the request of the Seller) use reasonable efforts to designate a different Lending Office for funding or booking its Investments hereunder or to assign its rights and obligations hereunder to another of its offices, branches or affiliates, if, in the judgment of such Purchaser, such designation or assignment (i) would eliminate or reduce amounts payable pursuant to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as the case may be, in the future, and (ii) would not subject such Purchaser to any unreimbursed cost or expense and would not otherwise be disadvantageous to such Purchaser. The Seller hereby agrees to pay all reasonable costs and expenses incurred by any Purchaser in connection with any such designation or assignment.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w:t>
        <w:br/>
        <w:br/>
        <w:t>CONDITIONS TO EFFECTIVENESS AND INVESTMENTS</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5.01 </w:t>
      </w:r>
      <w:r>
        <w:rPr>
          <w:rFonts w:ascii="Times New Roman;serif" w:hAnsi="Times New Roman;serif"/>
          <w:b w:val="false"/>
          <w:color w:val="000000"/>
          <w:sz w:val="24"/>
          <w:u w:val="single"/>
        </w:rPr>
        <w:t>Conditions Precedent to Effectiveness and the Initial Investment</w:t>
      </w:r>
      <w:r>
        <w:rPr>
          <w:rFonts w:ascii="Times New Roman;serif" w:hAnsi="Times New Roman;serif"/>
          <w:b w:val="false"/>
          <w:color w:val="000000"/>
          <w:sz w:val="24"/>
        </w:rPr>
        <w:t xml:space="preserve">. This Agreement shall become effective as of the Closing Date when (a)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shall have received each of the documents, agreements (in fully executed form), opinions of counsel, lien search results, UCC filings, PPSA filings, certificates and other deliverables listed on the closing memorandum attached as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hereto, in each case, in form and substance acceptable to the Administrative Agent and (b) all fees and expenses payable by any SPV Entity on the Closing Date to the Purchaser Parties have been paid in full in accordance with the terms of the Transaction Documents.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5.02 </w:t>
      </w:r>
      <w:r>
        <w:rPr>
          <w:rFonts w:ascii="Times New Roman;serif" w:hAnsi="Times New Roman;serif"/>
          <w:b w:val="false"/>
          <w:color w:val="000000"/>
          <w:sz w:val="24"/>
          <w:u w:val="single"/>
        </w:rPr>
        <w:t>Conditions Precedent to All Investments</w:t>
      </w:r>
      <w:r>
        <w:rPr>
          <w:rFonts w:ascii="Times New Roman;serif" w:hAnsi="Times New Roman;serif"/>
          <w:b w:val="false"/>
          <w:color w:val="000000"/>
          <w:sz w:val="24"/>
        </w:rPr>
        <w:t>. Each Investment hereunder on or after the Closing Date shall be subject to the conditions precedent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Seller shall have delivered to the Administrative Agent </w:t>
      </w:r>
      <w:r>
        <w:rPr>
          <w:rFonts w:ascii="Times New Roman;serif" w:hAnsi="Times New Roman;serif"/>
          <w:b w:val="false"/>
          <w:strike/>
          <w:color w:val="FF0000"/>
          <w:sz w:val="24"/>
        </w:rPr>
        <w:t xml:space="preserve">and each Purchaser </w:t>
      </w:r>
      <w:r>
        <w:rPr>
          <w:rFonts w:ascii="Times New Roman;serif" w:hAnsi="Times New Roman;serif"/>
          <w:b w:val="false"/>
          <w:color w:val="000000"/>
          <w:sz w:val="24"/>
        </w:rPr>
        <w:t xml:space="preserve">an Investment Request for such Investment, in accordance with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Servicers shall have delivered to the Administrative Agent and each Purchaser all Pool Reports required to be delivered hereunder;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on the date of such Investment the following statements shall be true and correct (and upon the occurrence of such Investment, each SPV Entity and the Servicers shall be deemed to have represented and warranted that such statements are then true and correct):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the representations and warranties of each SPV Entity and the Servicers contained in </w:t>
      </w:r>
      <w:r>
        <w:rPr>
          <w:rFonts w:ascii="Times New Roman;serif" w:hAnsi="Times New Roman;serif"/>
          <w:b w:val="false"/>
          <w:color w:val="000000"/>
          <w:sz w:val="24"/>
          <w:u w:val="single"/>
        </w:rPr>
        <w:t>Sections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6.02</w:t>
      </w:r>
      <w:r>
        <w:rPr>
          <w:color w:val="000000"/>
        </w:rPr>
        <w:t xml:space="preserve"> </w:t>
      </w:r>
      <w:r>
        <w:rPr>
          <w:rFonts w:ascii="Times New Roman;serif" w:hAnsi="Times New Roman;serif"/>
          <w:b w:val="false"/>
          <w:color w:val="000000"/>
          <w:sz w:val="24"/>
        </w:rPr>
        <w:t>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no Event of Default or Potential Default has occurred and is continuing, and no Event of Default or Potential Default would result from such Investment;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no Capital Coverage Amount Deficit exists or would exist after giving effect to such Investment;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immediately after giving effect to such Investment, no Purchaser’s aggregate outstanding Capital will exceed such Purchaser’s Commitment;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Termination Date has not occurred;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Aggregate Capital equals or exceeds the Minimum Funding Threshold;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the aggregate Outstanding Balance of all Sold Receivables does not exceed the Aggregate Capital;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shd w:fill="FFFFFF" w:val="clear"/>
        </w:rPr>
        <w:t xml:space="preserve">if the Administrative Agent </w:t>
      </w:r>
      <w:r>
        <w:rPr>
          <w:rFonts w:ascii="Times New Roman;serif" w:hAnsi="Times New Roman;serif"/>
          <w:b w:val="false"/>
          <w:color w:val="000000"/>
          <w:sz w:val="24"/>
        </w:rPr>
        <w:t>has taken exclusive dominion and control of the Collection Accounts,</w:t>
      </w:r>
      <w:r>
        <w:rPr>
          <w:color w:val="000000"/>
          <w:shd w:fill="FFFFFF" w:val="clear"/>
        </w:rPr>
        <w:t xml:space="preserve"> </w:t>
      </w:r>
      <w:r>
        <w:rPr>
          <w:rFonts w:ascii="Times New Roman;serif" w:hAnsi="Times New Roman;serif"/>
          <w:b w:val="false"/>
          <w:color w:val="000000"/>
          <w:sz w:val="24"/>
          <w:shd w:fill="FFFFFF" w:val="clear"/>
        </w:rPr>
        <w:t xml:space="preserve">the Seller shall have delivered to the Administrative Agent by not later than 2:00 p.m. (New York City time) on the date of such Release, a Daily Report with data as of the close of business on the immediately preceding </w:t>
      </w:r>
      <w:r>
        <w:rPr>
          <w:rFonts w:ascii="Times New Roman;serif" w:hAnsi="Times New Roman;serif"/>
          <w:b w:val="false"/>
          <w:color w:val="000000"/>
          <w:sz w:val="24"/>
        </w:rPr>
        <w:t>Business</w:t>
      </w:r>
      <w:r>
        <w:rPr>
          <w:color w:val="000000"/>
          <w:shd w:fill="FFFFFF" w:val="clear"/>
        </w:rPr>
        <w:t xml:space="preserve"> </w:t>
      </w:r>
      <w:r>
        <w:rPr>
          <w:rFonts w:ascii="Times New Roman;serif" w:hAnsi="Times New Roman;serif"/>
          <w:b w:val="false"/>
          <w:color w:val="000000"/>
          <w:sz w:val="24"/>
          <w:shd w:fill="FFFFFF" w:val="clear"/>
        </w:rPr>
        <w:t>Day.</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5.03 </w:t>
      </w:r>
      <w:r>
        <w:rPr>
          <w:rFonts w:ascii="Times New Roman;serif" w:hAnsi="Times New Roman;serif"/>
          <w:b w:val="false"/>
          <w:color w:val="000000"/>
          <w:sz w:val="24"/>
          <w:u w:val="single"/>
        </w:rPr>
        <w:t>Conditions Precedent to All Releases</w:t>
      </w:r>
      <w:r>
        <w:rPr>
          <w:rFonts w:ascii="Times New Roman;serif" w:hAnsi="Times New Roman;serif"/>
          <w:b w:val="false"/>
          <w:color w:val="000000"/>
          <w:sz w:val="24"/>
        </w:rPr>
        <w:t>. Each Release hereunder on or after the Closing Date shall be subject to the conditions precedent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after giving effect to such Release, the Servicers shall be holding in trust for the benefit of the Secured Parties an amount of Collections sufficient to pay the sum of (x) all accrued and unpaid Servicing Fees, Yield, Fees and indemnification payments under </w:t>
      </w:r>
      <w:r>
        <w:rPr>
          <w:rFonts w:ascii="Times New Roman;serif" w:hAnsi="Times New Roman;serif"/>
          <w:b w:val="false"/>
          <w:color w:val="000000"/>
          <w:sz w:val="24"/>
          <w:u w:val="single"/>
        </w:rPr>
        <w:t>Section 4.02</w:t>
      </w:r>
      <w:r>
        <w:rPr>
          <w:rFonts w:ascii="Times New Roman;serif" w:hAnsi="Times New Roman;serif"/>
          <w:b w:val="false"/>
          <w:color w:val="000000"/>
          <w:sz w:val="24"/>
        </w:rPr>
        <w:t>, in each case, through the date of such Release, (y) the amount of any Capital Coverage Amount Deficit and (z) the amount of all other accrued and unpaid Seller Obligations through the date of such Release;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SPV Entity shall use the proceeds of such Release solely to pay the purchase price for Receivables purchased by such SPV Entity in accordance with the terms of the Second Tier Transfer Agreement, the Canadian Transfer Agreement, the UK Transfer Agreement and the Swiss Transfer Agreement (as applicable);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on the date of such Release the following statements shall be true and correct (and upon the occurrence of such Release, each SPV Entity and each Servicer shall be deemed to have represented and warranted that such statements are then true and correct):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the representations and warranties of such SPV Entity and such Servicer contained in </w:t>
      </w:r>
      <w:r>
        <w:rPr>
          <w:rFonts w:ascii="Times New Roman;serif" w:hAnsi="Times New Roman;serif"/>
          <w:b w:val="false"/>
          <w:color w:val="000000"/>
          <w:sz w:val="24"/>
          <w:u w:val="single"/>
        </w:rPr>
        <w:t>Sections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6.02</w:t>
      </w:r>
      <w:r>
        <w:rPr>
          <w:color w:val="000000"/>
        </w:rPr>
        <w:t xml:space="preserve"> </w:t>
      </w:r>
      <w:r>
        <w:rPr>
          <w:rFonts w:ascii="Times New Roman;serif" w:hAnsi="Times New Roman;serif"/>
          <w:b w:val="false"/>
          <w:color w:val="000000"/>
          <w:sz w:val="24"/>
        </w:rPr>
        <w:t>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no Event of Default or Potential Default has occurred and is continuing, and no Event of Default or Potential Default would result from such Release;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no Capital Coverage Amount Deficit exists or would exist after giving effect to such Release;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Termination Date has not occurred.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br/>
        <w:br/>
        <w:t>REPRESENTATIONS AND WARRANTIES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6.01 </w:t>
      </w:r>
      <w:r>
        <w:rPr>
          <w:rFonts w:ascii="Times New Roman;serif" w:hAnsi="Times New Roman;serif"/>
          <w:b w:val="false"/>
          <w:color w:val="000000"/>
          <w:sz w:val="24"/>
          <w:u w:val="single"/>
        </w:rPr>
        <w:t>Representations and Warranties of the SPV Entities</w:t>
      </w:r>
      <w:r>
        <w:rPr>
          <w:rFonts w:ascii="Times New Roman;serif" w:hAnsi="Times New Roman;serif"/>
          <w:b w:val="false"/>
          <w:color w:val="000000"/>
          <w:sz w:val="24"/>
        </w:rPr>
        <w:t>. Each SPV Entity represents and warrants with respect to itself to each Purchaser Party as of the Closing Date, on each Settlement Date and on each day that an Investment or Release shall have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xml:space="preserve">. The Seller is a limited liability company duly organized and validly existing in good standing under the laws of the State of Delaware and has full power and authority under its constitutional documents and under the laws of its jurisdiction to own its properties and to conduct its business as such properties are currently owned and such business is presently conducted. The Canadian Guarantor is a company duly formed and validly existing under the laws of the Province of British Columbia, and has full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power and authority to own its properties and to conduct its business as such properties are currently owned and such business is presently conducted.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Such Person is duly qualified to do business as a limited liability company, company, or corporation, as applicable, is in good standing as a foreign limited liability company, company, or corporation, as applicable, and has obtained all necessary licenses and approvals in all jurisdictions in which the conduct of its business requires such qualification, licenses or approvals, except where the failure to do so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Such Person (i) has all necessary power and authority to (A) execute and deliver this Agreement and the other Transaction Documents to which it is a party, (B) perform its obligations under this Agreement and the other Transaction Documents to which it is a party and (C) grant a security interest in the Supporting Assets to the Administrative Agent on the terms and subject to the conditions herein provided and (ii) has duly authorized by all necessary limited liability company, limited partnership or corporate action, as applicable, such grant and the execution, delivery and performance of, and the consummation of the transactions provided for in, this Agreement and the other Transaction Documents to which it is a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such Person is a party has been duly authorized, validly executed and delivered by such Person and, when executed and delivered by each other party thereto, constitutes the legal, valid and binding obligations of such Person, enforceable against such Person in accordance with their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The execution, delivery and performance and consummation of the transactions contemplated by, this Agreement and the other Transaction Documents to which such Person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such Person is a party or by which it or any of its properties is bound, (ii) result in the creation or imposition of any Adverse Claim other than Permitted Adverse Claims upon any of the Supporting Assets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a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xml:space="preserve">. (i) There is no action, suit, proceeding or investigation pending or, to the best knowledge of such Person, threatened in writing, against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Person before any Official Body and (ii) such Person is not subject to any order, judgment, decree, injunction, stipulation or consent order of or with any Official Body that, in the case of either of the foregoing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rFonts w:ascii="Times New Roman;serif" w:hAnsi="Times New Roman;serif"/>
          <w:b w:val="false"/>
          <w:color w:val="000000"/>
          <w:sz w:val="24"/>
        </w:rPr>
        <w:t>, (A) asserts the invalidity of this Agreement or any other Transaction Document, (B) seeks to prevent the grant of a security interest in any Supporting Assets by such Person to the Administrative Agent, the ownership or acquisition by such Person of any Pool Receivable or other Supporting Assets or the consummation of any of the transactions contemplated by this Agreement or any other Transaction Document, (C) seeks any determination or ruling that could materially and adversely affect the performance by such Person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Governmental Approvals</w:t>
      </w:r>
      <w:r>
        <w:rPr>
          <w:rFonts w:ascii="Times New Roman;serif" w:hAnsi="Times New Roman;serif"/>
          <w:b w:val="false"/>
          <w:color w:val="000000"/>
          <w:sz w:val="24"/>
        </w:rPr>
        <w:t>. Except where the failure to obtain or make such authorization, consent, order, approval or action could not reasonably be expected to have a Material Adverse Effect, all authorizations, consents, orders and approvals of, or other actions by, any Official Body that are required to be obtained by such Person in connection with the sale and/or grant of a security interest in the Supporting Assets to the Administrative Agent hereunder or the due execution, delivery and performance by such Person of this Agreement or any other Transaction Document to which it is a party and the consummation by such Person of the transactions contemplated by this Agreement and the other Transaction Documents to which it is a party have been obtained or made and are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Margin Regulations</w:t>
      </w:r>
      <w:r>
        <w:rPr>
          <w:rFonts w:ascii="Times New Roman;serif" w:hAnsi="Times New Roman;serif"/>
          <w:b w:val="false"/>
          <w:color w:val="000000"/>
          <w:sz w:val="24"/>
        </w:rPr>
        <w:t>. Such Person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Solvency</w:t>
      </w:r>
      <w:r>
        <w:rPr>
          <w:rFonts w:ascii="Times New Roman;serif" w:hAnsi="Times New Roman;serif"/>
          <w:b w:val="false"/>
          <w:color w:val="000000"/>
          <w:sz w:val="24"/>
        </w:rPr>
        <w:t>. After giving effect to the transactions contemplated by this Agreement and the other Transaction Documents, such Person is Solvent.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Offices; Legal Name</w:t>
      </w:r>
      <w:r>
        <w:rPr>
          <w:rFonts w:ascii="Times New Roman;serif" w:hAnsi="Times New Roman;serif"/>
          <w:b w:val="false"/>
          <w:color w:val="000000"/>
          <w:sz w:val="24"/>
        </w:rPr>
        <w:t>. The Seller’s sole jurisdiction of organization is the State of Delaware and such jurisdiction has not changed within four months prior to the date of this Agreement. The office of the Seller is located at 1718 Dry Creek Way, Suite #115, San Antonio, TX 78259. The legal name of the Seller is Rackspace Receivables II LLC. The sole jurisdiction of organization of the Canadian Guarantor is the Province of British Columbia.</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Investment Company Act; Volcker Rule</w:t>
      </w:r>
      <w:r>
        <w:rPr>
          <w:rFonts w:ascii="Times New Roman;serif" w:hAnsi="Times New Roman;serif"/>
          <w:b w:val="false"/>
          <w:color w:val="000000"/>
          <w:sz w:val="24"/>
        </w:rPr>
        <w:t>. Such Person (i) is not, and is not controlled by, an “investment company” registered or required to be registered under the Investment Company Act and (ii) is not a “covered fund” under the Volcker Rule. In determining that such Person is not a “covered fund” under the Volcker Rule, such Person relies on, and is entitled to rely on, the exemption from the definition of “investment company” set forth in Section 3(c)(5) of the Investment Company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the date of formation of such Person there has been no Material Adverse Effect with respect to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written information (including Pool Reports, Investment Requests, certificates, reports, statements, documents and other information) (other than forward looking information and information of a general economic nature or general industry nature) furnished to the Administrative Agent or any other Purchaser Party by or on behalf of such Person pursuant to any provision of this Agreement or any other Transaction Document, or in connection with or pursuant to any amendment or modification of, or waiver under, this Agreement or any other Transaction Document, are, at the time the same are so furnished (or as of any other date specified therein), when taken as a whole, complete and correct in all material respects on the date the same are furnished to the Administrative Agent or such other Purchaser Party, and do not contain any material misstatement of fact or omit to state a material fact necessary to make the statements contained therein not misleading.</w:t>
      </w:r>
    </w:p>
    <w:p>
      <w:pPr>
        <w:pStyle w:val="TextBody"/>
        <w:bidi w:val="0"/>
        <w:spacing w:lineRule="auto" w:line="288" w:before="0" w:after="240"/>
        <w:ind w:left="0" w:right="0" w:firstLine="1440"/>
        <w:jc w:val="both"/>
        <w:rPr/>
      </w:pPr>
      <w:r>
        <w:rPr>
          <w:rFonts w:ascii="Times New Roman;serif" w:hAnsi="Times New Roman;serif"/>
          <w:b w:val="false"/>
          <w:strike/>
          <w:color w:val="000000"/>
          <w:sz w:val="24"/>
        </w:rPr>
        <w:t>(n)    </w:t>
      </w:r>
      <w:r>
        <w:rPr>
          <w:rFonts w:ascii="Times New Roman;serif" w:hAnsi="Times New Roman;serif"/>
          <w:b w:val="false"/>
          <w:color w:val="000000"/>
          <w:sz w:val="24"/>
          <w:u w:val="single"/>
        </w:rPr>
        <w:t>Sanctions</w:t>
      </w:r>
      <w:r>
        <w:rPr>
          <w:strike/>
          <w:color w:val="FF0000"/>
          <w:u w:val="single"/>
        </w:rPr>
        <w:t xml:space="preserve"> </w:t>
      </w:r>
      <w:r>
        <w:rPr>
          <w:rFonts w:ascii="Times New Roman;serif" w:hAnsi="Times New Roman;serif"/>
          <w:b w:val="false"/>
          <w:strike/>
          <w:color w:val="FF0000"/>
          <w:sz w:val="24"/>
          <w:u w:val="single"/>
        </w:rPr>
        <w:t>and other Anti-Terrorism Laws</w:t>
      </w:r>
      <w:r>
        <w:rPr>
          <w:rFonts w:ascii="Times New Roman;serif" w:hAnsi="Times New Roman;serif"/>
          <w:b w:val="false"/>
          <w:strike/>
          <w:color w:val="FF0000"/>
          <w:sz w:val="24"/>
        </w:rPr>
        <w:t xml:space="preserve">. In the past three (3) years, no: (a) Covered Entity, nor any employees, officers, directors, affiliates, consultants, brokers, or agents acting on a Covered Entity’s </w:t>
      </w:r>
      <w:r>
        <w:rPr>
          <w:rFonts w:ascii="Times New Roman;serif" w:hAnsi="Times New Roman;serif"/>
          <w:b w:val="false"/>
          <w:strike/>
          <w:color w:val="008000"/>
          <w:sz w:val="24"/>
        </w:rPr>
        <w:t>behalf in connection with this Agreement</w:t>
      </w:r>
      <w:r>
        <w:rPr>
          <w:rFonts w:ascii="Times New Roman;serif" w:hAnsi="Times New Roman;serif"/>
          <w:b w:val="false"/>
          <w:strike/>
          <w:color w:val="FF0000"/>
          <w:sz w:val="24"/>
        </w:rPr>
        <w:t>: (i</w:t>
      </w:r>
      <w:r>
        <w:rPr>
          <w:rFonts w:ascii="Times New Roman;serif" w:hAnsi="Times New Roman;serif"/>
          <w:b w:val="false"/>
          <w:color w:val="0000FF"/>
          <w:sz w:val="24"/>
          <w:u w:val="single"/>
        </w:rPr>
        <w:t>; International Trade, Anti-Money Laundering and Anti-Corruption Laws. No Covered Entity nor any of its directors, officers, or employees, nor, to the knowledge of any SPV Entity-Related Party, any agents or affiliates acting on behalf of any Covered Entity: (a</w:t>
      </w:r>
      <w:r>
        <w:rPr>
          <w:rFonts w:ascii="Times New Roman;serif" w:hAnsi="Times New Roman;serif"/>
          <w:b w:val="false"/>
          <w:color w:val="000000"/>
          <w:sz w:val="24"/>
        </w:rPr>
        <w:t xml:space="preserve">) is a Sanctioned Person; </w:t>
      </w:r>
      <w:r>
        <w:rPr>
          <w:rFonts w:ascii="Times New Roman;serif" w:hAnsi="Times New Roman;serif"/>
          <w:b w:val="false"/>
          <w:strike/>
          <w:color w:val="FF0000"/>
          <w:sz w:val="24"/>
        </w:rPr>
        <w:t>or (ii) directly, or</w:t>
      </w:r>
      <w:r>
        <w:rPr>
          <w:rFonts w:ascii="Times New Roman;serif" w:hAnsi="Times New Roman;serif"/>
          <w:b w:val="false"/>
          <w:color w:val="0000FF"/>
          <w:sz w:val="24"/>
          <w:u w:val="single"/>
        </w:rPr>
        <w:t>(b) does business in or with, or derives any of its income, directly or knowingly</w:t>
      </w:r>
      <w:r>
        <w:rPr>
          <w:color w:val="000000"/>
        </w:rPr>
        <w:t xml:space="preserve"> </w:t>
      </w:r>
      <w:r>
        <w:rPr>
          <w:rFonts w:ascii="Times New Roman;serif" w:hAnsi="Times New Roman;serif"/>
          <w:b w:val="false"/>
          <w:color w:val="000000"/>
          <w:sz w:val="24"/>
        </w:rPr>
        <w:t>indirectly</w:t>
      </w:r>
      <w:r>
        <w:rPr>
          <w:strike/>
          <w:color w:val="FF0000"/>
        </w:rPr>
        <w:t xml:space="preserve"> </w:t>
      </w:r>
      <w:r>
        <w:rPr>
          <w:rFonts w:ascii="Times New Roman;serif" w:hAnsi="Times New Roman;serif"/>
          <w:b w:val="false"/>
          <w:strike/>
          <w:color w:val="FF0000"/>
          <w:sz w:val="24"/>
        </w:rPr>
        <w:t>through any third party, is engaged in any transactions or other dealings with or for the benefit of</w:t>
      </w:r>
      <w:r>
        <w:rPr>
          <w:rFonts w:ascii="Times New Roman;serif" w:hAnsi="Times New Roman;serif"/>
          <w:b w:val="false"/>
          <w:color w:val="0000FF"/>
          <w:sz w:val="24"/>
          <w:u w:val="single"/>
        </w:rPr>
        <w:t>, from</w:t>
      </w:r>
      <w:r>
        <w:rPr>
          <w:color w:val="000000"/>
        </w:rPr>
        <w:t xml:space="preserve"> </w:t>
      </w:r>
      <w:r>
        <w:rPr>
          <w:rFonts w:ascii="Times New Roman;serif" w:hAnsi="Times New Roman;serif"/>
          <w:b w:val="false"/>
          <w:color w:val="000000"/>
          <w:sz w:val="24"/>
        </w:rPr>
        <w:t xml:space="preserve">any Sanctioned Person or </w:t>
      </w:r>
      <w:r>
        <w:rPr>
          <w:rFonts w:ascii="Times New Roman;serif" w:hAnsi="Times New Roman;serif"/>
          <w:b w:val="false"/>
          <w:color w:val="0000FF"/>
          <w:sz w:val="24"/>
          <w:u w:val="single"/>
        </w:rPr>
        <w:t xml:space="preserve">any </w:t>
      </w:r>
      <w:r>
        <w:rPr>
          <w:rFonts w:ascii="Times New Roman;serif" w:hAnsi="Times New Roman;serif"/>
          <w:b w:val="false"/>
          <w:color w:val="000000"/>
          <w:sz w:val="24"/>
        </w:rPr>
        <w:t>Sanctioned Jurisdiction</w:t>
      </w:r>
      <w:r>
        <w:rPr>
          <w:rFonts w:ascii="Times New Roman;serif" w:hAnsi="Times New Roman;serif"/>
          <w:b w:val="false"/>
          <w:strike/>
          <w:color w:val="FF0000"/>
          <w:sz w:val="24"/>
        </w:rPr>
        <w:t>, or any transactions or other dealings that otherwise are prohibited by any Anti-Terrorism Laws; and (b) Supporting Assets are Embargoed Property.</w:t>
      </w:r>
    </w:p>
    <w:p>
      <w:pPr>
        <w:pStyle w:val="TextBody"/>
        <w:bidi w:val="0"/>
        <w:spacing w:lineRule="auto" w:line="288" w:before="0" w:after="240"/>
        <w:ind w:left="0" w:right="0" w:firstLine="1440"/>
        <w:jc w:val="both"/>
        <w:rPr/>
      </w:pPr>
      <w:r>
        <w:rPr>
          <w:rFonts w:ascii="Times New Roman;serif" w:hAnsi="Times New Roman;serif"/>
          <w:b w:val="false"/>
          <w:strike/>
          <w:color w:val="FF0000"/>
          <w:sz w:val="24"/>
        </w:rPr>
        <w:t xml:space="preserve">(o) </w:t>
      </w:r>
      <w:r>
        <w:rPr>
          <w:rFonts w:ascii="Times New Roman;serif" w:hAnsi="Times New Roman;serif"/>
          <w:b w:val="false"/>
          <w:color w:val="0000FF"/>
          <w:sz w:val="24"/>
          <w:u w:val="single"/>
        </w:rPr>
        <w:t xml:space="preserve">; or (c) is in violation of, or is, directly or indirectly, taking any action that could cause any Covered Entity to be in violation of, applicable International Trade Laws, Sanctions, Anti-Money Laundering Laws, or </w:t>
      </w:r>
      <w:r>
        <w:rPr>
          <w:rFonts w:ascii="Times New Roman;serif" w:hAnsi="Times New Roman;serif"/>
          <w:b w:val="false"/>
          <w:color w:val="000000"/>
          <w:sz w:val="24"/>
        </w:rPr>
        <w:t xml:space="preserve">Anti-Corruption Laws. </w:t>
      </w:r>
      <w:r>
        <w:rPr>
          <w:rFonts w:ascii="Times New Roman;serif" w:hAnsi="Times New Roman;serif"/>
          <w:b w:val="false"/>
          <w:color w:val="0000FF"/>
          <w:sz w:val="24"/>
          <w:u w:val="single"/>
        </w:rPr>
        <w:t>No Covered Entity nor any of its directors or officers, nor to the knowledge of any SPV Entity-Related Party, any employees, agents, or affiliates acting on behalf of any Covered Entity: is (x) in receipt of any written notice or communication from any Compliance Authority that alleges, or otherwise pertains to, a violation of any International Trade Laws, Sanctions, Anti-Money Laundering Laws or Anti-Corruption Laws; or (y) is the target or subject of any investigation, or has received any written request for information alleging a violation of any International Trade Laws, Sanctions, Anti-Money Laundering Laws or Anti-Corruption Laws by an Official Body.</w:t>
      </w:r>
      <w:r>
        <w:rPr>
          <w:color w:val="000000"/>
        </w:rPr>
        <w:t xml:space="preserve"> </w:t>
      </w:r>
      <w:r>
        <w:rPr>
          <w:rFonts w:ascii="Times New Roman;serif" w:hAnsi="Times New Roman;serif"/>
          <w:b w:val="false"/>
          <w:color w:val="000000"/>
          <w:sz w:val="24"/>
        </w:rPr>
        <w:t xml:space="preserve">Each Covered Entity has </w:t>
      </w:r>
      <w:r>
        <w:rPr>
          <w:rFonts w:ascii="Times New Roman;serif" w:hAnsi="Times New Roman;serif"/>
          <w:b w:val="false"/>
          <w:strike/>
          <w:color w:val="FF0000"/>
          <w:sz w:val="24"/>
        </w:rPr>
        <w:t xml:space="preserve">(a) conducted its business in compliance with all Anti-Corruption Laws and (b) has </w:t>
      </w:r>
      <w:r>
        <w:rPr>
          <w:rFonts w:ascii="Times New Roman;serif" w:hAnsi="Times New Roman;serif"/>
          <w:b w:val="false"/>
          <w:color w:val="000000"/>
          <w:sz w:val="24"/>
        </w:rPr>
        <w:t>instituted</w:t>
      </w:r>
      <w:r>
        <w:rPr>
          <w:strike/>
          <w:color w:val="FF0000"/>
        </w:rPr>
        <w:t xml:space="preserve"> </w:t>
      </w:r>
      <w:r>
        <w:rPr>
          <w:rFonts w:ascii="Times New Roman;serif" w:hAnsi="Times New Roman;serif"/>
          <w:b w:val="false"/>
          <w:strike/>
          <w:color w:val="FF0000"/>
          <w:sz w:val="24"/>
        </w:rPr>
        <w:t>and</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maintains</w:t>
      </w:r>
      <w:r>
        <w:rPr>
          <w:rFonts w:ascii="Times New Roman;serif" w:hAnsi="Times New Roman;serif"/>
          <w:b w:val="false"/>
          <w:color w:val="0000FF"/>
          <w:sz w:val="24"/>
          <w:u w:val="single"/>
        </w:rPr>
        <w:t>, and enforces</w:t>
      </w:r>
      <w:r>
        <w:rPr>
          <w:color w:val="000000"/>
        </w:rPr>
        <w:t xml:space="preserve"> </w:t>
      </w:r>
      <w:r>
        <w:rPr>
          <w:rFonts w:ascii="Times New Roman;serif" w:hAnsi="Times New Roman;serif"/>
          <w:b w:val="false"/>
          <w:color w:val="000000"/>
          <w:sz w:val="24"/>
        </w:rPr>
        <w:t xml:space="preserve">policies and procedures </w:t>
      </w:r>
      <w:r>
        <w:rPr>
          <w:rFonts w:ascii="Times New Roman;serif" w:hAnsi="Times New Roman;serif"/>
          <w:b w:val="false"/>
          <w:color w:val="0000FF"/>
          <w:sz w:val="24"/>
          <w:u w:val="single"/>
        </w:rPr>
        <w:t xml:space="preserve">reasonably </w:t>
      </w:r>
      <w:r>
        <w:rPr>
          <w:rFonts w:ascii="Times New Roman;serif" w:hAnsi="Times New Roman;serif"/>
          <w:b w:val="false"/>
          <w:color w:val="000000"/>
          <w:sz w:val="24"/>
        </w:rPr>
        <w:t xml:space="preserve">designed to ensure compliance with </w:t>
      </w:r>
      <w:r>
        <w:rPr>
          <w:rFonts w:ascii="Times New Roman;serif" w:hAnsi="Times New Roman;serif"/>
          <w:b w:val="false"/>
          <w:strike/>
          <w:color w:val="FF0000"/>
          <w:sz w:val="24"/>
        </w:rPr>
        <w:t>such Laws.</w:t>
      </w:r>
      <w:r>
        <w:rPr>
          <w:rFonts w:ascii="Times New Roman;serif" w:hAnsi="Times New Roman;serif"/>
          <w:b w:val="false"/>
          <w:color w:val="0000FF"/>
          <w:sz w:val="24"/>
          <w:u w:val="single"/>
        </w:rPr>
        <w:t>applicable International Trade Laws, Sanctions, Anti-Money Laundering Laws and Anti-Corruption Laws. There is no Covered Property included in the Supporting Assets.</w:t>
      </w:r>
      <w:r>
        <w:rPr>
          <w:color w:val="00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(o)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Perfection Representations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This Agreement creates a valid and continuing security interest (as defined in the applicable UCC or PPSA) in such Person’s right, title and interest in, to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under the Supporting Assets which (A) security interest has been perfected and is enforceable against creditors of and purchasers from such Person and (B) will be free of all Adverse Claims other than Permitted Adverse Claims in any Supporting Assets.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U.S. Receivables, UK Receivables and Swiss Receivables constitute “accounts” or “general intangibles” within the meaning of Section 9-102 of the UCC. The Canadian Receivables constitute “accounts” within the meaning of the PPSA.</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Seller owns and has good and marketable title to the U.S. Receivables, the Swiss Receivables and the UK Receivables and their Related Security free and clear of any Adverse Claim of any Person. The Canadian Guarantor owns and has good and marketable equitable title to the Canadian Receivables and all Related Security with respect to the Canadian Receivables, free and clear of any Adverse Claim of any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All appropriate financing statements, financing statement amendments and continuation statements have been filed in the proper filing office in the appropriate jurisdictions under applicable Law in order to perfect (and continue the perfection of) (A) the sale and contribution of the Receivables and Related Security from each Originator to the Aggregator Seller pursuant to the First Tier Transfer Agreement, (B) the sale or contribution of the Receivables and Related Security from the Aggregator and the Originators to the Seller or the Canadian Guarantor, as applicable, pursuant to the Transfer Agreements and, subject to Section 1.6 of the Canadian Transfer Agreement, the Quebec Assignment Agreement (C) the Seller’s sale and grant of a security interest in the Supporting Assets to the Administrative Agent pursuant to this Agreement and the UK Security Agreement and (D) the Canadian Guarantor’s grant of a security interest in the Canadian Receivables and Related Security with respect to the Canadian Receivables to the Administrative Agent pursuant to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Other than the security interest granted to the Administrative Agent pursuant to this Agreement, such Person has not pledged, assigned, sold, granted a security interest in, or otherwise conveyed any of the Supporting Assets except as permitted by this Agreement and the other Transaction Documents. Such Person has not authorized the filing of and is not aware of any financing statements filed against such Person that include a description of collateral covering any Supporting Assets other than any financing statement (i) in favor of the Administrative Agent or (ii) that has been terminated. Such Person is not aware of any judgment lien, ERISA lien or tax lien filings against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    Notwithstanding any other provision of this Agreement or any other Transaction Document, the representations contained in this </w:t>
      </w:r>
      <w:r>
        <w:rPr>
          <w:rFonts w:ascii="Times New Roman;serif" w:hAnsi="Times New Roman;serif"/>
          <w:b w:val="false"/>
          <w:color w:val="000000"/>
          <w:sz w:val="24"/>
          <w:u w:val="single"/>
        </w:rPr>
        <w:t>Section 6.01(p)</w:t>
      </w:r>
      <w:r>
        <w:rPr>
          <w:color w:val="000000"/>
        </w:rPr>
        <w:t xml:space="preserve"> </w:t>
      </w:r>
      <w:r>
        <w:rPr>
          <w:rFonts w:ascii="Times New Roman;serif" w:hAnsi="Times New Roman;serif"/>
          <w:b w:val="false"/>
          <w:color w:val="000000"/>
          <w:sz w:val="24"/>
        </w:rPr>
        <w:t>shall be continuing and remain in full force and effect until the Final Payout Date.</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The Lock-Boxes and Collection Accounts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Nature of Collection Accounts</w:t>
      </w:r>
      <w:r>
        <w:rPr>
          <w:rFonts w:ascii="Times New Roman;serif" w:hAnsi="Times New Roman;serif"/>
          <w:b w:val="false"/>
          <w:color w:val="000000"/>
          <w:sz w:val="24"/>
        </w:rPr>
        <w:t>. Each Collection Account constitutes a “deposit account” within the meaning of the applicable UCC.</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Ownership</w:t>
      </w:r>
      <w:r>
        <w:rPr>
          <w:rFonts w:ascii="Times New Roman;serif" w:hAnsi="Times New Roman;serif"/>
          <w:b w:val="false"/>
          <w:color w:val="000000"/>
          <w:sz w:val="24"/>
        </w:rPr>
        <w:t>. Each Lock-Box and Collection Account (other than the Canadian Collection Account and associated Lock-Box) is in the name of the Seller, and the Seller owns and has good and marketable title to the Collection Accounts free and clear of any Adverse Claim. Each Canadian Collection Account and associated Lock-Box is in the name of the Canadian Guarantor, and the Canadian Guarantor owns and will have or has good and marketable title to the Canadian Collection Accounts free and clear of any Adverse Claim. Each of the UK Originator, the Swiss Originator and the Canadian Originators owns and has good and marketable title to its applicable Foreign Originator Account free and clear of any Adverse Claim.</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Perfection</w:t>
      </w:r>
      <w:r>
        <w:rPr>
          <w:rFonts w:ascii="Times New Roman;serif" w:hAnsi="Times New Roman;serif"/>
          <w:b w:val="false"/>
          <w:color w:val="000000"/>
          <w:sz w:val="24"/>
        </w:rPr>
        <w:t xml:space="preserve">. Such Person has delivered to the Administrative Agent a fully executed Account Control Agreement (except as otherwise permitted by </w:t>
      </w:r>
      <w:r>
        <w:rPr>
          <w:rFonts w:ascii="Times New Roman;serif" w:hAnsi="Times New Roman;serif"/>
          <w:b w:val="false"/>
          <w:color w:val="000000"/>
          <w:sz w:val="24"/>
          <w:u w:val="single"/>
        </w:rPr>
        <w:t>Section 7.04</w:t>
      </w:r>
      <w:r>
        <w:rPr>
          <w:rFonts w:ascii="Times New Roman;serif" w:hAnsi="Times New Roman;serif"/>
          <w:b w:val="false"/>
          <w:color w:val="000000"/>
          <w:sz w:val="24"/>
        </w:rPr>
        <w:t xml:space="preserve">)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such Person, the Servicers or any other Person. The Administrative Agent has (i) the right to assume exclusive operational control over the Collection Accounts and (ii) has “control” (as defined in Section 9-104 of the UCC) over each U.S. Collection Account (except as otherwise permitted by </w:t>
      </w:r>
      <w:r>
        <w:rPr>
          <w:rFonts w:ascii="Times New Roman;serif" w:hAnsi="Times New Roman;serif"/>
          <w:b w:val="false"/>
          <w:color w:val="000000"/>
          <w:sz w:val="24"/>
          <w:u w:val="single"/>
        </w:rPr>
        <w:t>Section 7.04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Instructions</w:t>
      </w:r>
      <w:r>
        <w:rPr>
          <w:rFonts w:ascii="Times New Roman;serif" w:hAnsi="Times New Roman;serif"/>
          <w:b w:val="false"/>
          <w:color w:val="000000"/>
          <w:sz w:val="24"/>
        </w:rPr>
        <w:t>. Neither the Lock-Boxes nor the Collection Accounts are in the name of any Person other than the Seller or the Canadian Guarantor, as applicable. Neither the Seller, the Canadian Guarantor nor the Servicers have consented to the applicable Collection Account Bank complying with instructions of any Person other than the Administrative Agent. None of the Foreign Originator Accounts are in the name of any Person other than the UK Originator, the Swiss Originator or the Canadian Originators,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Ordinary Course of Business</w:t>
      </w:r>
      <w:r>
        <w:rPr>
          <w:rFonts w:ascii="Times New Roman;serif" w:hAnsi="Times New Roman;serif"/>
          <w:b w:val="false"/>
          <w:color w:val="000000"/>
          <w:sz w:val="24"/>
        </w:rPr>
        <w:t>. Each remittance of Collections by or on behalf of such Person to the Purchaser Parties under this Agreement will have been (i) in payment of a debt incurred by such Person in the ordinary course of business or financial affairs of such Person and (ii) made in the ordinary course of business or financial affairs of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Such Person has complied in all material respects with all Laws to which it or its properties may be subject, except in such instances in which the failure to so comply, either individually or in the aggregate, could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Bulk Sales Act</w:t>
      </w:r>
      <w:r>
        <w:rPr>
          <w:rFonts w:ascii="Times New Roman;serif" w:hAnsi="Times New Roman;serif"/>
          <w:b w:val="false"/>
          <w:color w:val="000000"/>
          <w:sz w:val="24"/>
        </w:rPr>
        <w:t>. No transaction contemplated by this Agreement requires compliance by it with any bulk sales act or similar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Each Receivable included as an Eligible Receivable in the calculation of the Net Receivables Pool Balance as of any date is an Eligible Receivable as of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Such Person has (i) timely filed all tax returns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w:t>
      </w:r>
    </w:p>
    <w:p>
      <w:pPr>
        <w:pStyle w:val="TextBody"/>
        <w:bidi w:val="0"/>
        <w:spacing w:lineRule="auto" w:line="288" w:before="0" w:after="24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Tax Status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Seller (i) is, and shall at all relevant times continue to be, a “disregarded entity” within the meaning of U.S. Treasury Regulation § 301.7701-3 for U.S. federal income tax purposes that is wholly owned by a “United States person” (within the meaning of Section 7701(a)(30) of the Code) and (ii) is not and will not at any relevant time become an association (or publicly traded partnership) taxable as a corporation for U.S. federal income tax purposes. The Seller is not subject to any Tax in any jurisdiction outside the United States. The Seller is not subject to material Taxes based on net income or gross receipts imposed by a state or local taxing authority.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Canadian Guarantor is, and at all relevant times has been since formation, a “Canadian corporation” for the purposes of the ITA. The Canadian Guarantor is not subject to (i) any Tax in any jurisdiction outside Canada, and (ii) any withholding Tax in Canada.</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The Canadian Guarantor is eligible for the benefits of the US-Canada Tax Treaty, in particular, but not limited to, with regards to any fees it receives under the Transaction Documents.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such Person, each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Other Transaction Documents</w:t>
      </w:r>
      <w:r>
        <w:rPr>
          <w:rFonts w:ascii="Times New Roman;serif" w:hAnsi="Times New Roman;serif"/>
          <w:b w:val="false"/>
          <w:color w:val="000000"/>
          <w:sz w:val="24"/>
        </w:rPr>
        <w:t>. Each representation and warranty made by such Person under each other Transaction Document to which it is a party is true and correct in all material respects as of the date when made, unless such representation and warranty by its terms refer to an earlier date, in which case it is true and correct in all material respects on and as of such earlier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No Linked Accounts</w:t>
      </w:r>
      <w:r>
        <w:rPr>
          <w:rFonts w:ascii="Times New Roman;serif" w:hAnsi="Times New Roman;serif"/>
          <w:b w:val="false"/>
          <w:color w:val="000000"/>
          <w:sz w:val="24"/>
        </w:rPr>
        <w:t>. Except for any Permitted Linked Account, there are no Linked Accounts with respect to any Collection Account.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9"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Liquidity Coverage Ratio</w:t>
      </w:r>
      <w:r>
        <w:rPr>
          <w:rFonts w:ascii="Times New Roman;serif" w:hAnsi="Times New Roman;serif"/>
          <w:b w:val="false"/>
          <w:color w:val="000000"/>
          <w:sz w:val="24"/>
        </w:rPr>
        <w:t>. Such Person has not, does not and will not during this Agreement issue any LCR Security. The Seller further represents and warrants that its assets and liabilities are consolidated with the assets and liabilities of the Parent for purposes of GAAP.</w:t>
      </w:r>
    </w:p>
    <w:p>
      <w:pPr>
        <w:pStyle w:val="TextBody"/>
        <w:bidi w:val="0"/>
        <w:spacing w:lineRule="auto" w:line="288" w:before="0" w:after="24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Certificate of Beneficial Ownership</w:t>
      </w:r>
      <w:r>
        <w:rPr>
          <w:rFonts w:ascii="Times New Roman;serif" w:hAnsi="Times New Roman;serif"/>
          <w:b w:val="false"/>
          <w:color w:val="000000"/>
          <w:sz w:val="24"/>
        </w:rPr>
        <w:t>. The Certificate of Beneficial Ownership executed and delivered to the Administrative Agent and the Purchasers for such Person on or prior to the Closing Date, as updated from time to time in accordance with this Agreement, is accurate, complete and correct as of the Closing Date and as of the date any such update is delivered.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Plan Assets</w:t>
      </w:r>
      <w:r>
        <w:rPr>
          <w:rFonts w:ascii="Times New Roman;serif" w:hAnsi="Times New Roman;serif"/>
          <w:b w:val="false"/>
          <w:color w:val="000000"/>
          <w:sz w:val="24"/>
        </w:rPr>
        <w:t>. The assets of such Person do not constitute “plan assets” (within the meaning of 29 CFR § 2510.3-101, as modified by Section 3(42) of ERISA) and such Person is not subject to any applicable law that is similar to the provisions of Section 406 of ERISA or Section 4975 of the Code that would be violated by the transactions contemplated by this Agreement or any other Transaction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ERISA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such Person, nothing has occurred which would prevent, or cause the loss of, such qualification. Seller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Except as would not reasonably be expected, individually or in the aggregate, to have a Material Adverse Effect,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such Person nor any member of the ERISA Group has incurred, or reasonably expects to incur, any liability under Title IV of ERISA with respect to any Pension Plan (other than premiums due and not delinquent under Section 4007 of ERISA); (D) neither such Person nor any member of the ERISA Group has incurred, or reasonably expects to incur, any liability (and no event has occurred which, with the giving of notice under Section 4219 of ERISA, would result in such liability) under Section 4201 of ERISA, with respect to a Multiemployer Plan; (E) neither such Person nor any member of the ERISA Group has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received notice that a Multiemployer Plan is insolvent; (F) neither such Person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The SPV Entity-Related Parties have delivered to the Administrative Agent copies of the Parent’s audited consolidated year-end balance sheet, statement of income or operations, shareholders’ equity and cash flows, for and as of the end of the fiscal year ended December 31, 2022. In addition, the SPV Entity-Related Parties have delivered to the Administrative Agent copies of the Parent’s unaudited consolidated interim balance sheet, statement of income or operations, shareholders’ equity and cash flows, for the fiscal year to date and as of the end of the fiscal quarter ended September 30, 2023 (all such annual and interim statements being collectively referred to as the “</w:t>
      </w:r>
      <w:r>
        <w:rPr>
          <w:rFonts w:ascii="Times New Roman;serif" w:hAnsi="Times New Roman;serif"/>
          <w:b w:val="false"/>
          <w:color w:val="000000"/>
          <w:sz w:val="24"/>
          <w:u w:val="single"/>
        </w:rPr>
        <w:t>Statements</w:t>
      </w:r>
      <w:r>
        <w:rPr>
          <w:color w:val="000000"/>
        </w:rPr>
        <w:t>”</w:t>
      </w:r>
      <w:r>
        <w:rPr>
          <w:rFonts w:ascii="Times New Roman;serif" w:hAnsi="Times New Roman;serif"/>
          <w:b w:val="false"/>
          <w:color w:val="000000"/>
          <w:sz w:val="24"/>
        </w:rPr>
        <w:t>).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Financial Projections</w:t>
      </w:r>
      <w:r>
        <w:rPr>
          <w:rFonts w:ascii="Times New Roman;serif" w:hAnsi="Times New Roman;serif"/>
          <w:b w:val="false"/>
          <w:color w:val="000000"/>
          <w:sz w:val="24"/>
        </w:rPr>
        <w:t>. The Seller has delivered to the Administrative Agent a summary of projected financial statements (including statements of operations and cash flow together with a detailed explanation of the assumptions used in preparing such projected financial statements) of the Parent and its Subsidiaries for the period from the Closing Date through December 21, 2027 derived from various assumptions of the SPV Entity-Related Parties’ management (the “</w:t>
      </w:r>
      <w:r>
        <w:rPr>
          <w:rFonts w:ascii="Times New Roman;serif" w:hAnsi="Times New Roman;serif"/>
          <w:b w:val="false"/>
          <w:color w:val="000000"/>
          <w:sz w:val="24"/>
          <w:u w:val="single"/>
        </w:rPr>
        <w:t>Projections</w:t>
      </w:r>
      <w:r>
        <w:rPr>
          <w:color w:val="000000"/>
        </w:rPr>
        <w:t>”</w:t>
      </w:r>
      <w:r>
        <w:rPr>
          <w:rFonts w:ascii="Times New Roman;serif" w:hAnsi="Times New Roman;serif"/>
          <w:b w:val="false"/>
          <w:color w:val="000000"/>
          <w:sz w:val="24"/>
        </w:rPr>
        <w:t>). The Projections represent a reasonable range of possible results in light of the history of the business, present and foreseeable conditions and the intentions of the SPV Entity-Related Parties’ management, it being understood that (A) such Projections as to future events and not to be viewed as facts, (B) such Projections are subject to significant uncertainties and contingencies, many of which are beyond the SPV Entity-Related Parties’ control, and (C) no assurance can be given that the Projections will be realized.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Permitted Securitization Financing</w:t>
      </w:r>
      <w:r>
        <w:rPr>
          <w:rFonts w:ascii="Times New Roman;serif" w:hAnsi="Times New Roman;serif"/>
          <w:b w:val="false"/>
          <w:color w:val="000000"/>
          <w:sz w:val="24"/>
        </w:rPr>
        <w:t xml:space="preserve">. The facility established by this Agreement and the other Transaction Documents constitutes a “Permitted Securitization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Financing” under and as defined in the First Lien Credit Agreement as in effect on the relevant date of determination, and such facility is permitted by the First Lien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(gg)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such Person has provided personal data (as defined in the relevant Data Protection Laws) to the Administrative Agent and/or the Purchasers, it has provided all notices required to, and obtained all consents (if required) from, data subjects (as defined in the relevant Data Protection Laws) to enable the use, disclosure and processing of such personal data (as defined in the relevant Data Protection Laws) by such Person, the Administrative Agent and the Purchasers in accordance with their respective obligations under applicable Data Protection Laws for the purposes contemplated under the Transaction Documents.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6.02 </w:t>
      </w:r>
      <w:r>
        <w:rPr>
          <w:rFonts w:ascii="Times New Roman;serif" w:hAnsi="Times New Roman;serif"/>
          <w:b w:val="false"/>
          <w:color w:val="000000"/>
          <w:sz w:val="24"/>
          <w:u w:val="single"/>
        </w:rPr>
        <w:t>Representations and Warranties of the Servicers</w:t>
      </w:r>
      <w:r>
        <w:rPr>
          <w:rFonts w:ascii="Times New Roman;serif" w:hAnsi="Times New Roman;serif"/>
          <w:b w:val="false"/>
          <w:color w:val="000000"/>
          <w:sz w:val="24"/>
        </w:rPr>
        <w:t>. Each Servicer represents and warrants to each Purchaser Party as of the Closing Date, on each Settlement Date and on each day that an Investment or Release shall have occurred: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Organization and Good Standing</w:t>
      </w:r>
      <w:r>
        <w:rPr>
          <w:rFonts w:ascii="Times New Roman;serif" w:hAnsi="Times New Roman;serif"/>
          <w:b w:val="false"/>
          <w:color w:val="000000"/>
          <w:sz w:val="24"/>
        </w:rPr>
        <w:t>. In the case of the U.S. Servicer, it is a duly organized and validly existing corporation in good standing under the laws of the State of Delaware, with the power and authority under its organizational documents and under the laws of Delaware to own its properties and to conduct its business as such properties are currently owned and such business is presently conducted. In the case of the UK Servicer, it is a duly organized and validly existing private limited company registered under the laws of England and Wales, with the power and authority under its organizational documents and under the laws of England and Wales to own its properties and to conduct its business as such properties are currently owned and such business is presently conducted. In the case of the Swiss Servicer, it is a duly organized and validly existing limited liability company registered under the laws of Switzerland, with the power and authority under its organizational documents and under the laws of Switzerland to own its properties and to conduct its business as such properties are currently owned and such business is presently conducted. In the case of the Canadian Servicer, it is a duly organized and validly existing company registered under the laws of the Province of British Columbia, with the power and authority under its organizational documents and under the laws of the Province of British Columbia to own its properties and to conduct its business as such properties are currently owned and such business is presently conducted.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Due Qualification</w:t>
      </w:r>
      <w:r>
        <w:rPr>
          <w:rFonts w:ascii="Times New Roman;serif" w:hAnsi="Times New Roman;serif"/>
          <w:b w:val="false"/>
          <w:color w:val="000000"/>
          <w:sz w:val="24"/>
        </w:rPr>
        <w:t>. Such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Power and Authority; Due Authorization</w:t>
      </w:r>
      <w:r>
        <w:rPr>
          <w:rFonts w:ascii="Times New Roman;serif" w:hAnsi="Times New Roman;serif"/>
          <w:b w:val="false"/>
          <w:color w:val="000000"/>
          <w:sz w:val="24"/>
        </w:rPr>
        <w:t xml:space="preserve">. Such Servicer has all necessary power and authority to (i) execute and deliver this Agreement and the other Transaction Documents to which it is a party and (ii) perform its obligations under this Agreement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Transaction Documents to which it is a party and the execution, delivery and performance of, and the consummation of the transactions provided for in, this Agreement and the other Transaction Documents to which it is a party have been duly authorized by such Servicer by all necessary action.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Binding Obligations</w:t>
      </w:r>
      <w:r>
        <w:rPr>
          <w:rFonts w:ascii="Times New Roman;serif" w:hAnsi="Times New Roman;serif"/>
          <w:b w:val="false"/>
          <w:color w:val="000000"/>
          <w:sz w:val="24"/>
        </w:rPr>
        <w:t>. This Agreement and each of the other Transaction Documents to which it is a party has been duly authorized, validly executed and delivered by such Servicer and, when executed and delivered by each other party thereto, constitutes the legal, valid and binding obligations of such Servicer, enforceable against such Servicer in accordance with their respective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No Conflict or Violation</w:t>
      </w:r>
      <w:r>
        <w:rPr>
          <w:rFonts w:ascii="Times New Roman;serif" w:hAnsi="Times New Roman;serif"/>
          <w:b w:val="false"/>
          <w:color w:val="000000"/>
          <w:sz w:val="24"/>
        </w:rPr>
        <w:t>. The execution and delivery of this Agreement and each other Transaction Document to which such Servicer is a party, the performance and consummation of the transactions contemplated by this Agreement and the other Transaction Documents and the fulfillment of the terms of this Agreement and the other Transaction Documents by such Servicer will not (i) conflict with, result in any breach of any of the terms or provisions of, or constitute (with or without notice or lapse of time or both) a default under, the organizational documents of such Servicer or any indenture, sale agreement, credit agreement (including the First Lien Credit Agreement), loan agreement, security agreement, mortgage, deed of trust or other agreement or instrument to which such Servicer is a party or by which it or any of its property is bound, (ii) result in the creation or imposition of any Adverse Claim other than Permitted Adverse Claim upon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 with respect to such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Litigation and Other Proceedings</w:t>
      </w:r>
      <w:r>
        <w:rPr>
          <w:rFonts w:ascii="Times New Roman;serif" w:hAnsi="Times New Roman;serif"/>
          <w:b w:val="false"/>
          <w:color w:val="000000"/>
          <w:sz w:val="24"/>
        </w:rPr>
        <w:t>. There is no action, suit, proceeding or investigation pending, or to such Servicer’s knowledge threatened in writing, against such Servicer before any Official Body: (i) asserting the invalidity of this Agreement or any of the other Transaction Documents; (ii) seeking to prevent the consummation of any of the transactions contemplated by this Agreement or any other Transaction Document; or (iii) seeking any determination or ruling that would reasonably be expected to materially and adversely affect the performance by such Servicer of its obligations under, or the validity or enforceability of, this Agreement or any of the other Transaction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No Consents</w:t>
      </w:r>
      <w:r>
        <w:rPr>
          <w:rFonts w:ascii="Times New Roman;serif" w:hAnsi="Times New Roman;serif"/>
          <w:b w:val="false"/>
          <w:color w:val="000000"/>
          <w:sz w:val="24"/>
        </w:rPr>
        <w:t xml:space="preserve">. Such Servicer is not required to obtain the consent of any other party or any consent, license, approval, registration, authorization or declaration of or with any Official Body in connection with the execution, delivery, or performance of this Agreement or any other Transaction Document to which it is a party that has not already been obtained, except where the failure to obtain such consent, license, approval, registration, authorization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declaration could not reasonably be expected to have a Material Adverse Effect with respect to such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Such 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Accuracy of Information</w:t>
      </w:r>
      <w:r>
        <w:rPr>
          <w:rFonts w:ascii="Times New Roman;serif" w:hAnsi="Times New Roman;serif"/>
          <w:b w:val="false"/>
          <w:color w:val="000000"/>
          <w:sz w:val="24"/>
        </w:rPr>
        <w:t>. All written information (including Pool Reports, Investment Requests, certificates, reports, statements, documents and other information) (other than forward looking information and information of a general economic nature or general industry nature) furnished to the Administrative Agent or any other Purchaser Party by such Servicer pursuant to any provision of this Agreement or any other Transaction Document, or in connection with or pursuant to any amendment or modification of, or waiver under, this Agreement or any other Transaction Document, are, at the time the same are so furnished (or as of any other date specified therein), when taken as a whole, complete and correct in all material respects on the date the same are furnished to the Administrative Agent or such other Purchaser Party, and do not contain any material misstatement of fact or omit to state a material fact necessary to make the statements contained therein not misleading.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Location of Records</w:t>
      </w:r>
      <w:r>
        <w:rPr>
          <w:rFonts w:ascii="Times New Roman;serif" w:hAnsi="Times New Roman;serif"/>
          <w:b w:val="false"/>
          <w:color w:val="000000"/>
          <w:sz w:val="24"/>
        </w:rPr>
        <w:t>. (i) The offices where the U.S. Servicer keeps all of its records relating to the servicing of the Pool Receivables are located at 1718 Dry Creek Way, Suite #115, San Antonio, TX 78259; (ii) the offices where the UK Servicer keeps all of its records relating to the servicing of the Pool Receivables are located at Unit 2, 6 Millington Road, Hyde Park Hayes, Middlesex, UB3 4AZ, United Kingdom; (iii) the offices where the Swiss Servicer keeps all of its records relating to the servicing of the Pool Receivables are located at Baslerstrasse 30, 8048 Zurich, Switzerland; and (iv) the offices where the Canadian Servicer keeps all of its records relating to the servicing of the Pool Receivables are located at C/O LABARGE WEINSTEIN LLP, 501-321 Water Street, Vancouver, BC V6B 1B8, Canada.</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Credit and Collection Policy</w:t>
      </w:r>
      <w:r>
        <w:rPr>
          <w:rFonts w:ascii="Times New Roman;serif" w:hAnsi="Times New Roman;serif"/>
          <w:b w:val="false"/>
          <w:color w:val="000000"/>
          <w:sz w:val="24"/>
        </w:rPr>
        <w:t>. Such Servicer has complied in all material respects with the Credit and Collection Policy with regard to each Pool Receivable and the related Contracts.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Eligible Receivables</w:t>
      </w:r>
      <w:r>
        <w:rPr>
          <w:rFonts w:ascii="Times New Roman;serif" w:hAnsi="Times New Roman;serif"/>
          <w:b w:val="false"/>
          <w:color w:val="000000"/>
          <w:sz w:val="24"/>
        </w:rPr>
        <w:t>. Each Receivable included as an Eligible Receivable in the calculation of the Net Receivables Pool Balance as of any date is an Eligible Receivable as of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Servicing Programs</w:t>
      </w:r>
      <w:r>
        <w:rPr>
          <w:rFonts w:ascii="Times New Roman;serif" w:hAnsi="Times New Roman;serif"/>
          <w:b w:val="false"/>
          <w:color w:val="000000"/>
          <w:sz w:val="24"/>
        </w:rPr>
        <w:t>. No license or approval is required for the Administrative Agent’s use of any software or other computer program used by such Servicer, any Originator or any Sub-Servicer in the servicing of the Pool Receivables, other than those which have been obtained and are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Servicing of Pool Receivables</w:t>
      </w:r>
      <w:r>
        <w:rPr>
          <w:rFonts w:ascii="Times New Roman;serif" w:hAnsi="Times New Roman;serif"/>
          <w:b w:val="false"/>
          <w:color w:val="000000"/>
          <w:sz w:val="24"/>
        </w:rPr>
        <w:t>. Since the Closing Date there has been no material adverse change in the ability of such Servicer (whether directly or through a Sub-Servicer) to service and collect the Pool Receivables and the Related Security.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Other Transaction Documents</w:t>
      </w:r>
      <w:r>
        <w:rPr>
          <w:rFonts w:ascii="Times New Roman;serif" w:hAnsi="Times New Roman;serif"/>
          <w:b w:val="false"/>
          <w:color w:val="000000"/>
          <w:sz w:val="24"/>
        </w:rPr>
        <w:t>. Each representation and warranty made by such Servicer under each other Transaction Document to which it is a party (including each Transfer Agreement) is true and correct in all material respects as of the date when made, unless such representation and warranty by its terms refer to an earlier date, in which case it is terms refer to an earlier date, in which case.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Since December 31, 2022 there has been no Material Adverse Effect with respect to such Servicer.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Investment Company Act</w:t>
      </w:r>
      <w:r>
        <w:rPr>
          <w:rFonts w:ascii="Times New Roman;serif" w:hAnsi="Times New Roman;serif"/>
          <w:b w:val="false"/>
          <w:color w:val="000000"/>
          <w:sz w:val="24"/>
        </w:rPr>
        <w:t>. Such Servicer is not an “investment company,” or a company “controlled” by an “investment company,” within the meaning of the Investment Company Act.</w:t>
      </w:r>
    </w:p>
    <w:p>
      <w:pPr>
        <w:pStyle w:val="TextBody"/>
        <w:bidi w:val="0"/>
        <w:spacing w:lineRule="auto" w:line="288" w:before="0" w:after="240"/>
        <w:ind w:left="0" w:right="0" w:firstLine="1440"/>
        <w:jc w:val="both"/>
        <w:rPr/>
      </w:pPr>
      <w:r>
        <w:rPr>
          <w:rFonts w:ascii="Times New Roman;serif" w:hAnsi="Times New Roman;serif"/>
          <w:b w:val="false"/>
          <w:strike/>
          <w:color w:val="000000"/>
          <w:sz w:val="24"/>
        </w:rPr>
        <w:t>(r)    </w:t>
      </w:r>
      <w:r>
        <w:rPr>
          <w:rFonts w:ascii="Times New Roman;serif" w:hAnsi="Times New Roman;serif"/>
          <w:b w:val="false"/>
          <w:color w:val="000000"/>
          <w:sz w:val="24"/>
          <w:u w:val="single"/>
        </w:rPr>
        <w:t>Sanctions</w:t>
      </w:r>
      <w:r>
        <w:rPr>
          <w:strike/>
          <w:color w:val="FF0000"/>
          <w:u w:val="single"/>
        </w:rPr>
        <w:t xml:space="preserve"> </w:t>
      </w:r>
      <w:r>
        <w:rPr>
          <w:rFonts w:ascii="Times New Roman;serif" w:hAnsi="Times New Roman;serif"/>
          <w:b w:val="false"/>
          <w:strike/>
          <w:color w:val="FF0000"/>
          <w:sz w:val="24"/>
          <w:u w:val="single"/>
        </w:rPr>
        <w:t>and other Anti-Terrorism Laws</w:t>
      </w:r>
      <w:r>
        <w:rPr>
          <w:rFonts w:ascii="Times New Roman;serif" w:hAnsi="Times New Roman;serif"/>
          <w:b w:val="false"/>
          <w:strike/>
          <w:color w:val="FF0000"/>
          <w:sz w:val="24"/>
        </w:rPr>
        <w:t xml:space="preserve">. In the past three (3) years no: (a) Covered Entity, nor any employees, officers, directors, affiliates, consultants, brokers, or agents acting on a Covered Entity’s </w:t>
      </w:r>
      <w:r>
        <w:rPr>
          <w:rFonts w:ascii="Times New Roman;serif" w:hAnsi="Times New Roman;serif"/>
          <w:b w:val="false"/>
          <w:strike/>
          <w:color w:val="008000"/>
          <w:sz w:val="24"/>
        </w:rPr>
        <w:t>behalf in connection with this Agreement</w:t>
      </w:r>
      <w:r>
        <w:rPr>
          <w:rFonts w:ascii="Times New Roman;serif" w:hAnsi="Times New Roman;serif"/>
          <w:b w:val="false"/>
          <w:strike/>
          <w:color w:val="FF0000"/>
          <w:sz w:val="24"/>
        </w:rPr>
        <w:t>: (i</w:t>
      </w:r>
      <w:r>
        <w:rPr>
          <w:rFonts w:ascii="Times New Roman;serif" w:hAnsi="Times New Roman;serif"/>
          <w:b w:val="false"/>
          <w:color w:val="0000FF"/>
          <w:sz w:val="24"/>
          <w:u w:val="single"/>
        </w:rPr>
        <w:t>; International Trade, Anti-Money Laundering and Anti-Corruption Laws. No Covered Entity nor any of its directors, officers, or employees, nor, to the knowledge of any SPV Entity-Related Party, any agents or affiliates acting on behalf of any Covered Entity: (a</w:t>
      </w:r>
      <w:r>
        <w:rPr>
          <w:rFonts w:ascii="Times New Roman;serif" w:hAnsi="Times New Roman;serif"/>
          <w:b w:val="false"/>
          <w:color w:val="000000"/>
          <w:sz w:val="24"/>
        </w:rPr>
        <w:t xml:space="preserve">) is a Sanctioned Person; </w:t>
      </w:r>
      <w:r>
        <w:rPr>
          <w:rFonts w:ascii="Times New Roman;serif" w:hAnsi="Times New Roman;serif"/>
          <w:b w:val="false"/>
          <w:strike/>
          <w:color w:val="FF0000"/>
          <w:sz w:val="24"/>
        </w:rPr>
        <w:t>or (ii) directly, or</w:t>
      </w:r>
      <w:r>
        <w:rPr>
          <w:rFonts w:ascii="Times New Roman;serif" w:hAnsi="Times New Roman;serif"/>
          <w:b w:val="false"/>
          <w:color w:val="0000FF"/>
          <w:sz w:val="24"/>
          <w:u w:val="single"/>
        </w:rPr>
        <w:t>(b) does business in or with, or derives any of its income, directly or knowingly</w:t>
      </w:r>
      <w:r>
        <w:rPr>
          <w:color w:val="000000"/>
        </w:rPr>
        <w:t xml:space="preserve"> </w:t>
      </w:r>
      <w:r>
        <w:rPr>
          <w:rFonts w:ascii="Times New Roman;serif" w:hAnsi="Times New Roman;serif"/>
          <w:b w:val="false"/>
          <w:color w:val="000000"/>
          <w:sz w:val="24"/>
        </w:rPr>
        <w:t>indirectly</w:t>
      </w:r>
      <w:r>
        <w:rPr>
          <w:strike/>
          <w:color w:val="FF0000"/>
        </w:rPr>
        <w:t xml:space="preserve"> </w:t>
      </w:r>
      <w:r>
        <w:rPr>
          <w:rFonts w:ascii="Times New Roman;serif" w:hAnsi="Times New Roman;serif"/>
          <w:b w:val="false"/>
          <w:strike/>
          <w:color w:val="FF0000"/>
          <w:sz w:val="24"/>
        </w:rPr>
        <w:t>through any third party, is engaged in any transactions or other dealings with or for the benefit of</w:t>
      </w:r>
      <w:r>
        <w:rPr>
          <w:rFonts w:ascii="Times New Roman;serif" w:hAnsi="Times New Roman;serif"/>
          <w:b w:val="false"/>
          <w:color w:val="0000FF"/>
          <w:sz w:val="24"/>
          <w:u w:val="single"/>
        </w:rPr>
        <w:t>, from</w:t>
      </w:r>
      <w:r>
        <w:rPr>
          <w:color w:val="000000"/>
        </w:rPr>
        <w:t xml:space="preserve"> </w:t>
      </w:r>
      <w:r>
        <w:rPr>
          <w:rFonts w:ascii="Times New Roman;serif" w:hAnsi="Times New Roman;serif"/>
          <w:b w:val="false"/>
          <w:color w:val="000000"/>
          <w:sz w:val="24"/>
        </w:rPr>
        <w:t xml:space="preserve">any Sanctioned Person or </w:t>
      </w:r>
      <w:r>
        <w:rPr>
          <w:rFonts w:ascii="Times New Roman;serif" w:hAnsi="Times New Roman;serif"/>
          <w:b w:val="false"/>
          <w:color w:val="0000FF"/>
          <w:sz w:val="24"/>
          <w:u w:val="single"/>
        </w:rPr>
        <w:t xml:space="preserve">any </w:t>
      </w:r>
      <w:r>
        <w:rPr>
          <w:rFonts w:ascii="Times New Roman;serif" w:hAnsi="Times New Roman;serif"/>
          <w:b w:val="false"/>
          <w:color w:val="000000"/>
          <w:sz w:val="24"/>
        </w:rPr>
        <w:t>Sanctioned Jurisdiction</w:t>
      </w:r>
      <w:r>
        <w:rPr>
          <w:rFonts w:ascii="Times New Roman;serif" w:hAnsi="Times New Roman;serif"/>
          <w:b w:val="false"/>
          <w:strike/>
          <w:color w:val="FF0000"/>
          <w:sz w:val="24"/>
        </w:rPr>
        <w:t>, or any transactions or other dealings that otherwise are prohibited by any Anti-Terrorism Laws; and (b) Supporting Assets are Embargoed Property.</w:t>
      </w:r>
    </w:p>
    <w:p>
      <w:pPr>
        <w:pStyle w:val="TextBody"/>
        <w:bidi w:val="0"/>
        <w:spacing w:lineRule="auto" w:line="288" w:before="0" w:after="240"/>
        <w:ind w:left="0" w:right="0" w:firstLine="1440"/>
        <w:jc w:val="both"/>
        <w:rPr/>
      </w:pPr>
      <w:r>
        <w:rPr>
          <w:rFonts w:ascii="Times New Roman;serif" w:hAnsi="Times New Roman;serif"/>
          <w:b w:val="false"/>
          <w:strike/>
          <w:color w:val="FF0000"/>
          <w:sz w:val="24"/>
        </w:rPr>
        <w:t xml:space="preserve">(s) </w:t>
      </w:r>
      <w:r>
        <w:rPr>
          <w:rFonts w:ascii="Times New Roman;serif" w:hAnsi="Times New Roman;serif"/>
          <w:b w:val="false"/>
          <w:color w:val="0000FF"/>
          <w:sz w:val="24"/>
          <w:u w:val="single"/>
        </w:rPr>
        <w:t xml:space="preserve">; or (c) is in violation of, or is, directly or indirectly, taking any action that could cause any Covered Entity to be in violation of, applicable International Trade Laws, Sanctions, Anti-Money Laundering Laws, or </w:t>
      </w:r>
      <w:r>
        <w:rPr>
          <w:rFonts w:ascii="Times New Roman;serif" w:hAnsi="Times New Roman;serif"/>
          <w:b w:val="false"/>
          <w:color w:val="000000"/>
          <w:sz w:val="24"/>
        </w:rPr>
        <w:t xml:space="preserve">Anti-Corruption Laws. </w:t>
      </w:r>
      <w:r>
        <w:rPr>
          <w:rFonts w:ascii="Times New Roman;serif" w:hAnsi="Times New Roman;serif"/>
          <w:b w:val="false"/>
          <w:color w:val="0000FF"/>
          <w:sz w:val="24"/>
          <w:u w:val="single"/>
        </w:rPr>
        <w:t>No Covered Entity nor any of its directors or officers, nor to the knowledge of any SPV Entity-Related Party, any employees, agents, or affiliates acting on behalf of any Covered Entity: is (x) in receipt of any written notice or communication from any Compliance Authority that alleges, or otherwise pertains to, a violation of any International Trade Laws, Sanctions, Anti-Money Laundering Laws or Anti-Corruption Laws; or (y) is the target or subject of any investigation, or has received any written request for information alleging a violation of any International Trade Laws, Sanctions, Anti-Money Laundering Laws or Anti-Corruption Laws by an Official Body.</w:t>
      </w:r>
      <w:r>
        <w:rPr>
          <w:color w:val="000000"/>
        </w:rPr>
        <w:t xml:space="preserve"> </w:t>
      </w:r>
      <w:r>
        <w:rPr>
          <w:rFonts w:ascii="Times New Roman;serif" w:hAnsi="Times New Roman;serif"/>
          <w:b w:val="false"/>
          <w:color w:val="000000"/>
          <w:sz w:val="24"/>
        </w:rPr>
        <w:t xml:space="preserve">Each Covered Entity has </w:t>
      </w:r>
      <w:r>
        <w:rPr>
          <w:rFonts w:ascii="Times New Roman;serif" w:hAnsi="Times New Roman;serif"/>
          <w:b w:val="false"/>
          <w:strike/>
          <w:color w:val="FF0000"/>
          <w:sz w:val="24"/>
        </w:rPr>
        <w:t xml:space="preserve">(a) conducted its business in compliance with all Anti-Corruption Laws and (b) has </w:t>
      </w:r>
      <w:r>
        <w:rPr>
          <w:rFonts w:ascii="Times New Roman;serif" w:hAnsi="Times New Roman;serif"/>
          <w:b w:val="false"/>
          <w:color w:val="000000"/>
          <w:sz w:val="24"/>
        </w:rPr>
        <w:t>instituted</w:t>
      </w:r>
      <w:r>
        <w:rPr>
          <w:strike/>
          <w:color w:val="FF0000"/>
        </w:rPr>
        <w:t xml:space="preserve"> </w:t>
      </w:r>
      <w:r>
        <w:rPr>
          <w:rFonts w:ascii="Times New Roman;serif" w:hAnsi="Times New Roman;serif"/>
          <w:b w:val="false"/>
          <w:strike/>
          <w:color w:val="FF0000"/>
          <w:sz w:val="24"/>
        </w:rPr>
        <w:t>and</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maintains</w:t>
      </w:r>
      <w:r>
        <w:rPr>
          <w:rFonts w:ascii="Times New Roman;serif" w:hAnsi="Times New Roman;serif"/>
          <w:b w:val="false"/>
          <w:color w:val="0000FF"/>
          <w:sz w:val="24"/>
          <w:u w:val="single"/>
        </w:rPr>
        <w:t>, and enforces</w:t>
      </w:r>
      <w:r>
        <w:rPr>
          <w:color w:val="000000"/>
        </w:rPr>
        <w:t xml:space="preserve"> </w:t>
      </w:r>
      <w:r>
        <w:rPr>
          <w:rFonts w:ascii="Times New Roman;serif" w:hAnsi="Times New Roman;serif"/>
          <w:b w:val="false"/>
          <w:color w:val="000000"/>
          <w:sz w:val="24"/>
        </w:rPr>
        <w:t xml:space="preserve">policies and procedures </w:t>
      </w:r>
      <w:r>
        <w:rPr>
          <w:rFonts w:ascii="Times New Roman;serif" w:hAnsi="Times New Roman;serif"/>
          <w:b w:val="false"/>
          <w:color w:val="0000FF"/>
          <w:sz w:val="24"/>
          <w:u w:val="single"/>
        </w:rPr>
        <w:t xml:space="preserve">reasonably </w:t>
      </w:r>
      <w:r>
        <w:rPr>
          <w:rFonts w:ascii="Times New Roman;serif" w:hAnsi="Times New Roman;serif"/>
          <w:b w:val="false"/>
          <w:color w:val="000000"/>
          <w:sz w:val="24"/>
        </w:rPr>
        <w:t xml:space="preserve">designed to ensure compliance with </w:t>
      </w:r>
      <w:r>
        <w:rPr>
          <w:rFonts w:ascii="Times New Roman;serif" w:hAnsi="Times New Roman;serif"/>
          <w:b w:val="false"/>
          <w:strike/>
          <w:color w:val="FF0000"/>
          <w:sz w:val="24"/>
        </w:rPr>
        <w:t>such Laws.</w:t>
      </w:r>
      <w:r>
        <w:rPr>
          <w:rFonts w:ascii="Times New Roman;serif" w:hAnsi="Times New Roman;serif"/>
          <w:b w:val="false"/>
          <w:color w:val="0000FF"/>
          <w:sz w:val="24"/>
          <w:u w:val="single"/>
        </w:rPr>
        <w:t>applicable International Trade Laws, Sanctions, Anti-Money Laundering Laws and Anti-Corruption Laws. There is no Covered Property included in the Supporting Assets.</w:t>
      </w:r>
      <w:r>
        <w:rPr>
          <w:color w:val="000000"/>
          <w:u w:val="single"/>
        </w:rPr>
        <w:t xml:space="preserve"> </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(s)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Bulk Sales Act</w:t>
      </w:r>
      <w:r>
        <w:rPr>
          <w:rFonts w:ascii="Times New Roman;serif" w:hAnsi="Times New Roman;serif"/>
          <w:b w:val="false"/>
          <w:color w:val="000000"/>
          <w:sz w:val="24"/>
        </w:rPr>
        <w:t>. No transaction contemplated by this Agreement requires compliance by it with any bulk sales act or similar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Taxes</w:t>
      </w:r>
      <w:r>
        <w:rPr>
          <w:rFonts w:ascii="Times New Roman;serif" w:hAnsi="Times New Roman;serif"/>
          <w:b w:val="false"/>
          <w:color w:val="000000"/>
          <w:sz w:val="24"/>
        </w:rPr>
        <w:t>. Such Servicer has (i) timely filed all federal income and other material tax returns required to be filed by it and (ii) paid, or caused to be paid, all material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No Linked Accounts</w:t>
      </w:r>
      <w:r>
        <w:rPr>
          <w:rFonts w:ascii="Times New Roman;serif" w:hAnsi="Times New Roman;serif"/>
          <w:b w:val="false"/>
          <w:color w:val="000000"/>
          <w:sz w:val="24"/>
        </w:rPr>
        <w:t>. Except for any Permitted Linked Account, there are no Linked Accounts with respect to any Collection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Opinions</w:t>
      </w:r>
      <w:r>
        <w:rPr>
          <w:rFonts w:ascii="Times New Roman;serif" w:hAnsi="Times New Roman;serif"/>
          <w:b w:val="false"/>
          <w:color w:val="000000"/>
          <w:sz w:val="24"/>
        </w:rPr>
        <w:t>. The facts regarding the Seller, the Canadian Guarantor, such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ERISA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Seller, nothing has occurred which would prevent, or cause the loss of, such qualification. Seller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Except as would not reasonably be expected, individually or in the aggregate, to have a Material Adverse Effect, (A) no ERISA Event has occurred or is reasonably expected to occur; (B)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(C) neither Seller nor any member of the ERISA Group has incurred, or reasonably expects to incur, any liability under Title IV of ERISA with respect to any Pension Plan (other than premiums due and not delinquent under Section 4007 of ERISA); (D) neither Seller nor any member of the ERISA Group has incurred, or reasonably expects to incur, any liability (and no event has occurred which, with the giving of notice under Section 4219 of ERISA, would result in such liability) under Section 4201 of ERISA, with respect to a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Multiemployer Plan; (E) neither Seller nor any member of the ERISA Group has received notice that a Multiemployer Plan is insolvent; (F) neither Seller nor any member of the ERISA Group has engaged in a transaction that could be subject to Sections 4069 or 4212(c) of ERISA; and (G)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Seller has delivered to the Administrative Agent copies of the Parent’s Statements. The Statements (A) were compiled from the books and records maintained by the Parent’s management, (B) are correct and complete, (C) and fairly represent the consolidated financial condition of the Parent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(D) have been prepared in accordance with GAAP consistently applied throughout the period covered thereby, subject (in the case of the interim statements) to normal year-end audit adjustments utilized on a consistent basis.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Financial Projections</w:t>
      </w:r>
      <w:r>
        <w:rPr>
          <w:rFonts w:ascii="Times New Roman;serif" w:hAnsi="Times New Roman;serif"/>
          <w:b w:val="false"/>
          <w:color w:val="000000"/>
          <w:sz w:val="24"/>
        </w:rPr>
        <w:t>. The SPV Entity-Related Parties have delivered to the Administrative Agent the Projections. The Projections represent a reasonable range of possible results in light of the history of the business, present and foreseeable conditions and the intentions of SPV Entity-Related Parties’ management, it being understood that (A) such Projections are as to future events and not to be viewed as facts, (B) such Projections are subject to significant uncertainties and contingencies, many of which are beyond the SPV Entity-Related Parties’ control, and (C) no assurance can be given that the Projections will be realized.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Permitted Securitization Financing</w:t>
      </w:r>
      <w:r>
        <w:rPr>
          <w:rFonts w:ascii="Times New Roman;serif" w:hAnsi="Times New Roman;serif"/>
          <w:b w:val="false"/>
          <w:color w:val="000000"/>
          <w:sz w:val="24"/>
        </w:rPr>
        <w:t>. The facility established by this Agreement and the other Transaction Documents constitutes a “Permitted Securitization Financing” under and as defined in the First Lien Credit Agreement as in effect on the relevant date of determination, and such facility is permitted by the First Lien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Canadian Defined Benefit Plan</w:t>
      </w:r>
      <w:r>
        <w:rPr>
          <w:rFonts w:ascii="Times New Roman;serif" w:hAnsi="Times New Roman;serif"/>
          <w:b w:val="false"/>
          <w:color w:val="000000"/>
          <w:sz w:val="24"/>
        </w:rPr>
        <w:t>. No Canadian Originator has sponsored, maintained, contributed to, or otherwise incurred liability under any Canadian Defined Benefit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Canadian Tax Residency</w:t>
      </w:r>
      <w:r>
        <w:rPr>
          <w:rFonts w:ascii="Times New Roman;serif" w:hAnsi="Times New Roman;serif"/>
          <w:b w:val="false"/>
          <w:color w:val="000000"/>
          <w:sz w:val="24"/>
        </w:rPr>
        <w:t>. No Canadian Originator is a non-resident of Canada for purposes of the ITA.</w:t>
      </w:r>
    </w:p>
    <w:p>
      <w:pPr>
        <w:pStyle w:val="TextBody"/>
        <w:bidi w:val="0"/>
        <w:spacing w:lineRule="auto" w:line="288" w:before="0" w:after="240"/>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xml:space="preserve">. Solely with respect to the Canadian Servicer, under the applicable Laws of Canada, neither the Canadian Servicer, nor any of its revenues, assets or properties has any right of immunity from service of process or from the jurisdiction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competent courts of Canada or the United States or the State of New York in connection with any suit, action, litigation, arbitration or proceeding, attachment prior to judgment, attachment in aid of execution of a judgment or execution of a judgment or from any other legal process with respect to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VAT</w:t>
      </w:r>
      <w:r>
        <w:rPr>
          <w:rFonts w:ascii="Times New Roman;serif" w:hAnsi="Times New Roman;serif"/>
          <w:b w:val="false"/>
          <w:color w:val="000000"/>
          <w:sz w:val="24"/>
        </w:rPr>
        <w:t>. No Servicer, in its capacity as Servicer, is required to account to any Official Body for any VAT or similar Tax or any sales Tax in respect of the transactions contemplated hereunder and no withholding or other Tax (including VAT or any equivalent Tax) is deductible or payable from any payment made by any Servicer hereunder.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br/>
        <w:br/>
        <w:t>COVENANTS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7.01 </w:t>
      </w:r>
      <w:r>
        <w:rPr>
          <w:rFonts w:ascii="Times New Roman;serif" w:hAnsi="Times New Roman;serif"/>
          <w:b w:val="false"/>
          <w:color w:val="000000"/>
          <w:sz w:val="24"/>
          <w:u w:val="single"/>
        </w:rPr>
        <w:t>Covenants of the SPV Entities</w:t>
      </w:r>
      <w:r>
        <w:rPr>
          <w:rFonts w:ascii="Times New Roman;serif" w:hAnsi="Times New Roman;serif"/>
          <w:b w:val="false"/>
          <w:color w:val="000000"/>
          <w:sz w:val="24"/>
        </w:rPr>
        <w:t>. At all times from the Closing Date until the Final Payout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Payment of Capital and Yield</w:t>
      </w:r>
      <w:r>
        <w:rPr>
          <w:rFonts w:ascii="Times New Roman;serif" w:hAnsi="Times New Roman;serif"/>
          <w:b w:val="false"/>
          <w:color w:val="000000"/>
          <w:sz w:val="24"/>
        </w:rPr>
        <w:t>. The Seller shall duly and punctually pay Capital, Yield, Fees and all other amounts payable by the Seller hereunder in accordance with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Existence</w:t>
      </w:r>
      <w:r>
        <w:rPr>
          <w:rFonts w:ascii="Times New Roman;serif" w:hAnsi="Times New Roman;serif"/>
          <w:b w:val="false"/>
          <w:color w:val="000000"/>
          <w:sz w:val="24"/>
        </w:rPr>
        <w:t>. The Seller shall keep in full force and effect its existence and rights as a limited liability company under the laws of the State of Delaware. The Canadian Guarantor shall keep in full force and effect its existence and rights as a company under the laws of the Province of British Columbia. Each SPV Entity shall obtain and preserve its qualification to do business in each jurisdiction in which such qualification is or shall be necessary to protect the validity and enforceability of this Agreement, the other Transaction Documents and the Supporting Assets.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Each SPV Entity will maintain a system of accounting established and administered in accordance with GAAP, and each SPV Entity (or a Servicer on its behalf) shall furnish to the Administrative Agent (who shall reasonably promptly forward to each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Annual Financial Statements of each SPV Entity</w:t>
      </w:r>
      <w:r>
        <w:rPr>
          <w:rFonts w:ascii="Times New Roman;serif" w:hAnsi="Times New Roman;serif"/>
          <w:b w:val="false"/>
          <w:i/>
          <w:color w:val="000000"/>
          <w:sz w:val="24"/>
        </w:rPr>
        <w:t xml:space="preserve">. </w:t>
      </w:r>
      <w:r>
        <w:rPr>
          <w:rFonts w:ascii="Times New Roman;serif" w:hAnsi="Times New Roman;serif"/>
          <w:b w:val="false"/>
          <w:color w:val="000000"/>
          <w:sz w:val="24"/>
        </w:rPr>
        <w:t>Promptly upon completion and in no event later than ninety (90) days after the end of each fiscal year of each SPV Entity, annual unaudited trial balance sheet and income statement of such SPV Entity certified by an Authorized Officer of such SPV Entity that they fairly present in all material respects the financial condition of such SPV Entity as of the date indicated and the results of its operations for the periods indicated.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Pool Reports</w:t>
      </w:r>
      <w:r>
        <w:rPr>
          <w:rFonts w:ascii="Times New Roman;serif" w:hAnsi="Times New Roman;serif"/>
          <w:b w:val="false"/>
          <w:color w:val="000000"/>
          <w:sz w:val="24"/>
        </w:rPr>
        <w:t xml:space="preserve">. (A) not later than two Business Days before the related Monthly Settlement Date, a Monthly Report as of the as of the most recently completed Fiscal Month, and (B) on each Business Day, a Daily Report as of the close of business on the preceding Business Day; provided that, (x) the first Daily Report shall be delivered on the Closing Date and shall include reporting regarding the Pool Receivables as of September 27, 2023 and the second Daily Report shall be delivered on October 2,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2023 and include reporting regarding the Pool Receivables from September 29, 2023 through October 1, 2023; and (y) for the period from the First Amendment Effective Date through the day upon which the February 2024 Monthly Report is due (March 18, 2024), (I) for each Daily Report and the February 2024 Monthly Report to be delivered during such period, such reports shall not include reporting with respect to the Foreign Originator Pool Receivables consistent with the reporting required to be delivered with respect to U.S. Receivables; and (II) for purposes of calculating the Capital Coverage Amount and the Net Receivables Pool Balance, the calculations thereof shall not include any Foreign Originator Pool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Quarterly Financial Statements of Parent</w:t>
      </w:r>
      <w:r>
        <w:rPr>
          <w:rFonts w:ascii="Times New Roman;serif" w:hAnsi="Times New Roman;serif"/>
          <w:b w:val="false"/>
          <w:color w:val="000000"/>
          <w:sz w:val="24"/>
        </w:rPr>
        <w:t xml:space="preserve">. Within 60 days after the end of each of the first three fiscal quarters of each fiscal year, a consolidated balance sheet and related statements of operations and cash flows showing the financial position of the Parent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all of which shall be in reasonable detail, which consolidated balance sheet and related statements of operations and cash flows shall be accompanied by customary management’s discussion and analysis and certified by a Financial Officer of the Rackspace Technology Global Inc. as fairly presenting, in all material respects, the financial position and results of operations of the Parent and its Subsidiaries on a consolidated basis in accordance with GAAP (subject to normal year-end audit adjustments and the absence of footnotes) (it being understood that the delivery by the Parent of quarterly reports on Form 10-Q (or any successor or comparable form) of the Parent and its consolidated Subsidiaries shall satisfy the requirements of this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to the extent such quarterly reports include the information specified herein);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Annual Financial Statements of Parent</w:t>
      </w:r>
      <w:r>
        <w:rPr>
          <w:rFonts w:ascii="Times New Roman;serif" w:hAnsi="Times New Roman;serif"/>
          <w:b w:val="false"/>
          <w:color w:val="000000"/>
          <w:sz w:val="24"/>
        </w:rPr>
        <w:t xml:space="preserve">. Within 90 days after the end of each fiscal year, a consolidated balance sheet and related statements of operations, cash flows and owners’ equity showing the financial position of the Parent and its Subsidiaries as of the close of such fiscal year and the consolidated results of their operations during such year and setting forth in comparative form the corresponding figures for the prior fiscal year, which consolidated balance sheet and related statements of operations, cash flows and owners’ equity shall be accompanied by customary management’s discussion and analysis and audited by independent public accountants of recognized national standing and accompanied by an opinion of such accountants to the effect that such consolidated financial statements fairly present, in all material respects, the financial position and results of operations of the Parent and its Subsidiaries on a consolidated basis in accordance with GAAP (it being understood that the delivery by the Parent of annual reports on Form 10-K (or any successor or comparable form) of the Parent and its consolidated Subsidiaries shall satisfy the requirements of this </w:t>
      </w:r>
      <w:r>
        <w:rPr>
          <w:rFonts w:ascii="Times New Roman;serif" w:hAnsi="Times New Roman;serif"/>
          <w:b w:val="false"/>
          <w:color w:val="000000"/>
          <w:sz w:val="24"/>
          <w:u w:val="single"/>
        </w:rPr>
        <w:t>Section 7.01(c)(iv)</w:t>
      </w:r>
      <w:r>
        <w:rPr>
          <w:color w:val="000000"/>
        </w:rPr>
        <w:t xml:space="preserve"> </w:t>
      </w:r>
      <w:r>
        <w:rPr>
          <w:rFonts w:ascii="Times New Roman;serif" w:hAnsi="Times New Roman;serif"/>
          <w:b w:val="false"/>
          <w:color w:val="000000"/>
          <w:sz w:val="24"/>
        </w:rPr>
        <w:t xml:space="preserve">to the extent such annual reports include the information specified herein);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xml:space="preserve">. Concurrently with the financial statements furnished to the Administrative Agent and to the Purchasers pursuant to </w:t>
      </w:r>
      <w:r>
        <w:rPr>
          <w:rFonts w:ascii="Times New Roman;serif" w:hAnsi="Times New Roman;serif"/>
          <w:b w:val="false"/>
          <w:color w:val="000000"/>
          <w:sz w:val="24"/>
          <w:u w:val="single"/>
        </w:rPr>
        <w:t>Sections 7.01(c)(iii)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7.01(c)(iv)</w:t>
      </w:r>
      <w:r>
        <w:rPr>
          <w:rFonts w:ascii="Times New Roman;serif" w:hAnsi="Times New Roman;serif"/>
          <w:b w:val="false"/>
          <w:color w:val="000000"/>
          <w:sz w:val="24"/>
        </w:rPr>
        <w:t>, a certificate (each, a “</w:t>
      </w:r>
      <w:r>
        <w:rPr>
          <w:rFonts w:ascii="Times New Roman;serif" w:hAnsi="Times New Roman;serif"/>
          <w:b w:val="false"/>
          <w:color w:val="000000"/>
          <w:sz w:val="24"/>
          <w:u w:val="single"/>
        </w:rPr>
        <w:t>Compliance Certificate</w:t>
      </w:r>
      <w:r>
        <w:rPr>
          <w:color w:val="000000"/>
        </w:rPr>
        <w:t>”</w:t>
      </w:r>
      <w:r>
        <w:rPr>
          <w:rFonts w:ascii="Times New Roman;serif" w:hAnsi="Times New Roman;serif"/>
          <w:b w:val="false"/>
          <w:color w:val="000000"/>
          <w:sz w:val="24"/>
        </w:rPr>
        <w:t xml:space="preserve">) of Rackspace Technology Global Inc. signed by the Chief Executive Officer, President or Chief Financial Officer of Rackspace Technology Global Inc. in the form of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SEC Filings and other Material Reports</w:t>
      </w:r>
      <w:r>
        <w:rPr>
          <w:rFonts w:ascii="Times New Roman;serif" w:hAnsi="Times New Roman;serif"/>
          <w:b w:val="false"/>
          <w:color w:val="000000"/>
          <w:sz w:val="24"/>
        </w:rPr>
        <w:t>. Promptly upon their becoming available to an SPV Entity, public SEC filings and other material reports, including SEC Form 8-K, registration statements, proxies, prospectuses, financial statements and other shareholder communications, filed by the SPV Entity-Related Parties with the SEC (all of which may be provided by means of delivery of the applicable SEC Form or filing, and which will be deemed delivered upon (i) the posting of such information on the Parent’s website with written notice of such posting to the Administrative Agent or (ii) the making of such information available on any Platform).</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Other Information</w:t>
      </w:r>
      <w:r>
        <w:rPr>
          <w:rFonts w:ascii="Times New Roman;serif" w:hAnsi="Times New Roman;serif"/>
          <w:b w:val="false"/>
          <w:i/>
          <w:color w:val="000000"/>
          <w:sz w:val="24"/>
        </w:rPr>
        <w:t xml:space="preserve">. </w:t>
      </w:r>
      <w:r>
        <w:rPr>
          <w:rFonts w:ascii="Times New Roman;serif" w:hAnsi="Times New Roman;serif"/>
          <w:b w:val="false"/>
          <w:color w:val="000000"/>
          <w:sz w:val="24"/>
        </w:rPr>
        <w:t>Such other customary information (including non-financial information) regarding operations, business affairs and financial condition of the SPV Entities, as the Administrative Agent or any Purchaser may from time to time reasonably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Each SPV Entity (or a Servicer on its behalf) will notify the Administrative Agent (and the Administrative Agent shall reasonably promptly forward such notice to each Purchaser)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 (with such notice requirement being deemed to be satisfied if such notice is delivered by a Servicer pursuant to </w:t>
      </w:r>
      <w:r>
        <w:rPr>
          <w:rFonts w:ascii="Times New Roman;serif" w:hAnsi="Times New Roman;serif"/>
          <w:b w:val="false"/>
          <w:color w:val="000000"/>
          <w:sz w:val="24"/>
          <w:u w:val="single"/>
        </w:rPr>
        <w:t>Section 7.02(c)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Events of Default or Potential Defaults</w:t>
      </w:r>
      <w:r>
        <w:rPr>
          <w:rFonts w:ascii="Times New Roman;serif" w:hAnsi="Times New Roman;serif"/>
          <w:b w:val="false"/>
          <w:color w:val="000000"/>
          <w:sz w:val="24"/>
        </w:rPr>
        <w:t>. A statement of an Authorized Officer of each SPV Entity setting forth details of any Event of Default or Potential Default that has occurred and is continuing and the action which each SPV Entity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to be made an SPV Entity under this Agreement or any other Transaction Document to be true and correct in any material respect when made (or, if such representation and warranty by its terms refer to an earlier date, as of such earlier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with respect to any SPV Entity, any Servicer, the Performance Guarantor or any Originator, which with respect to any Person other than the Seller, could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other than a Permitted Adverse Claim upon any Supporting Assets, (B) any Person other than an SPV Entity, a Servicer or the Administrative Agent shall obtain any rights or direct any action with respect to any Collection Account (or related Lock-Box) or (C) any Obligor shall receive any change in payment instructions with respect to Pool Receivable(s) from a Person other than a Servicer or the Administrative Agent.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Name/Organization Changes</w:t>
      </w:r>
      <w:r>
        <w:rPr>
          <w:rFonts w:ascii="Times New Roman;serif" w:hAnsi="Times New Roman;serif"/>
          <w:b w:val="false"/>
          <w:color w:val="000000"/>
          <w:sz w:val="24"/>
        </w:rPr>
        <w:t>. At least thirty (30) days before any change in any Originator’s or any SPV Entity’s name, jurisdiction of organization or any other change requiring the amendment of UCC financing statements or PPSA financing statements or the filing of any PPSA financing change statements.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(A) the external accountants of any SPV Entity-Related Party, (B) any accounting policy of an SPV Entity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Transfer Termination Event</w:t>
      </w:r>
      <w:r>
        <w:rPr>
          <w:rFonts w:ascii="Times New Roman;serif" w:hAnsi="Times New Roman;serif"/>
          <w:b w:val="false"/>
          <w:color w:val="000000"/>
          <w:sz w:val="24"/>
        </w:rPr>
        <w:t>. The occurrence of any Transfer Termination Event.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Promptly after the occurrence thereof, notice of any material adverse change in the business, operations, property or financial or other condition of any SPV Entity, any Servicer, the Performance Guarantor or any Originator.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ERISA Event</w:t>
      </w:r>
      <w:r>
        <w:rPr>
          <w:rFonts w:ascii="Times New Roman;serif" w:hAnsi="Times New Roman;serif"/>
          <w:b w:val="false"/>
          <w:color w:val="000000"/>
          <w:sz w:val="24"/>
        </w:rPr>
        <w:t>. Promptly upon the occurrence of any ERISA Event, notice in writing setting forth the details thereof and the action which the SPV Entity-Related Parties propose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Each SPV Entity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SPV Entity will comply with all applicable Laws to which it may be subject if the failure to comply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Each SPV Entity will furnish or cause to be furnished to the Administrative Agent and each of the Purchasers from time to time such information with respect to the Pool Receivables and the other Supporting Assets as the Administrative Agent or any Purchaser may reasonably request. Each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SPV Entity will, at such SPV Entity ’s expense, during regular business hours with prior written notice (i) permit the Administrative Agent and each Purchaser or their respective agents or representatives to (A) examine and make copies of and abstracts from all books and records relating to the Pool Receivables or other Supporting Assets, (B) visit the offices and properties of such SPV Entity for the purpose of examining such books and records and (C) discuss matters relating to the Pool Receivables, the other Supporting Assets or such SPV Entity’s performance hereunder or under the other Transaction Documents to which it is a party with any of the officers, directors, employees or independent public accountants of such SPV Entity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such SPV Entity’s expense, upon at least five (5) Business Days’ prior written notice from the Administrative Agent, permit certified public accountants or other auditors acceptable to the Administrative Agent to conduct a review of its books and records with respect to such Pool Receivables and other Supporting Assets;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Seller shall be required to reimburse the Administrative Agent for only one (1) such review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above (inclusive of any review under </w:t>
      </w:r>
      <w:r>
        <w:rPr>
          <w:rFonts w:ascii="Times New Roman;serif" w:hAnsi="Times New Roman;serif"/>
          <w:b w:val="false"/>
          <w:color w:val="000000"/>
          <w:sz w:val="24"/>
          <w:u w:val="single"/>
        </w:rPr>
        <w:t>Section 7.02(f)(ii))</w:t>
      </w:r>
      <w:r>
        <w:rPr>
          <w:color w:val="000000"/>
        </w:rPr>
        <w:t xml:space="preserve"> </w:t>
      </w:r>
      <w:r>
        <w:rPr>
          <w:rFonts w:ascii="Times New Roman;serif" w:hAnsi="Times New Roman;serif"/>
          <w:b w:val="false"/>
          <w:color w:val="000000"/>
          <w:sz w:val="24"/>
        </w:rPr>
        <w:t xml:space="preserve">and two (2) such reviews pursuant to clause (i) above in any twelve-month period unless an Event of Default or Potential Default has occurred and is continuing. </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Each SPV Entity (or a Servicer on its behalf) will, and will cause each Originator to, at all times, instruct all Obligors to deliver payments on the Pool Receivables to a Collection Account or a Lock-Box. Each SPV Entity (or a Servicer on its behalf) will, and will cause each Originator to, at all times, maintain such books and records necessary to identify Collections received from time to time on Pool Receivables and to segregate such Collections from other property of the Servicers and the Originators. If any payments on the Pool Receivables or other Collections are received by such SPV Entity, a Servicer, the Aggregator or an Originator, (i) each such party shall hold such payments in trust for the benefit of the Administrative Agent, the Purchasers and the other Secured Parties, and (ii)(A) with respect to funds being remitted to an account other than the Foreign Originator Accounts, each such party will promptly (but in any event within two (2) Business Days after receipt) remit such funds into a Collection Account, and (B) with respect to funds being remitted to a Foreign Originator Account, the UK Originator, a Swiss Originator or a Canadian Originator, as applicable, shall sweep all Collections corresponding to Eligible Receivables to the applicable Collection Account promptly but in any event no later than one week after receipt. Each SPV Entity (or a Servicer on its behalf) will cause each Collection Account Bank to comply with the terms of each applicable Account Control Agreement. No SPV Entity and no Servicer shall permit funds other than Collections on Pool Receivables and other Supporting Assets to be deposited into any Collection Account. If any funds that are not Collections on Pool Receivables or other Supporting Assets are deposited into any Collection Account, such SPV Entity (or a Servicer on its behalf) will within two (2) Business Days of an SPV Entity or Servicer obtaining knowledge thereof and, in any case, not later than one week after receipt thereof, identify and transfer such funds to the appropriate Person entitled to such funds. No SPV Entity will, or will permit any Servicer, any Originator or any other Person to, commingle Collections or other funds to which the Administrative Agent, any Purchaser or any other Secured Party is entitled, with any other funds, except as expressly permitted hereby. Each SPV Entity, the UK Servicer, the Swiss Servicer and the Canadian Servicer shall use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commercially reasonable efforts to ensure that on and after each Post-Closing Foreign Originator Account Compliance Date, all Collections with respect to each Receivable for which a Foreign Obligor Consent was obtained are being paid directly to a Collection Account and not paid to a Foreign Originator Account or any other deposit account. If for any reason, on and after a Post-Closing Foreign Originator Account Compliance Date, such Collections are received in a Foreign Originator Account and not received in a Collection Account during any Fiscal Month, then the Administrative Agent (in its sole discretion) may by written notice to the SPV Entities, the UK Servicer, the Swiss Servicer and the Canadian Servicer, as applicable, deem such Receivables for which a Foreign Obligor Consent was obtained and for which any or all Obligors made such payments into a Foreign Originator Account (or an associated Lock-box) and not a Collection Account during such Fiscal Month to not constitute Eligible Receivables, and such Receivables shall not constitute Eligible Receivables for any purpose of the Transaction Documents. The SPV Entities shall only add a Collection Account (or a related Lock-Box) or a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 xml:space="preserve">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SPV Entities shall only terminate a Collection Account Bank or close a Collection Account (or a related Lock-Box) with the prior written consent of the Administrative Agent. Each SPV Entity shall ensure that no disbursements are made from any Collection Account, other than such disbursements that are made at the direction and for the account of such SPV Entity.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Sales, Liens, etc</w:t>
      </w:r>
      <w:r>
        <w:rPr>
          <w:rFonts w:ascii="Times New Roman;serif" w:hAnsi="Times New Roman;serif"/>
          <w:b w:val="false"/>
          <w:color w:val="000000"/>
          <w:sz w:val="24"/>
        </w:rPr>
        <w:t>. Except as otherwise provided herein, no SPV Entity will sell, assign (by operation of law or otherwise) or otherwise dispose of, or create or suffer to exist any Adverse Claim other than a Permitted Adverse Claim upon (including the filing of any financing statement) or with respect to, any Pool Receivable or other Supporting Assets, or assign any right to receive income in respect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Extension or Amendment of Pool Receivables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otherwise permitted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no SPV Entity will, and will not permit any Servicer to, alter the delinquency status or adjust the Outstanding Balance or otherwise modify the terms of any Pool Receivable in any material respect, or amend, modify or waive, in any material respect, any term or condition of any related Contract. Each SPV Entity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Change in Credit and Collection Policy</w:t>
      </w:r>
      <w:r>
        <w:rPr>
          <w:rFonts w:ascii="Times New Roman;serif" w:hAnsi="Times New Roman;serif"/>
          <w:b w:val="false"/>
          <w:color w:val="000000"/>
          <w:sz w:val="24"/>
        </w:rPr>
        <w:t xml:space="preserve">. No SPV Entity will make any material change in the Credit and Collection Policy that could reasonably be expected to adversely affect in any material respect the value, validity, collectability or enforceability of the Receivables or decrease the credit quality of the Receivables (in each case, taken as a whole) without the prior written consent of the Administrative Agent and the Required Purchasers. Promptly following any change in the Credit and Collection Policy, such SPV Entity will deliver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copy of the updated Credit and Collection Policy to the Administrative Agent and each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Such SPV Entity shall not, without the prior written consent of the Administrative Agent, permit itself (i) to merge, amalgamate or consolidate with or into, or convey, transfer, lease or otherwise dispose of (whether in one transaction or in a series of transactions) all or substantially all of its assets (whether now owned or hereafter acquired) to, any Person, (ii) undertake any LLC Division or any other division of its rights, assets, obligations, or liabilities pursuant to a plan of division or otherwise pursuant to Law or (iii) to be directly owned by any Person other than an Originator. No SPV Entity shall, without at least 10 days’ prior notice to the Administrative Agent, make any change in its name, identity, corporate structure or location or make any other change in its identity or corporate structure that could impair or otherwise render any UCC or PPSA financing statement or financing change statement filed in connection with this Agreement or any other Transaction Document “seriously misleading” as such term (or similar term) is used in the applicable UCC or impair or render effective any PPSA financing statement, financing change statement or other similar filing made pursuant to this Agreement or any other Transaction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Each SPV Entity shall maintain and implement (or cause a Servicer to maintain and implement) administrative and operating procedures (including an ability to recreate records evidencing Pool Receivables and related Contracts in the event of the destruction of the originals thereof), and keep and maintain (or cause a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Identifying of Records</w:t>
      </w:r>
      <w:r>
        <w:rPr>
          <w:rFonts w:ascii="Times New Roman;serif" w:hAnsi="Times New Roman;serif"/>
          <w:b w:val="false"/>
          <w:color w:val="000000"/>
          <w:sz w:val="24"/>
        </w:rPr>
        <w:t>. Each SPV Entity shall: (i) identify (or cause a Servicer to identify) its master data processing records relating to Pool Receivables and related Contracts indicating that the Pool Receivables have been pledged in accordance with this Agreement and (ii) cause each Originator and the Aggregator so to identify its master data processing.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No SPV Entity shall (and shall not permit any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Security Interest, Etc</w:t>
      </w:r>
      <w:r>
        <w:rPr>
          <w:rFonts w:ascii="Times New Roman;serif" w:hAnsi="Times New Roman;serif"/>
          <w:b w:val="false"/>
          <w:color w:val="000000"/>
          <w:sz w:val="24"/>
        </w:rPr>
        <w:t xml:space="preserve">. Each SPV Entity shall (and shall cause the Servicers to), at its expense, take all action necessary or reasonably desirable to establish and maintain a valid and enforceable first priority perfected ownership or security interest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Supporting Assets, in each case free and clear of any Adverse Claim other than Permitted Adverse Claims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each SPV Entity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Each SPV Entity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each SPV Entity to file such financing statements or financing change statements under the UCC or PPSA without the signature of any SPV Entity, any Originator or the Administrative Agent where allowed by applicable Law. Notwithstanding anything else in the Transaction Documents to the contrary, no SPV Entity shall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Certain Agreements</w:t>
      </w:r>
      <w:r>
        <w:rPr>
          <w:rFonts w:ascii="Times New Roman;serif" w:hAnsi="Times New Roman;serif"/>
          <w:b w:val="false"/>
          <w:color w:val="000000"/>
          <w:sz w:val="24"/>
        </w:rPr>
        <w:t>. Without the prior written consent of the Administrative Agent and the Required Purchasers, no SPV Entity will (and will not permit any Originator, the Aggregator or any Servicer to) amend, modify, waive, revoke or terminate any Transaction Document to which it is a party or any provision of such SPV Entity’s organizational documents which requires the consent of the “Independent Manager” or “Independent Director”.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Except pursuant to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below, no SPV Entity will: (A) purchase or redeem any of its membership interests, (B) declare or pay any dividend or set aside any funds for any such purpose, (C) prepay, purchase or redeem any Indebtedness, (D) lend or advance any funds or (E) repay any loans or advances to, for or from any of its Affiliates (the amounts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being referred to as “</w:t>
      </w:r>
      <w:r>
        <w:rPr>
          <w:rFonts w:ascii="Times New Roman;serif" w:hAnsi="Times New Roman;serif"/>
          <w:b w:val="false"/>
          <w:color w:val="000000"/>
          <w:sz w:val="24"/>
          <w:u w:val="single"/>
        </w:rPr>
        <w:t>Restricted Payments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On any Settlement Date, any SPV Entity may make Restricted Payments so long as (A) such Restricted Payments are made only in one or more of the following ways: (1) from amounts paid to such SPV Entity for its own account pursuant to </w:t>
      </w:r>
      <w:r>
        <w:rPr>
          <w:rFonts w:ascii="Times New Roman;serif" w:hAnsi="Times New Roman;serif"/>
          <w:b w:val="false"/>
          <w:color w:val="000000"/>
          <w:sz w:val="24"/>
          <w:u w:val="single"/>
        </w:rPr>
        <w:t>Section 3.01(a)(ix)</w:t>
      </w:r>
      <w:r>
        <w:rPr>
          <w:color w:val="000000"/>
        </w:rPr>
        <w:t xml:space="preserve"> </w:t>
      </w:r>
      <w:r>
        <w:rPr>
          <w:rFonts w:ascii="Times New Roman;serif" w:hAnsi="Times New Roman;serif"/>
          <w:b w:val="false"/>
          <w:color w:val="000000"/>
          <w:sz w:val="24"/>
        </w:rPr>
        <w:t xml:space="preserve">after all payments and allocations required to be made pursuant to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 xml:space="preserve">have been made on such Settlement Date, (2) cash payments (including prepayments) on the Subordinated Notes or the Subordinated Loan Agreements in accordance with their respective terms, (3) distribution of the Guarantee Fee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Canadian Guarantor to the Canadian Originator or (4) payment by the Seller of an SPV Reimbursement Obligation that is owing to the Canadian Guarantor and (B) no Event of Default or Potential Default has occurred and is continuing or would result therefrom.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Seller may apply funds received by the Seller through a voluntary contribution from an Originator (which funds in respect of any such voluntary contribution are not Collections, Pool Receivables or payment of any other amount due hereunder and are contributed by such Originator to the Seller for the sole purpose of immediately funding SPV Reimbursement Obligations of an equal amount) to pay the Canadian Guarantor any outstanding SPV Reimbursement Obligation owed to the Canadian Guarantor.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Other Business</w:t>
      </w:r>
      <w:r>
        <w:rPr>
          <w:rFonts w:ascii="Times New Roman;serif" w:hAnsi="Times New Roman;serif"/>
          <w:b w:val="false"/>
          <w:color w:val="000000"/>
          <w:sz w:val="24"/>
        </w:rPr>
        <w:t>. No SPV Entity will: (i) engage in any business other than the transactions contemplated by the Transaction Documents, (ii) create, incur or permit to exist any Indebtedness of any kind (or cause or permit to be issued for its account any letters of credit or bankers’ acceptances) other than pursuant to this Agreement, the Subordinated Notes, the Subordinated Loan Agreements or the SPV Reimbursement and Contribution Agreement or (iii) form any Subsidiary or make any investments in any 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Use of Collections Available to such SPV Entity</w:t>
      </w:r>
      <w:r>
        <w:rPr>
          <w:rFonts w:ascii="Times New Roman;serif" w:hAnsi="Times New Roman;serif"/>
          <w:b w:val="false"/>
          <w:color w:val="000000"/>
          <w:sz w:val="24"/>
        </w:rPr>
        <w:t xml:space="preserve">. Each SPV Entity shall apply Collections available to such SPV Entity to make payments in accordance with </w:t>
      </w:r>
      <w:r>
        <w:rPr>
          <w:rFonts w:ascii="Times New Roman;serif" w:hAnsi="Times New Roman;serif"/>
          <w:b w:val="false"/>
          <w:color w:val="000000"/>
          <w:sz w:val="24"/>
          <w:u w:val="single"/>
        </w:rPr>
        <w:t>Section 3.01(a)</w:t>
      </w:r>
      <w:r>
        <w:rPr>
          <w:color w:val="000000"/>
        </w:rPr>
        <w:t xml:space="preserve"> </w:t>
      </w:r>
      <w:r>
        <w:rPr>
          <w:rFonts w:ascii="Times New Roman;serif" w:hAnsi="Times New Roman;serif"/>
          <w:b w:val="false"/>
          <w:color w:val="000000"/>
          <w:sz w:val="24"/>
        </w:rPr>
        <w:t>or as otherwise permitted under the terms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 xml:space="preserve">Further Assurances; Change in Name or Jurisdiction of Origination, etc. </w:t>
      </w:r>
      <w:r>
        <w:rPr>
          <w:rFonts w:ascii="Times New Roman;serif" w:hAnsi="Times New Roman;serif"/>
          <w:b w:val="false"/>
          <w:color w:val="000000"/>
          <w:sz w:val="24"/>
        </w:rPr>
        <w:t>(i) Each SPV Entity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each SPV Entity hereby authorizes, and will, upon the request of the Administrative Agent, at such SPV Entity ’s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Each SPV Entity authorizes the Administrative Agent to file financing statements, continuation statements and amendments thereto and assignments thereof, relating to the Receivables, the Related Security, the related Contracts, Collections with respect thereto and the other Supporting Assets without the signature of such SPV Entity. A photocopy or other reproduction of this Agreement shall be sufficient as a financing statement where permitted by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Seller shall at all times be organized under the laws of the State of Delaware and shall not take any action to change its jurisdiction of organization.</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Canadian Guarantor shall at all times be organized under the laws of the Province of British Columbia, and shall not take any action to change its jurisdiction of organization without thirty (30) days prior written notice to the Administrative Agent and the Canadian Guarantor,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No SPV Entity will change its name, location, identity or corporate structure unless (x) the Administrative Agent has consented thereto in writing, (y) each SPV Entity, at its own expense, shall have taken all action necessary or appropriate to perfect or maintain the perfection of the security interest under this Agreement (including the filing of all financing statements and the taking of such other action as the Administrative Agent may request in connection with such change or relocation) and (z) if requested by the Administrative Agent, each SPV Entity shall cause to be delivered to the Administrative Agent, an opinion, in form and substance satisfactory to the Administrative Agent as to such UCC or PPSA perfection and priority matters as the Administrative Agent may request at such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Sanctions</w:t>
      </w:r>
      <w:r>
        <w:rPr>
          <w:strike/>
          <w:color w:val="FF0000"/>
          <w:u w:val="single"/>
        </w:rPr>
        <w:t xml:space="preserve"> </w:t>
      </w:r>
      <w:r>
        <w:rPr>
          <w:rFonts w:ascii="Times New Roman;serif" w:hAnsi="Times New Roman;serif"/>
          <w:b w:val="false"/>
          <w:strike/>
          <w:color w:val="FF0000"/>
          <w:sz w:val="24"/>
          <w:u w:val="single"/>
        </w:rPr>
        <w:t>and other Anti-Terrorism Laws;</w:t>
      </w:r>
      <w:r>
        <w:rPr>
          <w:rFonts w:ascii="Times New Roman;serif" w:hAnsi="Times New Roman;serif"/>
          <w:b w:val="false"/>
          <w:color w:val="0000FF"/>
          <w:sz w:val="24"/>
          <w:u w:val="single"/>
        </w:rPr>
        <w:t>; International Trade; Anti-Money Laundering and</w:t>
      </w:r>
      <w:r>
        <w:rPr>
          <w:color w:val="000000"/>
          <w:u w:val="single"/>
        </w:rPr>
        <w:t xml:space="preserve"> </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xml:space="preserve">. Each SPV Entity </w:t>
      </w:r>
      <w:r>
        <w:rPr>
          <w:rFonts w:ascii="Times New Roman;serif" w:hAnsi="Times New Roman;serif"/>
          <w:b w:val="false"/>
          <w:strike/>
          <w:color w:val="FF0000"/>
          <w:sz w:val="24"/>
        </w:rPr>
        <w:t>covenants and agrees that</w:t>
      </w:r>
      <w:r>
        <w:rPr>
          <w:rFonts w:ascii="Times New Roman;serif" w:hAnsi="Times New Roman;serif"/>
          <w:b w:val="false"/>
          <w:color w:val="0000FF"/>
          <w:sz w:val="24"/>
          <w:u w:val="single"/>
        </w:rPr>
        <w:t>shall</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(i)    (A) in the event that any Support Assets become Covered Property, promptly notify the Administrative Agent and provide to the Administrative Agent additional Support Assets that are not Covered Property of at least equal value to the Support Assets that became Covered Property, except to the extent prohibited by applicable Law; and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each Covered Entity, each Covered Entity’s directors and officers, and any employee, agent or affiliate acting on behalf of each Covered Entity in connection with this Agreement;</w:t>
      </w:r>
    </w:p>
    <w:p>
      <w:pPr>
        <w:pStyle w:val="TextBody"/>
        <w:bidi w:val="0"/>
        <w:spacing w:lineRule="auto" w:line="288" w:before="0" w:after="240"/>
        <w:ind w:left="0" w:right="0" w:firstLine="1440"/>
        <w:jc w:val="both"/>
        <w:rPr/>
      </w:pPr>
      <w:r>
        <w:rPr>
          <w:rFonts w:ascii="Times New Roman;serif" w:hAnsi="Times New Roman;serif"/>
          <w:b w:val="false"/>
          <w:color w:val="0000FF"/>
          <w:sz w:val="24"/>
          <w:u w:val="single"/>
        </w:rPr>
        <w:t xml:space="preserve">(ii)    neither do any of the following nor permit any SPV Entity-Related Party or any SPV Entity-Related Party’s directors, officers or employees, or to any SPV Entity-Related Party’s knowledge, any agents or affiliates acting on any SPV Entity-Related Party’s </w:t>
      </w:r>
      <w:r>
        <w:rPr>
          <w:rFonts w:ascii="Times New Roman;serif" w:hAnsi="Times New Roman;serif"/>
          <w:b w:val="false"/>
          <w:color w:val="008000"/>
          <w:sz w:val="24"/>
          <w:u w:val="single"/>
        </w:rPr>
        <w:t xml:space="preserve">behalf in connection with this Agreement </w:t>
      </w:r>
      <w:r>
        <w:rPr>
          <w:rFonts w:ascii="Times New Roman;serif" w:hAnsi="Times New Roman;serif"/>
          <w:b w:val="false"/>
          <w:color w:val="0000FF"/>
          <w:sz w:val="24"/>
          <w:u w:val="single"/>
        </w:rPr>
        <w:t xml:space="preserve">or the other Transaction Documents to: (A) become a Sanctioned Person; (B) directly or indirectly, provide, use, or make available the proceeds of any Investment hereunder (x) to fund or facilitate any activities or business of, with, or for the benefit of any Sanctioned Person, (y) to fund or facilitate any activities or business of or in any Sanctioned Jurisdiction, or (z) to act in any other manner in violation of, or that could result in a violation by any Person of, any International Trade Laws, Sanctions, Anti-Money Laundering Laws or Anti-Corruption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Laws; (C) in the execution, delivery or performance of this Agreement, or any activities, transactions, services, or any collateral, ownership interest or security interest contemplated by this Agreement, violate Sanctions; (D) directly or indirectly, repay or return in whole or in part any Capital hereunder with proceeds derived from investments in or transactions with any Sanctioned Jurisdiction or Sanctioned Person or otherwise in violation of Sanctions; or (E) do business in or with, or derive any of its income, directly or indirectly, from any Sanctioned Person in violation of Sanctions or from any Sanctioned Jurisdiction.</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(i) it shall immediately notify each Purchaser Party in writing upon the occurrence of a Reportable Compliance Event;</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(ii) if, at any time, any Supporting Assets becomes Embargoed Property, then, in addition to all other rights and remedies available to any Purchaser Party, upon request by any Purchaser Party, such SPV Entity shall provide substitute Supporting Assets acceptable to the Administrative Agent that is not Embargoed Property;</w:t>
      </w:r>
    </w:p>
    <w:p>
      <w:pPr>
        <w:pStyle w:val="TextBody"/>
        <w:bidi w:val="0"/>
        <w:spacing w:lineRule="auto" w:line="288" w:before="0" w:after="240"/>
        <w:ind w:left="0" w:right="0" w:firstLine="1440"/>
        <w:jc w:val="both"/>
        <w:rPr/>
      </w:pPr>
      <w:r>
        <w:rPr>
          <w:rFonts w:ascii="Times New Roman;serif" w:hAnsi="Times New Roman;serif"/>
          <w:b w:val="false"/>
          <w:strike/>
          <w:color w:val="FF0000"/>
          <w:sz w:val="24"/>
        </w:rPr>
        <w:t xml:space="preserve">(iii) it shall, and shall require </w:t>
      </w:r>
      <w:r>
        <w:rPr>
          <w:rFonts w:ascii="Times New Roman;serif" w:hAnsi="Times New Roman;serif"/>
          <w:b w:val="false"/>
          <w:strike/>
          <w:color w:val="008000"/>
          <w:sz w:val="24"/>
        </w:rPr>
        <w:t>each other Covered Entity to</w:t>
      </w:r>
      <w:r>
        <w:rPr>
          <w:rFonts w:ascii="Times New Roman;serif" w:hAnsi="Times New Roman;serif"/>
          <w:b w:val="false"/>
          <w:strike/>
          <w:color w:val="FF0000"/>
          <w:sz w:val="24"/>
        </w:rPr>
        <w:t>, conduct its business in compliance with all Anti-Corruption Laws and maintain policies and procedures designed to ensure compliance with such Laws;</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(iv) it and its Subsidiaries will not: (A) become a Sanctioned Person or allow any employees, officers, directors, or, to the knowledge of such SPV Entity, any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any Seller Obligations with Embargoed Property or funds derived from any unlawful activity; (D) permit any Supporting Assets to become Embargoed Property; or (E) cause any Purchaser Party to violate any Anti-Terrorism Law; and</w:t>
      </w:r>
    </w:p>
    <w:p>
      <w:pPr>
        <w:pStyle w:val="TextBody"/>
        <w:bidi w:val="0"/>
        <w:spacing w:lineRule="auto" w:line="288" w:before="0" w:after="240"/>
        <w:ind w:left="0" w:right="0" w:firstLine="1440"/>
        <w:jc w:val="both"/>
        <w:rPr/>
      </w:pPr>
      <w:r>
        <w:rPr>
          <w:rFonts w:ascii="Times New Roman;serif" w:hAnsi="Times New Roman;serif"/>
          <w:b w:val="false"/>
          <w:strike/>
          <w:color w:val="FF0000"/>
          <w:sz w:val="24"/>
        </w:rPr>
        <w:t xml:space="preserve">(v) it will not, and will not permit any its Subsidiaries to, directly or indirectly, use the Investments or any proceeds thereof for any purpose which would breach any Anti-Corruption Laws </w:t>
      </w:r>
      <w:r>
        <w:rPr>
          <w:rFonts w:ascii="Times New Roman;serif" w:hAnsi="Times New Roman;serif"/>
          <w:b w:val="false"/>
          <w:strike/>
          <w:color w:val="008000"/>
          <w:sz w:val="24"/>
        </w:rPr>
        <w:t xml:space="preserve">in any jurisdiction in which any </w:t>
      </w:r>
      <w:r>
        <w:rPr>
          <w:rFonts w:ascii="Times New Roman;serif" w:hAnsi="Times New Roman;serif"/>
          <w:b w:val="false"/>
          <w:strike/>
          <w:color w:val="FF0000"/>
          <w:sz w:val="24"/>
        </w:rPr>
        <w:t>Covered Entity conducts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Taxes</w:t>
      </w:r>
      <w:r>
        <w:rPr>
          <w:rFonts w:ascii="Times New Roman;serif" w:hAnsi="Times New Roman;serif"/>
          <w:b w:val="false"/>
          <w:color w:val="000000"/>
          <w:sz w:val="24"/>
        </w:rPr>
        <w:t>. Each SPV Entity will (i) timely file all tax returns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SPV Entities’ Tax Status</w:t>
      </w:r>
      <w:r>
        <w:rPr>
          <w:rFonts w:ascii="Times New Roman;serif" w:hAnsi="Times New Roman;serif"/>
          <w:b w:val="false"/>
          <w:color w:val="000000"/>
          <w:sz w:val="24"/>
        </w:rPr>
        <w:t>. The Seller will remain a wholly-owned subsidiary of a United States person (within the meaning of Section 7701(a)(30) of the Code) and not be subject to withholding under Section 1446 of the Code. The Seller shall not (i) be treated other than as a “disregarded entity” within the meaning of U.S. Treasury Regulation § 301.7701-3 that is wholly owned by a “United States person” within the meaning of Section 7701(a)(30) of the Code for U.S. federal income tax purposes, (ii) become an association taxable as a corporation or a publicly traded partnership taxable as a corporation for U.S. federal income tax purposes, (iii) become subject to any Tax in any jurisdiction outside the United States or (iv) become subject to any material tax imposed by a state or local taxing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Minimum Funding Threshold</w:t>
      </w:r>
      <w:r>
        <w:rPr>
          <w:rFonts w:ascii="Times New Roman;serif" w:hAnsi="Times New Roman;serif"/>
          <w:b w:val="false"/>
          <w:color w:val="000000"/>
          <w:sz w:val="24"/>
        </w:rPr>
        <w:t>. The SPV Entities shall cause the Aggregate Capital to equal or exceed the Minimum Funding Threshold at all times unless and until the Termination Date occurs.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Liquidity Coverage Ratio</w:t>
      </w:r>
      <w:r>
        <w:rPr>
          <w:rFonts w:ascii="Times New Roman;serif" w:hAnsi="Times New Roman;serif"/>
          <w:b w:val="false"/>
          <w:color w:val="000000"/>
          <w:sz w:val="24"/>
        </w:rPr>
        <w:t>. No SPV Entity shall issue a LCR Security.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Certificate of Beneficial Ownership and Other Additional Information</w:t>
      </w:r>
      <w:r>
        <w:rPr>
          <w:rFonts w:ascii="Times New Roman;serif" w:hAnsi="Times New Roman;serif"/>
          <w:b w:val="false"/>
          <w:color w:val="000000"/>
          <w:sz w:val="24"/>
        </w:rPr>
        <w:t>. Each SPV Entity shall provide to the Administrative Agent and the Purchasers: (i) confirmation of the accuracy of the information set forth in the most recent Certificate of Beneficial Ownership provided to the Administrative Agent and the Purchasers</w:t>
      </w:r>
      <w:r>
        <w:rPr>
          <w:rFonts w:ascii="Times New Roman;serif" w:hAnsi="Times New Roman;serif"/>
          <w:b w:val="false"/>
          <w:color w:val="0000FF"/>
          <w:sz w:val="24"/>
          <w:u w:val="single"/>
        </w:rPr>
        <w:t>, upon request by the Administrative Agent or any Purchaser from time to time</w:t>
      </w:r>
      <w:r>
        <w:rPr>
          <w:rFonts w:ascii="Times New Roman;serif" w:hAnsi="Times New Roman;serif"/>
          <w:b w:val="false"/>
          <w:color w:val="000000"/>
          <w:sz w:val="24"/>
        </w:rPr>
        <w:t>; (ii) a new Certificate of Beneficial Ownership, in form and substance acceptable to the Administrative Agent and each Purchaser, when the individual(s) to be identified as a Beneficial Owner have changed; and (iii) such other information and documentation as may reasonably be requested by the Administrative Agent or any Purchaser from time to time for purposes of compliance by the Administrative Agent or such Purchaser with applicable Laws (including the USA PATRIOT Act and other “know your customer” and anti-money laundering rules and regulations), and any policy or procedure implemented by the Administrative Agent or such Purchaser to comply therewith.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Linked Accounts</w:t>
      </w:r>
      <w:r>
        <w:rPr>
          <w:rFonts w:ascii="Times New Roman;serif" w:hAnsi="Times New Roman;serif"/>
          <w:b w:val="false"/>
          <w:color w:val="000000"/>
          <w:sz w:val="24"/>
        </w:rPr>
        <w:t xml:space="preserve">. Except for any Permitted Linked Account, no SPV Entity shall permit any Linked Account to exist with respect to any Collection Account;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at any time during the continuance of an Event of Default, any SPV Entity shall, if so instructed by the Administrative Agent (in its sole discretion), cause each Permitted Linked Account to cease being a “Linked Account” promptly, but not later than two (2) Business Days following such SPV Entity’s or the Servicers’ receipt of such instruction.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any SPV Entity provides personal data (as defined in the relevant Data Protection Laws) to the Administrative Agent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any SPV Entity, the Administrative Agent and the Purchasers in accordance with their respective obligations under applicable Data Protection Laws for the purposes contemplated under the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9"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7.02 </w:t>
      </w:r>
      <w:r>
        <w:rPr>
          <w:rFonts w:ascii="Times New Roman;serif" w:hAnsi="Times New Roman;serif"/>
          <w:b w:val="false"/>
          <w:color w:val="000000"/>
          <w:sz w:val="24"/>
          <w:u w:val="single"/>
        </w:rPr>
        <w:t>Covenants of the Servicers</w:t>
      </w:r>
      <w:r>
        <w:rPr>
          <w:rFonts w:ascii="Times New Roman;serif" w:hAnsi="Times New Roman;serif"/>
          <w:b w:val="false"/>
          <w:color w:val="000000"/>
          <w:sz w:val="24"/>
        </w:rPr>
        <w:t>. At all times from the Closing Date until the Final Payout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Existence</w:t>
      </w:r>
      <w:r>
        <w:rPr>
          <w:rFonts w:ascii="Times New Roman;serif" w:hAnsi="Times New Roman;serif"/>
          <w:b w:val="false"/>
          <w:color w:val="000000"/>
          <w:sz w:val="24"/>
        </w:rPr>
        <w:t>. Each Servicer shall keep in full force and effect its existence and rights (i) in the case of the U.S. Servicer, as a corporation or other entity under the laws of the State of Delaware, (ii) in the case of the UK Servicer, as a private limited company or other entity under the laws of England and Wales, (iii) in the case of the Swiss Servicer, as a limited liability company (</w:t>
      </w:r>
      <w:r>
        <w:rPr>
          <w:rFonts w:ascii="Times New Roman;serif" w:hAnsi="Times New Roman;serif"/>
          <w:b w:val="false"/>
          <w:i/>
          <w:color w:val="000000"/>
          <w:sz w:val="24"/>
        </w:rPr>
        <w:t>Gesellschaft mit beschränkter Haftung</w:t>
      </w:r>
      <w:r>
        <w:rPr>
          <w:rFonts w:ascii="Times New Roman;serif" w:hAnsi="Times New Roman;serif"/>
          <w:b w:val="false"/>
          <w:color w:val="000000"/>
          <w:sz w:val="24"/>
        </w:rPr>
        <w:t>) or other entity under the laws of Switzerland, and (iv) in the case of the Canadian Servicer, as a company or other entity under the laws of the Province of British Columbia. Each Servicer shall obtain and preserve its qualification to do business in each jurisdiction in which the conduct of its business or the servicing of the Pool Receivables as required by this Agreement requires such qualification, except where the failure to do so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Financial Reporting</w:t>
      </w:r>
      <w:r>
        <w:rPr>
          <w:rFonts w:ascii="Times New Roman;serif" w:hAnsi="Times New Roman;serif"/>
          <w:b w:val="false"/>
          <w:color w:val="000000"/>
          <w:sz w:val="24"/>
        </w:rPr>
        <w:t xml:space="preserve">. Each Servicer will maintain a system of accounting established and administered in accordance with GAAP, and each Servicer shall furnish to the Administrative Agent (who shall reasonably promptly forward to each Purchaser) each of the financial statements, certifications, reports (including Pool Reports), filings and other documents and information required to be delivered by the Seller pursuant to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when due to be delivered by the Seller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Notices</w:t>
      </w:r>
      <w:r>
        <w:rPr>
          <w:rFonts w:ascii="Times New Roman;serif" w:hAnsi="Times New Roman;serif"/>
          <w:b w:val="false"/>
          <w:color w:val="000000"/>
          <w:sz w:val="24"/>
        </w:rPr>
        <w:t>. Each Servicer will notify the Administrative Agent (who shall reasonably promptly forward to each Purchaser) in writing of any of the following events promptly upon (but in no event later than three (3) Business Days after, unless otherwise specified below) an Authorized Officer or other officer learning of the occurrence thereof, with such notice describing the same, and if applicable, the steps being taken by the Person(s) affected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Notice of Events of Default or Potential Defaults</w:t>
      </w:r>
      <w:r>
        <w:rPr>
          <w:rFonts w:ascii="Times New Roman;serif" w:hAnsi="Times New Roman;serif"/>
          <w:b w:val="false"/>
          <w:color w:val="000000"/>
          <w:sz w:val="24"/>
        </w:rPr>
        <w:t>. A statement of an Authorized Officer of such Servicer setting forth details of any Event of Default or Potential Default that has occurred and is continuing and the action which such Servicer proposes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failure of any representation or warranty made or deemed made by such Servicer under this Agreement or any other Transaction Document to be true and correct in any material respect when made (or, if such representation and warranty by its terms refer to an earlier date, as of such earlier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Litigation</w:t>
      </w:r>
      <w:r>
        <w:rPr>
          <w:rFonts w:ascii="Times New Roman;serif" w:hAnsi="Times New Roman;serif"/>
          <w:b w:val="false"/>
          <w:color w:val="000000"/>
          <w:sz w:val="24"/>
        </w:rPr>
        <w:t>. The institution of any litigation, arbitration proceeding or governmental proceeding with respect to any SPV Entity-Related Party that, with respect to any Person other than the Seller,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Adverse Claim</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 Any Person shall obtain an Adverse Claim other than a Permitted Averse Claim upon the Supporting Assets or any portion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any Person other than the Seller, any Servicer or the Administrative Agent shall obtain any rights or direct any action with respect to any Collection Account (or related Lock-Box) or (C) any Obligor shall receive any change in payment instructions with respect to Pool Receivable(s) from a Person other than a Servicer or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Name/Organization Changes</w:t>
      </w:r>
      <w:r>
        <w:rPr>
          <w:rFonts w:ascii="Times New Roman;serif" w:hAnsi="Times New Roman;serif"/>
          <w:b w:val="false"/>
          <w:color w:val="000000"/>
          <w:sz w:val="24"/>
        </w:rPr>
        <w:t>. At least thirty (30) days before any change in any Originator’s or any SPV Entity’s name, jurisdiction of organization or any other change requiring the amendment of UCC financing statements or PPSA financing statements.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Change in Accountants or Accounting Policy</w:t>
      </w:r>
      <w:r>
        <w:rPr>
          <w:rFonts w:ascii="Times New Roman;serif" w:hAnsi="Times New Roman;serif"/>
          <w:b w:val="false"/>
          <w:color w:val="000000"/>
          <w:sz w:val="24"/>
        </w:rPr>
        <w:t>. Any change in (A) the external accountants of any SPV Entity-Related Party, (B) any accounting policy of any SPV Entity or (C)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Transfer Termination Event</w:t>
      </w:r>
      <w:r>
        <w:rPr>
          <w:rFonts w:ascii="Times New Roman;serif" w:hAnsi="Times New Roman;serif"/>
          <w:b w:val="false"/>
          <w:color w:val="000000"/>
          <w:sz w:val="24"/>
        </w:rPr>
        <w:t>. The occurrence of any Transfer Termination Event.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Promptly after the occurrence thereof, notice of any material adverse change in the business, operations, property or financial or other condition of any SPV Entity, any Servicer, the Performance Guarantor or any Originator.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(ix)    </w:t>
      </w:r>
      <w:r>
        <w:rPr>
          <w:rFonts w:ascii="Times New Roman;serif" w:hAnsi="Times New Roman;serif"/>
          <w:b w:val="false"/>
          <w:color w:val="000000"/>
          <w:sz w:val="24"/>
          <w:u w:val="single"/>
        </w:rPr>
        <w:t>ERISA Event</w:t>
      </w:r>
      <w:r>
        <w:rPr>
          <w:rFonts w:ascii="Times New Roman;serif" w:hAnsi="Times New Roman;serif"/>
          <w:b w:val="false"/>
          <w:color w:val="000000"/>
          <w:sz w:val="24"/>
        </w:rPr>
        <w:t>. Promptly upon the occurrence of any ERISA Event, notice in writing setting forth the details thereof and the action which the SPV Entity-Related Parties propose to take with respect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Each Servicer will carry on and conduct its business in substantially the same manner and in substantially the same fields of enterprise as it is presently conducted, and will do all things necessary to remain duly organized, validly existing and in good standing as a domestic corporation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Servicer will comply with all applicable Laws to which it may be subject if the failure to comply could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Furnishing of Information and Inspection of Receivables</w:t>
      </w:r>
      <w:r>
        <w:rPr>
          <w:rFonts w:ascii="Times New Roman;serif" w:hAnsi="Times New Roman;serif"/>
          <w:b w:val="false"/>
          <w:color w:val="000000"/>
          <w:sz w:val="24"/>
        </w:rPr>
        <w:t xml:space="preserve">. Each Servicer will furnish or cause to be furnished to the Administrative Agent and each Purchaser from time to time such information with respect to the Pool Receivables and the other Supporting Assets as the Administrative Agent or any Purchaser may reasonably request. Each Servicer will,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Servicer’s expense, during regular business hours with prior written notice, (i) permit the Administrative Agent and each Purchaser or their respective agents or representatives to (A) examine and make copies of and abstracts from all books and records relating to the Pool Receivables or other Supporting Assets, (B) visit the offices and properties of such Servicer for the purpose of examining such books and records and (C) discuss matters relating to the Pool Receivables, the other Supporting Assets or such Servicer’s performance hereunder or under the other Transaction Documents to which it is a party with any of the officers, directors, employees or independent public accountants of such Servicer (provided that representatives of such Servicer are present during such discussions) having knowledge of such matters and (ii) without limiting the provisions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during regular business hours, at such Servicer’s expense, upon at least five (5) Business Days’ prior written notice from the Administrative Agent, permit certified public accountants or other auditors acceptable to the Administrative Agent to conduct a review of its books and records with respect to the Pool Receivables and other Supporting Assets;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such Servicer shall be required to reimburse the Administrative Agent for only one (1) such review pursuant to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above (inclusive of any review under </w:t>
      </w:r>
      <w:r>
        <w:rPr>
          <w:rFonts w:ascii="Times New Roman;serif" w:hAnsi="Times New Roman;serif"/>
          <w:b w:val="false"/>
          <w:color w:val="000000"/>
          <w:sz w:val="24"/>
          <w:u w:val="single"/>
        </w:rPr>
        <w:t>Section 7.01(g))</w:t>
      </w:r>
      <w:r>
        <w:rPr>
          <w:color w:val="000000"/>
        </w:rPr>
        <w:t xml:space="preserve"> </w:t>
      </w:r>
      <w:r>
        <w:rPr>
          <w:rFonts w:ascii="Times New Roman;serif" w:hAnsi="Times New Roman;serif"/>
          <w:b w:val="false"/>
          <w:color w:val="000000"/>
          <w:sz w:val="24"/>
        </w:rPr>
        <w:t>and two (2) such reviews pursuant to clause (i) above in any twelve-month period unless an Event of Default or Potential Default has occurred and is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Payments on Receivables, Collection Accounts</w:t>
      </w:r>
      <w:r>
        <w:rPr>
          <w:rFonts w:ascii="Times New Roman;serif" w:hAnsi="Times New Roman;serif"/>
          <w:b w:val="false"/>
          <w:color w:val="000000"/>
          <w:sz w:val="24"/>
        </w:rPr>
        <w:t xml:space="preserve">. Each Servicer will at all times instruct all Obligors to deliver payments on the Pool Receivables to a Collection Account or a Lock-Box. Each Servicer will, at all times, maintain such books and records necessary to identify Collections received from time to time on Pool Receivables and to segregate such Collections from other property of such Servicer and the Originators. If any payments on the Pool Receivables or other Collections are received by an SPV Entity, such Servicer or an Originator, (i) each Servicer shall cause each such party to hold such payments in trust for the benefit of the Administrative Agent, the Purchasers and the other Secured Parties, and (ii)(A) with respect to funds being remitted to an account other than the Foreign Originator Accounts, it shall cause each such party to promptly (but in any event within two (2) Business Days after receipt) remit such funds into a Collection Account and (B) with respect to funds being remitted to a Foreign Originator Account, the UK Servicer, the Swiss Servicer and the Canadian Servicer shall cause the UK Originator, a Swiss Originator or a Canadian Originator, as applicable, to sweep all Collections corresponding to Eligible Receivables to the applicable Collection Account promptly but in any event no later than one week after receipt. Each Servicer will cause each Collection Account Bank to comply with the terms of each applicable Account Control Agreement. No Servicer shall permit funds other than Collections on Pool Receivables and other Supporting Assets to be deposited into any Collection Account. If any funds that are not Collections on Pool Receivables or other Supporting Assets are deposited into any Collection Account, the applicable Servicer will within two (2) Business Days of an SPV Entity or Servicer obtaining knowledge thereof and, in any case, not later than one week after receipt thereof, identify and transfer such funds to the appropriate Person entitled to such funds. No Servicer will, or will permit an SPV Entity, an Originator or any other Person to commingle Collections or other funds to which the Administrative Agent, any Purchaser or any other Secured Party is entitled, with any other funds, except as expressly permitted herein. The UK Servicer, the Swiss Servicer and the Canadian Servicer shall use commercially reasonable efforts to ensure that 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after each Post-Closing Foreign Originator Account Compliance Date, all Collections with respect to each Receivable for which a Foreign Obligor Consent was obtained are being paid directly to a Collection Account and not paid to a Foreign Originator Account or any other deposit account. If for any reason, on and after a Post-Closing Foreign Originator Account Compliance Date, such Collections are received in a Foreign Originator Account and not received in a Collection Account during any Fiscal Month, then the Administrative Agent (in its sole discretion) may by written notice to the UK Servicer, the Swiss Servicer and the Canadian Servicer, as applicable, deem such Receivables for which a Foreign Obligor Consent was obtained and for which any or all Obligors made such payments into a Foreign Originator Account (or an associated Lock-box) and not a Collection Account during such Fiscal Month to not constitute Eligible Receivables, and such Receivables shall not constitute Eligible Receivables for any purpose of the Transaction Documents. The Servicers shall only add a Collection Account (or a related Lock-Box), or a Collection Account Bank to those listed on </w:t>
      </w:r>
      <w:r>
        <w:rPr>
          <w:rFonts w:ascii="Times New Roman;serif" w:hAnsi="Times New Roman;serif"/>
          <w:b w:val="false"/>
          <w:color w:val="000000"/>
          <w:sz w:val="24"/>
          <w:u w:val="single"/>
        </w:rPr>
        <w:t>Schedule II</w:t>
      </w:r>
      <w:r>
        <w:rPr>
          <w:color w:val="000000"/>
        </w:rPr>
        <w:t xml:space="preserve"> </w:t>
      </w:r>
      <w:r>
        <w:rPr>
          <w:rFonts w:ascii="Times New Roman;serif" w:hAnsi="Times New Roman;serif"/>
          <w:b w:val="false"/>
          <w:color w:val="000000"/>
          <w:sz w:val="24"/>
        </w:rPr>
        <w:t>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Servicers shall only terminate a Collection Account Bank or close a Collection Account (or a related Lock-Box) with the prior written consent of the Administrative Agent. Each Servicer shall ensure that no disbursements are made from any Collection Account, other than such disbursements that are made at the direction and for the account of an SPV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Extension or Amendment of Pool Receivables</w:t>
      </w:r>
      <w:r>
        <w:rPr>
          <w:rFonts w:ascii="Times New Roman;serif" w:hAnsi="Times New Roman;serif"/>
          <w:b w:val="false"/>
          <w:color w:val="000000"/>
          <w:sz w:val="24"/>
        </w:rPr>
        <w:t xml:space="preserve">. Except as otherwise permitted in </w:t>
      </w:r>
      <w:r>
        <w:rPr>
          <w:rFonts w:ascii="Times New Roman;serif" w:hAnsi="Times New Roman;serif"/>
          <w:b w:val="false"/>
          <w:color w:val="000000"/>
          <w:sz w:val="24"/>
          <w:u w:val="single"/>
        </w:rPr>
        <w:t>Section 8.02</w:t>
      </w:r>
      <w:r>
        <w:rPr>
          <w:rFonts w:ascii="Times New Roman;serif" w:hAnsi="Times New Roman;serif"/>
          <w:b w:val="false"/>
          <w:color w:val="000000"/>
          <w:sz w:val="24"/>
        </w:rPr>
        <w:t>, no Servicer will alter the delinquency status or adjust the Outstanding Balance or otherwise modify the terms of any Pool Receivable in any material respect, or amend, modify or waive, in any material respect, any term or condition of any related Contract. Each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Change in Credit and Collection Policy</w:t>
      </w:r>
      <w:r>
        <w:rPr>
          <w:rFonts w:ascii="Times New Roman;serif" w:hAnsi="Times New Roman;serif"/>
          <w:b w:val="false"/>
          <w:color w:val="000000"/>
          <w:sz w:val="24"/>
        </w:rPr>
        <w:t>. No Servicer will make any material change in the Credit and Collection Policy that could reasonably be expected to adversely affect in any material respect the value, validity, collectability or enforceability of the Receivables or decrease the credit quality of the Receivables (in each case, taken as a whole) without the prior written consent of the Administrative Agent and the Required Purchasers. Promptly following any change in the Credit and Collection Policy, the applicable Servicer will deliver a copy of the updated Credit and Collection Policy to the Administrative Agent and each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Records</w:t>
      </w:r>
      <w:r>
        <w:rPr>
          <w:rFonts w:ascii="Times New Roman;serif" w:hAnsi="Times New Roman;serif"/>
          <w:b w:val="false"/>
          <w:color w:val="000000"/>
          <w:sz w:val="24"/>
        </w:rPr>
        <w:t xml:space="preserve">. Each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3"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permit the daily identification of each Pool Receivable and all Collections of and adjustments to each existing Pool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Identifying of Records</w:t>
      </w:r>
      <w:r>
        <w:rPr>
          <w:rFonts w:ascii="Times New Roman;serif" w:hAnsi="Times New Roman;serif"/>
          <w:b w:val="false"/>
          <w:color w:val="000000"/>
          <w:sz w:val="24"/>
        </w:rPr>
        <w:t>. Each Servicer shall cause its master data processing records relating to Pool Receivables and related Contracts to clearly and unambiguously indicate that the Pool Receivables have been sold or contributed by the Originators to the Aggregator or the Canadian Guarantor, as applicable, by the Aggregator to the Seller and sold or pledged by the Seller pursuant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Change in Payment Instructions to Obligors</w:t>
      </w:r>
      <w:r>
        <w:rPr>
          <w:rFonts w:ascii="Times New Roman;serif" w:hAnsi="Times New Roman;serif"/>
          <w:b w:val="false"/>
          <w:color w:val="000000"/>
          <w:sz w:val="24"/>
        </w:rPr>
        <w:t>. No Servicer shall (or shall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Security Interest, Etc.</w:t>
      </w:r>
      <w:r>
        <w:rPr>
          <w:color w:val="000000"/>
        </w:rPr>
        <w:t xml:space="preserve"> </w:t>
      </w:r>
      <w:r>
        <w:rPr>
          <w:rFonts w:ascii="Times New Roman;serif" w:hAnsi="Times New Roman;serif"/>
          <w:b w:val="false"/>
          <w:color w:val="000000"/>
          <w:sz w:val="24"/>
        </w:rPr>
        <w:t>Each Servicer shall, at its expense, take all action necessary or reasonably desirable to establish and maintain a valid and enforceable first priority perfected ownership or security interest in the Supporting Assets, in each case free and clear of any Adverse Claim other than Permitted Adverse Claims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Servicers shall, from time to time take such action, or execute and deliver such instruments as may be necessary (including such actions as are reasonably requested by the Administrative Agent) to maintain and perfect, as a first-priority interest, the Administrative Agent’s security interest in the Receivables, Related Security and Collections. Each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U.S. Servicer to file such financing statements, amendments and continuations under the UCC and the Canadian Servicer to file such financing statements and financing change statements under the PPSA without the signature of any SPV Entity, any Originator or the Administrative Agent where allowed by applicable Law. Notwithstanding anything else in the Transaction Documents to the contrary, no Servicer shall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Further Assurances; Change in Name or Jurisdiction of Origination, etc.</w:t>
      </w:r>
      <w:r>
        <w:rPr>
          <w:color w:val="000000"/>
        </w:rPr>
        <w:t xml:space="preserve"> </w:t>
      </w:r>
      <w:r>
        <w:rPr>
          <w:rFonts w:ascii="Times New Roman;serif" w:hAnsi="Times New Roman;serif"/>
          <w:b w:val="false"/>
          <w:color w:val="000000"/>
          <w:sz w:val="24"/>
        </w:rPr>
        <w:t>Each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their respective rights and remedies under this Agreement or any other Transaction Document. Without limiting the foregoing, each Servicer hereby authorizes, and will, upon the request of the Administrative Agent, at such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Sanctions</w:t>
      </w:r>
      <w:r>
        <w:rPr>
          <w:strike/>
          <w:color w:val="FF0000"/>
          <w:u w:val="single"/>
        </w:rPr>
        <w:t xml:space="preserve"> </w:t>
      </w:r>
      <w:r>
        <w:rPr>
          <w:rFonts w:ascii="Times New Roman;serif" w:hAnsi="Times New Roman;serif"/>
          <w:b w:val="false"/>
          <w:strike/>
          <w:color w:val="FF0000"/>
          <w:sz w:val="24"/>
          <w:u w:val="single"/>
        </w:rPr>
        <w:t>and other Anti-Terrorism Laws;</w:t>
      </w:r>
      <w:r>
        <w:rPr>
          <w:rFonts w:ascii="Times New Roman;serif" w:hAnsi="Times New Roman;serif"/>
          <w:b w:val="false"/>
          <w:color w:val="0000FF"/>
          <w:sz w:val="24"/>
          <w:u w:val="single"/>
        </w:rPr>
        <w:t>; International Trade; Anti-Money Laundering and</w:t>
      </w:r>
      <w:r>
        <w:rPr>
          <w:color w:val="000000"/>
          <w:u w:val="single"/>
        </w:rPr>
        <w:t xml:space="preserve"> </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xml:space="preserve">. Each Servicer </w:t>
      </w:r>
      <w:r>
        <w:rPr>
          <w:rFonts w:ascii="Times New Roman;serif" w:hAnsi="Times New Roman;serif"/>
          <w:b w:val="false"/>
          <w:strike/>
          <w:color w:val="FF0000"/>
          <w:sz w:val="24"/>
        </w:rPr>
        <w:t>covenants and agrees that</w:t>
      </w:r>
      <w:r>
        <w:rPr>
          <w:rFonts w:ascii="Times New Roman;serif" w:hAnsi="Times New Roman;serif"/>
          <w:b w:val="false"/>
          <w:color w:val="0000FF"/>
          <w:sz w:val="24"/>
          <w:u w:val="single"/>
        </w:rPr>
        <w:t xml:space="preserve">that shall, and shall cause </w:t>
      </w:r>
      <w:r>
        <w:rPr>
          <w:rFonts w:ascii="Times New Roman;serif" w:hAnsi="Times New Roman;serif"/>
          <w:b w:val="false"/>
          <w:color w:val="008000"/>
          <w:sz w:val="24"/>
          <w:u w:val="single"/>
        </w:rPr>
        <w:t>each other Covered Entity to</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(i) it shall immediately notify each Purchaser Party in writing upon the occurrence of a Reportable Compliance Event;</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(ii) if, at any time, any Supporting Assets becomes Embargoed Property, then, in addition to all other rights and remedies available to any Purchaser Party, upon request by any Purchaser Party, it shall cause any SPV Entity to provide substitute Supporting Assets acceptable to the Administrative Agent that is not Embargoed Property;</w:t>
      </w:r>
    </w:p>
    <w:p>
      <w:pPr>
        <w:pStyle w:val="TextBody"/>
        <w:bidi w:val="0"/>
        <w:spacing w:lineRule="auto" w:line="288" w:before="0" w:after="240"/>
        <w:ind w:left="0" w:right="0" w:firstLine="1440"/>
        <w:jc w:val="both"/>
        <w:rPr/>
      </w:pPr>
      <w:r>
        <w:rPr>
          <w:rFonts w:ascii="Times New Roman;serif" w:hAnsi="Times New Roman;serif"/>
          <w:b w:val="false"/>
          <w:color w:val="0000FF"/>
          <w:sz w:val="24"/>
          <w:u w:val="single"/>
        </w:rPr>
        <w:t>(i)    </w:t>
      </w:r>
      <w:r>
        <w:rPr>
          <w:rFonts w:ascii="Times New Roman;serif" w:hAnsi="Times New Roman;serif"/>
          <w:b w:val="false"/>
          <w:strike/>
          <w:color w:val="FF0000"/>
          <w:sz w:val="24"/>
        </w:rPr>
        <w:t>(iii) it shall, and shall require each other Covered Entity to, conduct its business in compliance with all</w:t>
      </w:r>
      <w:r>
        <w:rPr>
          <w:rFonts w:ascii="Times New Roman;serif" w:hAnsi="Times New Roman;serif"/>
          <w:b w:val="false"/>
          <w:color w:val="0000FF"/>
          <w:sz w:val="24"/>
          <w:u w:val="single"/>
        </w:rPr>
        <w:t>(A) in the event that any Support Assets become Covered Property, promptly notify the Administrative Agent and provide to the Administrative Agent additional Support Assets that are not Covered Property of at least equal value to the Support Assets that became Covered Property, except to the extent prohibited by applicable Law; and (B) comply with applicable International Trade Laws, Sanctions, Anti-Money Laundering Laws and</w:t>
      </w:r>
      <w:r>
        <w:rPr>
          <w:color w:val="000000"/>
        </w:rPr>
        <w:t xml:space="preserve"> </w:t>
      </w:r>
      <w:r>
        <w:rPr>
          <w:rFonts w:ascii="Times New Roman;serif" w:hAnsi="Times New Roman;serif"/>
          <w:b w:val="false"/>
          <w:color w:val="000000"/>
          <w:sz w:val="24"/>
        </w:rPr>
        <w:t xml:space="preserve">Anti-Corruption Laws and maintain </w:t>
      </w:r>
      <w:r>
        <w:rPr>
          <w:rFonts w:ascii="Times New Roman;serif" w:hAnsi="Times New Roman;serif"/>
          <w:b w:val="false"/>
          <w:color w:val="0000FF"/>
          <w:sz w:val="24"/>
          <w:u w:val="single"/>
        </w:rPr>
        <w:t xml:space="preserve">and enforce </w:t>
      </w:r>
      <w:r>
        <w:rPr>
          <w:rFonts w:ascii="Times New Roman;serif" w:hAnsi="Times New Roman;serif"/>
          <w:b w:val="false"/>
          <w:color w:val="000000"/>
          <w:sz w:val="24"/>
        </w:rPr>
        <w:t xml:space="preserve">policies and procedures </w:t>
      </w:r>
      <w:r>
        <w:rPr>
          <w:rFonts w:ascii="Times New Roman;serif" w:hAnsi="Times New Roman;serif"/>
          <w:b w:val="false"/>
          <w:color w:val="0000FF"/>
          <w:sz w:val="24"/>
          <w:u w:val="single"/>
        </w:rPr>
        <w:t xml:space="preserve">reasonably </w:t>
      </w:r>
      <w:r>
        <w:rPr>
          <w:rFonts w:ascii="Times New Roman;serif" w:hAnsi="Times New Roman;serif"/>
          <w:b w:val="false"/>
          <w:color w:val="000000"/>
          <w:sz w:val="24"/>
        </w:rPr>
        <w:t xml:space="preserve">designed to ensure compliance with </w:t>
      </w:r>
      <w:r>
        <w:rPr>
          <w:rFonts w:ascii="Times New Roman;serif" w:hAnsi="Times New Roman;serif"/>
          <w:b w:val="false"/>
          <w:strike/>
          <w:color w:val="FF0000"/>
          <w:sz w:val="24"/>
        </w:rPr>
        <w:t>such Laws;</w:t>
      </w:r>
      <w:r>
        <w:rPr>
          <w:rFonts w:ascii="Times New Roman;serif" w:hAnsi="Times New Roman;serif"/>
          <w:b w:val="false"/>
          <w:color w:val="0000FF"/>
          <w:sz w:val="24"/>
          <w:u w:val="single"/>
        </w:rPr>
        <w:t>all applicable International Trade Laws, Sanctions, Anti-Money Laundering Laws and Anti-Corruption Laws by each Covered Entity, each Covered Entity's directors and officers, and any employee, agent or affiliate acting on behalf of each Covered Entity in connection with this Agreement;</w:t>
      </w:r>
    </w:p>
    <w:p>
      <w:pPr>
        <w:pStyle w:val="TextBody"/>
        <w:bidi w:val="0"/>
        <w:spacing w:lineRule="auto" w:line="288" w:before="0" w:after="240"/>
        <w:ind w:left="0" w:right="0" w:firstLine="1440"/>
        <w:jc w:val="both"/>
        <w:rPr/>
      </w:pPr>
      <w:r>
        <w:rPr>
          <w:rFonts w:ascii="Times New Roman;serif" w:hAnsi="Times New Roman;serif"/>
          <w:b w:val="false"/>
          <w:color w:val="0000FF"/>
          <w:sz w:val="24"/>
          <w:u w:val="single"/>
        </w:rPr>
        <w:t>(ii)    </w:t>
      </w:r>
      <w:r>
        <w:rPr>
          <w:rFonts w:ascii="Times New Roman;serif" w:hAnsi="Times New Roman;serif"/>
          <w:b w:val="false"/>
          <w:strike/>
          <w:color w:val="FF0000"/>
          <w:sz w:val="24"/>
        </w:rPr>
        <w:t>(iv) it and its Subsidiaries will not</w:t>
      </w:r>
      <w:r>
        <w:rPr>
          <w:rFonts w:ascii="Times New Roman;serif" w:hAnsi="Times New Roman;serif"/>
          <w:b w:val="false"/>
          <w:color w:val="0000FF"/>
          <w:sz w:val="24"/>
          <w:u w:val="single"/>
        </w:rPr>
        <w:t xml:space="preserve">neither do any of the following nor permit any SPV Entity-Related Party or any SPV Entity-Related Party's directors, officers or employees, or to any SPV Entity-Related Party's knowledge, any agents or affiliates acting on any SPV Entity-Related Party's </w:t>
      </w:r>
      <w:r>
        <w:rPr>
          <w:rFonts w:ascii="Times New Roman;serif" w:hAnsi="Times New Roman;serif"/>
          <w:b w:val="false"/>
          <w:color w:val="008000"/>
          <w:sz w:val="24"/>
          <w:u w:val="single"/>
        </w:rPr>
        <w:t xml:space="preserve">behalf in connection with this Agreement </w:t>
      </w:r>
      <w:r>
        <w:rPr>
          <w:rFonts w:ascii="Times New Roman;serif" w:hAnsi="Times New Roman;serif"/>
          <w:b w:val="false"/>
          <w:color w:val="0000FF"/>
          <w:sz w:val="24"/>
          <w:u w:val="single"/>
        </w:rPr>
        <w:t>or the other Transaction Documents to</w:t>
      </w:r>
      <w:r>
        <w:rPr>
          <w:rFonts w:ascii="Times New Roman;serif" w:hAnsi="Times New Roman;serif"/>
          <w:b w:val="false"/>
          <w:color w:val="000000"/>
          <w:sz w:val="24"/>
        </w:rPr>
        <w:t>: (A) become a Sanctioned Person</w:t>
      </w:r>
      <w:r>
        <w:rPr>
          <w:strike/>
          <w:color w:val="FF0000"/>
        </w:rPr>
        <w:t xml:space="preserve"> </w:t>
      </w:r>
      <w:r>
        <w:rPr>
          <w:rFonts w:ascii="Times New Roman;serif" w:hAnsi="Times New Roman;serif"/>
          <w:b w:val="false"/>
          <w:strike/>
          <w:color w:val="FF0000"/>
          <w:sz w:val="24"/>
        </w:rPr>
        <w:t xml:space="preserve">or allow any employees, officers, directors, affiliates, consultants, brokers, or agents acting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5"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strike/>
          <w:color w:val="FF0000"/>
          <w:sz w:val="24"/>
        </w:rPr>
        <w:t>on its behalf in connection with this Agreement to become a Sanctioned Person</w:t>
      </w:r>
      <w:r>
        <w:rPr>
          <w:rFonts w:ascii="Times New Roman;serif" w:hAnsi="Times New Roman;serif"/>
          <w:b w:val="false"/>
          <w:color w:val="000000"/>
          <w:sz w:val="24"/>
        </w:rPr>
        <w:t>; (B) directly</w:t>
      </w:r>
      <w:r>
        <w:rPr>
          <w:rFonts w:ascii="Times New Roman;serif" w:hAnsi="Times New Roman;serif"/>
          <w:b w:val="false"/>
          <w:strike/>
          <w:color w:val="FF0000"/>
          <w:sz w:val="24"/>
        </w:rPr>
        <w:t xml:space="preserve">, </w:t>
      </w:r>
      <w:r>
        <w:rPr>
          <w:rFonts w:ascii="Times New Roman;serif" w:hAnsi="Times New Roman;serif"/>
          <w:b w:val="false"/>
          <w:color w:val="000000"/>
          <w:sz w:val="24"/>
        </w:rPr>
        <w:t xml:space="preserve">or indirectly </w:t>
      </w:r>
      <w:r>
        <w:rPr>
          <w:rFonts w:ascii="Times New Roman;serif" w:hAnsi="Times New Roman;serif"/>
          <w:b w:val="false"/>
          <w:strike/>
          <w:color w:val="FF0000"/>
          <w:sz w:val="24"/>
        </w:rPr>
        <w:t>through a third party, engage in any transactions or other dealings</w:t>
      </w:r>
      <w:r>
        <w:rPr>
          <w:rFonts w:ascii="Times New Roman;serif" w:hAnsi="Times New Roman;serif"/>
          <w:b w:val="false"/>
          <w:color w:val="0000FF"/>
          <w:sz w:val="24"/>
          <w:u w:val="single"/>
        </w:rPr>
        <w:t>provide, use, or make available the proceeds of any Investment hereunder (x) to fund or facilitate any activities or business of,</w:t>
      </w:r>
      <w:r>
        <w:rPr>
          <w:color w:val="000000"/>
        </w:rPr>
        <w:t xml:space="preserve"> </w:t>
      </w:r>
      <w:r>
        <w:rPr>
          <w:rFonts w:ascii="Times New Roman;serif" w:hAnsi="Times New Roman;serif"/>
          <w:b w:val="false"/>
          <w:color w:val="000000"/>
          <w:sz w:val="24"/>
        </w:rPr>
        <w:t>with</w:t>
      </w:r>
      <w:r>
        <w:rPr>
          <w:rFonts w:ascii="Times New Roman;serif" w:hAnsi="Times New Roman;serif"/>
          <w:b w:val="false"/>
          <w:color w:val="0000FF"/>
          <w:sz w:val="24"/>
          <w:u w:val="single"/>
        </w:rPr>
        <w:t>,</w:t>
      </w:r>
      <w:r>
        <w:rPr>
          <w:color w:val="000000"/>
        </w:rPr>
        <w:t xml:space="preserve"> </w:t>
      </w:r>
      <w:r>
        <w:rPr>
          <w:rFonts w:ascii="Times New Roman;serif" w:hAnsi="Times New Roman;serif"/>
          <w:b w:val="false"/>
          <w:color w:val="000000"/>
          <w:sz w:val="24"/>
        </w:rPr>
        <w:t>or for the benefit of any Sanctioned Person</w:t>
      </w:r>
      <w:r>
        <w:rPr>
          <w:strike/>
          <w:color w:val="FF0000"/>
        </w:rPr>
        <w:t xml:space="preserve"> </w:t>
      </w:r>
      <w:r>
        <w:rPr>
          <w:rFonts w:ascii="Times New Roman;serif" w:hAnsi="Times New Roman;serif"/>
          <w:b w:val="false"/>
          <w:strike/>
          <w:color w:val="FF0000"/>
          <w:sz w:val="24"/>
        </w:rPr>
        <w:t>or</w:t>
      </w:r>
      <w:r>
        <w:rPr>
          <w:rFonts w:ascii="Times New Roman;serif" w:hAnsi="Times New Roman;serif"/>
          <w:b w:val="false"/>
          <w:color w:val="0000FF"/>
          <w:sz w:val="24"/>
          <w:u w:val="single"/>
        </w:rPr>
        <w:t>, (y) to fund or facilitate any activities or business of or in any</w:t>
      </w:r>
      <w:r>
        <w:rPr>
          <w:color w:val="000000"/>
        </w:rPr>
        <w:t xml:space="preserve"> </w:t>
      </w:r>
      <w:r>
        <w:rPr>
          <w:rFonts w:ascii="Times New Roman;serif" w:hAnsi="Times New Roman;serif"/>
          <w:b w:val="false"/>
          <w:color w:val="000000"/>
          <w:sz w:val="24"/>
        </w:rPr>
        <w:t xml:space="preserve">Sanctioned Jurisdiction, </w:t>
      </w:r>
      <w:r>
        <w:rPr>
          <w:rFonts w:ascii="Times New Roman;serif" w:hAnsi="Times New Roman;serif"/>
          <w:b w:val="false"/>
          <w:strike/>
          <w:color w:val="FF0000"/>
          <w:sz w:val="24"/>
        </w:rPr>
        <w:t>including any use of the proceeds of the Investments to fund any operations in, finance any investments or activities in, or, make any payments to, a Sanctioned Person or Sanctioned Jurisdiction; (C) pay or repay any Seller Obligations with Embargoed Property or funds derived from any unlawful activity; (D) permit any Supporting Assets to become Embargoed Property; or (E) cause any Purchaser Party to violate any Anti-Terrorism Law; and</w:t>
      </w:r>
      <w:r>
        <w:rPr>
          <w:rFonts w:ascii="Times New Roman;serif" w:hAnsi="Times New Roman;serif"/>
          <w:b w:val="false"/>
          <w:color w:val="0000FF"/>
          <w:sz w:val="24"/>
          <w:u w:val="single"/>
        </w:rPr>
        <w:t>or (z)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 Sanctions; (D) directly or indirectly, repay or return in whole or in art any Capital hereunder with proceeds derived from investments in or transactions with any Sanctioned Jurisdiction or Sanctioned Person or otherwise in violation of Sanctions; or (E) do business in or with, or derive any of its income, directly or indirectly, from any Sanctioned Person in violation of Sanctions or from any Sanctioned Jurisdiction.</w:t>
      </w:r>
      <w:r>
        <w:rPr>
          <w:color w:val="000000"/>
        </w:rPr>
        <w:t xml:space="preserve"> </w:t>
      </w:r>
    </w:p>
    <w:p>
      <w:pPr>
        <w:pStyle w:val="TextBody"/>
        <w:bidi w:val="0"/>
        <w:spacing w:lineRule="auto" w:line="288" w:before="0" w:after="240"/>
        <w:ind w:left="0" w:right="0" w:firstLine="1440"/>
        <w:jc w:val="both"/>
        <w:rPr>
          <w:rFonts w:ascii="Times New Roman;serif" w:hAnsi="Times New Roman;serif"/>
          <w:b w:val="false"/>
          <w:strike/>
          <w:color w:val="FF0000"/>
          <w:sz w:val="24"/>
        </w:rPr>
      </w:pPr>
      <w:r>
        <w:rPr>
          <w:rFonts w:ascii="Times New Roman;serif" w:hAnsi="Times New Roman;serif"/>
          <w:b w:val="false"/>
          <w:strike/>
          <w:color w:val="FF0000"/>
          <w:sz w:val="24"/>
        </w:rPr>
        <w:t>(v) it will not, and will not permit any its Subsidiaries to, directly or indirectly, use the Investments or any proceeds thereof for any purpose which would breach any Anti-Corruption Laws in any jurisdiction in which any Covered Entity conducts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Taxes</w:t>
      </w:r>
      <w:r>
        <w:rPr>
          <w:rFonts w:ascii="Times New Roman;serif" w:hAnsi="Times New Roman;serif"/>
          <w:b w:val="false"/>
          <w:color w:val="000000"/>
          <w:sz w:val="24"/>
        </w:rPr>
        <w:t>. Each Servicer will (i) timely file all federal, state, and other material tax returns required to be filed by it and (ii) pay, or cause to be paid, all federal, state, and other material Taxes, assessments and other governmental charges, if any, other than taxes, assessments and other governmental charges being contested in good faith by appropriate proceedings and as to which adequate reserves have been provided in accordance with GAAP, except in each case to the extent that such failure to file or pay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Seller’s Tax Status</w:t>
      </w:r>
      <w:r>
        <w:rPr>
          <w:rFonts w:ascii="Times New Roman;serif" w:hAnsi="Times New Roman;serif"/>
          <w:b w:val="false"/>
          <w:color w:val="000000"/>
          <w:sz w:val="24"/>
        </w:rPr>
        <w:t>. No Servicer shall take or cause any action to be taken that could result in the Seller (i) being treated other than as a “disregarded entity” within the meaning of U.S. Treasury Regulation § 301.7701-3 for U.S. federal income tax purposes, (ii) becoming an association taxable as a corporation or a publicly traded partnership taxable as a corporation for U.S. federal income tax purposes, (iii) being subject to any Tax in any jurisdiction outside the United States or (iv) being subject to any Tax imposed by a state or local taxing authority.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Linked Accounts</w:t>
      </w:r>
      <w:r>
        <w:rPr>
          <w:rFonts w:ascii="Times New Roman;serif" w:hAnsi="Times New Roman;serif"/>
          <w:b w:val="false"/>
          <w:color w:val="000000"/>
          <w:sz w:val="24"/>
        </w:rPr>
        <w:t xml:space="preserve">. Except for any Permitted Linked Account, no Servicer shall permit any Linked Account to exist with respect to any Collection Account; provided, however, that at any time during the continuance of an Event of Default, a Servicer shall, if so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6"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instructed by the Administrative Agent (in its sole discretion), cause each Permitted Linked Account to cease being a “Linked Account” promptly, but not later than two (2) Business Days following any SPV Entity’s or a Servicer’s receipt of such instruction.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Data Protection</w:t>
      </w:r>
      <w:r>
        <w:rPr>
          <w:rFonts w:ascii="Times New Roman;serif" w:hAnsi="Times New Roman;serif"/>
          <w:b w:val="false"/>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any Servicer provides personal data (as defined in the relevant Data Protection Laws) to the Administrative Agent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such Servicer, the Administrative Agent and the purchasers in accordance with their respective obligations under applicable Data Protection Laws for the purposes contemplated under the Transaction Documents.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7.03 </w:t>
      </w:r>
      <w:r>
        <w:rPr>
          <w:rFonts w:ascii="Times New Roman;serif" w:hAnsi="Times New Roman;serif"/>
          <w:b w:val="false"/>
          <w:color w:val="000000"/>
          <w:sz w:val="24"/>
          <w:u w:val="single"/>
        </w:rPr>
        <w:t>Separate Existence of the SPV Entities</w:t>
      </w:r>
      <w:r>
        <w:rPr>
          <w:rFonts w:ascii="Times New Roman;serif" w:hAnsi="Times New Roman;serif"/>
          <w:b w:val="false"/>
          <w:color w:val="000000"/>
          <w:sz w:val="24"/>
        </w:rPr>
        <w:t>. Each SPV Entity and each Servicer hereby acknowledges that the Purchaser Parties are entering into the transactions contemplated by this Agreement and the other Transaction Documents in reliance upon each SPV Entity’s identity as a legal entity separate from each other SPV Entity-Related Party and their Affiliates. Therefore, each SPV Entity and each Servicer shall take all steps specifically required by this Agreement or reasonably required by any Purchaser Party to continue such SPV Entity’s identity as a separate legal entity and to make it apparent to third Persons that such SPV Entity is an entity with assets and liabilities distinct from those of each other SPV Entity-Related Party and any other Person, and is not a division of any other SPV Entity-Related Party or any other Person. Without limiting the generality of the foregoing and in addition to and consistent with the other covenants set forth herein, each SPV Entity and each Servicer shall take such actions as shall be required in order in order that: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Special Purpose Entity</w:t>
      </w:r>
      <w:r>
        <w:rPr>
          <w:rFonts w:ascii="Times New Roman;serif" w:hAnsi="Times New Roman;serif"/>
          <w:b w:val="false"/>
          <w:color w:val="000000"/>
          <w:sz w:val="24"/>
        </w:rPr>
        <w:t>. The Seller will be a special purpose company whose primary activities are restricted in its limited liability company agreement to: (i) purchasing or otherwise acquiring, owning, holding, collecting, granting security interests or selling interests in the Supporting Assets, (ii) entering into agreements for the selling, servicing and financing of the Receivables Pool (including the Transaction Documents) and (iii) conducting such other activities as it deems necessary or appropriate to carry out its primary activities. The Canadian Guarantor shall comply with applicable provisions set forth in Section 26.5 of its articles.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 Other Business or Indebtedness</w:t>
      </w:r>
      <w:r>
        <w:rPr>
          <w:rFonts w:ascii="Times New Roman;serif" w:hAnsi="Times New Roman;serif"/>
          <w:b w:val="false"/>
          <w:color w:val="000000"/>
          <w:sz w:val="24"/>
        </w:rPr>
        <w:t>. No SPV Entity shall (i) engage in any business or activity except as set forth in this Agreement or (ii) incur any indebtedness or liability other than as expressly permitted by the Transaction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Independent Manager</w:t>
      </w:r>
      <w:r>
        <w:rPr>
          <w:rFonts w:ascii="Times New Roman;serif" w:hAnsi="Times New Roman;serif"/>
          <w:b w:val="false"/>
          <w:color w:val="000000"/>
          <w:sz w:val="24"/>
        </w:rPr>
        <w:t>. Each SPV Entity (other than the Canadian Guarantor) shall at all times have at least one independent manager (the “</w:t>
      </w:r>
      <w:r>
        <w:rPr>
          <w:rFonts w:ascii="Times New Roman;serif" w:hAnsi="Times New Roman;serif"/>
          <w:b w:val="false"/>
          <w:color w:val="000000"/>
          <w:sz w:val="24"/>
          <w:u w:val="single"/>
        </w:rPr>
        <w:t>Independent Manager</w:t>
      </w:r>
      <w:r>
        <w:rPr>
          <w:color w:val="000000"/>
        </w:rPr>
        <w:t>”</w:t>
      </w:r>
      <w:r>
        <w:rPr>
          <w:rFonts w:ascii="Times New Roman;serif" w:hAnsi="Times New Roman;serif"/>
          <w:b w:val="false"/>
          <w:color w:val="000000"/>
          <w:sz w:val="24"/>
        </w:rPr>
        <w:t xml:space="preserve">) who shall be (i) with respect to the Seller, a natural person who has prior experience as an independent director, independent manager or independent member with at least three years of employment experience and who is provided by Citadel SPV (USA) LLC, Corporation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7"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Company, Corporate Creations Network Inc., CT Corporation, Lord Securities Corporation, National Registered Agents, Inc., Stewart Management Company, Wilmington Trust, National Association, Wilmington Trust SP Services, Inc., or, if none of those companies is then providing professional independent managers, another nationally-recognized company and (ii) in the case of the Canadian Guarantor, a natural person appointed as an independent director (the “</w:t>
      </w:r>
      <w:r>
        <w:rPr>
          <w:rFonts w:ascii="Times New Roman;serif" w:hAnsi="Times New Roman;serif"/>
          <w:b w:val="false"/>
          <w:color w:val="000000"/>
          <w:sz w:val="24"/>
          <w:u w:val="single"/>
        </w:rPr>
        <w:t>Independent Director</w:t>
      </w:r>
      <w:r>
        <w:rPr>
          <w:color w:val="000000"/>
        </w:rPr>
        <w:t>”</w:t>
      </w:r>
      <w:r>
        <w:rPr>
          <w:rFonts w:ascii="Times New Roman;serif" w:hAnsi="Times New Roman;serif"/>
          <w:b w:val="false"/>
          <w:color w:val="000000"/>
          <w:sz w:val="24"/>
        </w:rPr>
        <w:t xml:space="preserve">) in accordance with and as defined in the articles of the Canadian Guarantor; in each case that is not an Affiliate of any SPV Entity-Related Party and that provides professional independent managers or independent directors and other corporate services in the ordinary course of its business, and which individual is duly appointed as an independent manager or independent director, as applicable, and is not, and has never been, and will not while serving as independent manager or independent director be, any of the following (i) a member (other than as a “special member”), partner, equityholder, manager (other than as an Independent Manager), director, officer or employee of any SPV Entity-Related Party of their respective equityholders or Affiliates (other than as an independent manager or special member of the such SPV Entity, any other securitization entity or any other Affiliate of the such SPV Entity that is not in the direct chain of ownership of such SPV Entity and that is required by a creditor to be a single purpose bankruptcy remote entity, provided that such independent manager is employed by a company that routinely provides professional independent managers in the ordinary course of its business), (ii) a creditor, supplier or service provider (including provider of professional services) to such SPV Entity, or any of its equityholders or Affiliates (other than a nationally-recognized company that routinely provides professional independent managers and other corporate services to such SPV Entity or any of its equityholders or Affiliates in the ordinary course of its business), (iii) a family member of any such member, partner, equityholder, manager, director, officer, employee, creditor, supplier or service provider or (iv) a Person that controls (whether directly, indirectly or otherwise) any Person described in clause (i), (ii) or (iii)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fees that such individual earns from serving as independent manager of any Affiliate of such SPV Entity in any given year constitute in the aggregate less than 5.00% of such individual’s annual income for that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Seller and the Canadian Guarantor shall (A) give written notice to the Administrative Agent of the election or appointment, or proposed election or appointment, of a new Independent Manager of the Seller or Independent Director of the Canadian Guarantor, as applicable, which notice shall be given not later than ten (10) Business Days prior to the date such appointment or election would be effective (except when such election or appointment is necessary to fill a vacancy caused by the death, disability, or incapacity of the existing Independent Manager or Independent Director, or the failure of such Independent Manager or Independent Director to satisfy the criteria for an Independent Manager or Independent Director set forth in this </w:t>
      </w:r>
      <w:r>
        <w:rPr>
          <w:rFonts w:ascii="Times New Roman;serif" w:hAnsi="Times New Roman;serif"/>
          <w:b w:val="false"/>
          <w:color w:val="000000"/>
          <w:sz w:val="24"/>
          <w:u w:val="single"/>
        </w:rPr>
        <w:t>clause (c)</w:t>
      </w:r>
      <w:r>
        <w:rPr>
          <w:rFonts w:ascii="Times New Roman;serif" w:hAnsi="Times New Roman;serif"/>
          <w:b w:val="false"/>
          <w:color w:val="000000"/>
          <w:sz w:val="24"/>
        </w:rPr>
        <w:t xml:space="preserve">, in which case the Seller or the Canadian Guarantor, as applicable, shall provide written notice of such election or appointment within one (1) Business Day) and (B) with any such written notice, certify to the Administrative Agent that the Independent Manager or Independent Director satisfies the criteria for an Independent Manager or Independent Director set forth in this </w:t>
      </w:r>
      <w:r>
        <w:rPr>
          <w:rFonts w:ascii="Times New Roman;serif" w:hAnsi="Times New Roman;serif"/>
          <w:b w:val="false"/>
          <w:color w:val="000000"/>
          <w:sz w:val="24"/>
          <w:u w:val="single"/>
        </w:rPr>
        <w:t>clause (c)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Seller’s limited liability company agreement shall provide that: (A) the Seller’s member shall not approve, or take any other action to cause the filing of, a voluntary bankruptcy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petition with respect to the Seller unless the Independent Manager shall approve the taking of such action in writing before the taking of such action and (B) such provision and each other provision requiring an Independent Manager cannot be amended without the prior written consent of the Independent Manager.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Canadian Guarantor’s articles shall include provisions to the effect that: (A) the Canadian Guarantor’s board of directors shall not approve, or take any other action to cause the filing of, a voluntary bankruptcy petition with respect to the Canadian Guarantor unless the Independent Director shall approve the taking of such action in writing before the taking of such action and (B) such provision and each other provision requiring an Independent Director cannot be amended without the prior written consent of the Independent Director.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Seller’s or the Canadian Guarantor’s Independent Manager or Independent Director, as applicable, shall not at any time serve as a trustee in bankruptcy for any SPV Entity-Related Party or any of their respective Affiliates.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xml:space="preserve">. Each SPV Entity shall maintain its organizational documents in conformity with this Agreement, such that it does not amend, restate, supplement or otherwise modify its ability to comply with the terms and provisions of any of the Transaction Documents, including </w:t>
      </w:r>
      <w:r>
        <w:rPr>
          <w:rFonts w:ascii="Times New Roman;serif" w:hAnsi="Times New Roman;serif"/>
          <w:b w:val="false"/>
          <w:color w:val="000000"/>
          <w:sz w:val="24"/>
          <w:u w:val="single"/>
        </w:rPr>
        <w:t>Section 7.01(p)</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Conduct of Business</w:t>
      </w:r>
      <w:r>
        <w:rPr>
          <w:rFonts w:ascii="Times New Roman;serif" w:hAnsi="Times New Roman;serif"/>
          <w:b w:val="false"/>
          <w:color w:val="000000"/>
          <w:sz w:val="24"/>
        </w:rPr>
        <w:t>. Each SPV Entity shall conduct its affairs strictly in accordance with its organizational documents and observe all necessary, appropriate and customary company formalities, including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payroll and intercompany transaction accounts.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Compensation</w:t>
      </w:r>
      <w:r>
        <w:rPr>
          <w:rFonts w:ascii="Times New Roman;serif" w:hAnsi="Times New Roman;serif"/>
          <w:b w:val="false"/>
          <w:color w:val="000000"/>
          <w:sz w:val="24"/>
        </w:rPr>
        <w:t>. Any employee, consultant or agent of any SPV Entity will be compensated from such SPV Entity’s funds for services provided to such SPV Entity, and to the extent that an SPV Entity shares the same officers or other employees as the Servicers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No SPV Entity will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Servicing and Costs</w:t>
      </w:r>
      <w:r>
        <w:rPr>
          <w:rFonts w:ascii="Times New Roman;serif" w:hAnsi="Times New Roman;serif"/>
          <w:b w:val="false"/>
          <w:color w:val="000000"/>
          <w:sz w:val="24"/>
        </w:rPr>
        <w:t xml:space="preserve">. Each SPV Entity will contract with the Servicers to perform for such SPV Entity all operations required on a daily basis to service the Receivables Pool. No SPV Entity will incur any indirect or overhead expenses for items shared with the Servicers (or any other Affiliate thereof) that are not reflected in the Servicing Fee. To the extent, if any, that any SPV Entity (or any Affiliate thereof) shares items of expenses not reflected in the Servicing Fee, such as legal, auditing and other professional services, such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expenses will be allocated to the extent practical on the basis of actual use or the value of services rendered, and otherwise on a basis reasonably related to the actual use or the value of services rendered.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Operating Expenses</w:t>
      </w:r>
      <w:r>
        <w:rPr>
          <w:rFonts w:ascii="Times New Roman;serif" w:hAnsi="Times New Roman;serif"/>
          <w:b w:val="false"/>
          <w:color w:val="000000"/>
          <w:sz w:val="24"/>
        </w:rPr>
        <w:t>. No SPV Entity’s operating expenses will be paid by any SPV Entity-Related Party or any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Each SPV Entity’s books and records will be maintained separately from those of any other SPV Entity-Related Party and any of their Affiliates and in a manner such that it will not be difficult or costly to segregate, ascertain or otherwise identify the assets and liabilities of such SPV Entity.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Disclosure of Transactions</w:t>
      </w:r>
      <w:r>
        <w:rPr>
          <w:rFonts w:ascii="Times New Roman;serif" w:hAnsi="Times New Roman;serif"/>
          <w:b w:val="false"/>
          <w:color w:val="000000"/>
          <w:sz w:val="24"/>
        </w:rPr>
        <w:t>. All financial statements of any SPV Entity-Related Party or any Affiliate thereof that are consolidated to include any SPV Entity will disclose that (i) such SPV Entity is a separate legal entity with its own separate creditors who will be entitled, upon its liquidation, to be satisfied out of such SPV Entity’s assets prior to any assets or value in such SPV Entity becoming available to such SPV Entity’s equity holders and (ii) the assets of such SPV Entity are not available to pay creditors of any other SPV Entity-Related Party or any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Segregation of Assets</w:t>
      </w:r>
      <w:r>
        <w:rPr>
          <w:rFonts w:ascii="Times New Roman;serif" w:hAnsi="Times New Roman;serif"/>
          <w:b w:val="false"/>
          <w:color w:val="000000"/>
          <w:sz w:val="24"/>
        </w:rPr>
        <w:t>. Each SPV Entity’s assets will be maintained in a manner that facilitates their identification and segregation from those of any other SPV Entity-Related Party or any Affiliates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Corporate Formalities</w:t>
      </w:r>
      <w:r>
        <w:rPr>
          <w:rFonts w:ascii="Times New Roman;serif" w:hAnsi="Times New Roman;serif"/>
          <w:b w:val="false"/>
          <w:color w:val="000000"/>
          <w:sz w:val="24"/>
        </w:rPr>
        <w:t>. Each SPV Entity will strictly observe limited liability company or business corporation, as applicable, formalities in its dealings with any other SPV Entity-Related Party or any Affiliates thereof, and funds or other assets of such SPV Entity will not be commingled with those of any other SPV Entity-Related Party or any Affiliates thereof except as permitted by the Transaction Documents in connection with servicing the Pool Receivables. No SPV Entity shall maintain joint bank accounts or other depository accounts to which any other SPV Entity-Related Party or any Affiliate thereof (other than the Servicers solely in their capacity as such) has independent access.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Arm’s-Length Relationships</w:t>
      </w:r>
      <w:r>
        <w:rPr>
          <w:rFonts w:ascii="Times New Roman;serif" w:hAnsi="Times New Roman;serif"/>
          <w:b w:val="false"/>
          <w:color w:val="000000"/>
          <w:sz w:val="24"/>
        </w:rPr>
        <w:t>. Each SPV Entity will maintain arm’s-length relationships with any other SPV Entity-Related Party and any Affiliates thereof. Any Person that renders or otherwise furnishes services to any SPV Entity will be compensated by such SPV Entity at market rates for such services it renders or otherwise furnishes to such SPV Entity. Neither SPV Entity on the one hand, nor any other SPV Entity-Related Party or any Affiliate thereof, on the other hand, will be or will hold itself out to be responsible for the debts of the other or the decisions or actions respecting the daily business and affairs of the other. The SPV Entity-Related Parties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7.04 </w:t>
      </w:r>
      <w:r>
        <w:rPr>
          <w:rFonts w:ascii="Times New Roman;serif" w:hAnsi="Times New Roman;serif"/>
          <w:b w:val="false"/>
          <w:color w:val="000000"/>
          <w:sz w:val="24"/>
          <w:u w:val="single"/>
        </w:rPr>
        <w:t>Post-Closing Covenant Regarding Foreign Accounts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Notwithstanding any requirement under the UK Security Agreement or any UK Declaration of Trust, as applicable, to provide any of the following documentation prior to the date hereof, on or prior to March 29, 2024 (or such later date as agreed to by the Administrative Agent in its sole discretion):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the Seller shall deliver a fully executed Notice of Security (as defined in the UK Security Agreement) and related acknowledgment (or an Account Control Agreement, as applicable) in relation to the UK Collection Accounts, in form and substance reasonably satisfactory to the Administrative Agent;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UK Servicer shall deliver a fully executed notice of the creation of trust under the UK Declaration of Trust entered into by the UK Originator and related acknowledgment (or an Account Control Agreement, as applicable) in relation to the Originator Collection Accounts (as defined in the UK Sale Agreement), in form and substance reasonably satisfactory to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Swiss Servicer shall deliver the following to the Administrative Agent, in each case, in form and substance reasonably satisfactory to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with respect to the deposit account (the “</w:t>
      </w:r>
      <w:r>
        <w:rPr>
          <w:rFonts w:ascii="Times New Roman;serif" w:hAnsi="Times New Roman;serif"/>
          <w:b w:val="false"/>
          <w:color w:val="000000"/>
          <w:sz w:val="24"/>
          <w:u w:val="single"/>
        </w:rPr>
        <w:t>JPMorgan US Account</w:t>
      </w:r>
      <w:r>
        <w:rPr>
          <w:color w:val="000000"/>
        </w:rPr>
        <w:t>”</w:t>
      </w:r>
      <w:r>
        <w:rPr>
          <w:rFonts w:ascii="Times New Roman;serif" w:hAnsi="Times New Roman;serif"/>
          <w:b w:val="false"/>
          <w:color w:val="000000"/>
          <w:sz w:val="24"/>
        </w:rPr>
        <w:t xml:space="preserve">) maintained as of the First Amendment Effective Date with JPMorgan Bank, N.A., in the name of Rackspace Swiss, as specified on Schedule II, a fully executed Account Control Agreement covering such JPMorgan US Account;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opinions of counsel to the Swiss Originator covering general corporate, enforceability, security interest and perfection-by-control matters with respect to the Account Control Agreement covering the JPMorgan US Account;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fully executed notice of the creation of trust under the UK Declaration of Trust entered into by the Swiss Originator and related acknowledgment (or an Account Control Agreement, as applicable) in relation to the Originator Collection Accounts (as defined in the Swiss Sale Agreement) (other than the JPMorgan US Account), in form and substance reasonably satisfactory to the Administrative Agent.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br/>
        <w:br/>
        <w:t>ADMINISTRATION AND COLLECTION</w:t>
        <w:br/>
        <w:t>OF RECEIVABLES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8.01 </w:t>
      </w:r>
      <w:r>
        <w:rPr>
          <w:rFonts w:ascii="Times New Roman;serif" w:hAnsi="Times New Roman;serif"/>
          <w:b w:val="false"/>
          <w:color w:val="000000"/>
          <w:sz w:val="24"/>
          <w:u w:val="single"/>
        </w:rPr>
        <w:t>Appointment of the Servicers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servicing, administering and collection of the Pool Receivables shall be conducted by the Person so designated from time to time as the Servicer in accordance with this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Until the Administrative Agent gives notice to the SPV Entities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Servicers (in accordance with this </w:t>
      </w:r>
      <w:r>
        <w:rPr>
          <w:rFonts w:ascii="Times New Roman;serif" w:hAnsi="Times New Roman;serif"/>
          <w:b w:val="false"/>
          <w:color w:val="000000"/>
          <w:sz w:val="24"/>
          <w:u w:val="single"/>
        </w:rPr>
        <w:t>Section 8.01</w:t>
      </w:r>
      <w:r>
        <w:rPr>
          <w:rFonts w:ascii="Times New Roman;serif" w:hAnsi="Times New Roman;serif"/>
          <w:b w:val="false"/>
          <w:color w:val="000000"/>
          <w:sz w:val="24"/>
        </w:rPr>
        <w:t>) of the designation of a new Servicer, each SPV Entity-Related Party named in the preamble to this Agreement as a U.S. Servicer, UK Servicer, Canadian Servicer or Swiss Servicer (as the case may be) is hereby designated as, and hereby agrees to perform the duties and obligations of, a Servicer pursuant to the terms hereof. Upon the occurrence of an Event of Default, the Administrative Agent may (with the consent of the Required Purchasers) and shall (at the direction of the Required Purchasers) designate as U.S. Servicer, UK Servicer, Canadian Servicer or Swiss Servicer (as the case may be) any Person (including itself) to succeed the applicable SPV Entity-Related Party or any successor Servicer, on such terms and conditions as the Administrative Agent may agree in its discretion. The applicable Servicer shall be entitled to payment of all Servicing Fees and reimbursable expenses accrued prior to the date on which such Servicer is replaced (including following termination) pursuant to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Upon the designation of a successor Servicer as set forth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the applicable Servicer being replaced agrees that it will terminate its activities as Servicer hereunder in a manner that the Administrative Agent reasonably determines will facilitate the transition of the performance of such activities to the new Servicer, and the applicable Servicer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Each SPV Entity-Related Party named in the preamble to this Agreement as a U.S. Servicer, UK Servicer, Canadian Servicer or Swiss Servicer (as the case may be) acknowledges that, in making its decision to execute and deliver this Agreement, the Administrative Agent and each Purchaser have relied on such SPV Entity-Related Party’s agreement to act as a Servicer hereunder. Accordingly, such SPV Entity-Related Party agrees that it will not voluntarily resign as Servicer without the prior written consent of the Administrative Agent and the Required Purchasers, except upon a determination that (i) the performance of its duties hereunder is no longer permissible under applicable Law and (ii) there is no reasonable action which the Servicer could take to make the performance of its duties hereunder permissible under applicable Law. Any such determination permitting the resignation of the Servicer shall be evidenced as to clause (i) above by an opinion of a nationally recognized external counsel to the Servicer and as to clause (ii) above by an officer’s certificate of the Chief Financial Officer of the Servicer, each to such effect delivered, and reasonably satisfactory in form and substance, to the Administrative Agent.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Each Servicer may delegate its duties and obligations hereunder to any subservicer (each a “</w:t>
      </w:r>
      <w:r>
        <w:rPr>
          <w:rFonts w:ascii="Times New Roman;serif" w:hAnsi="Times New Roman;serif"/>
          <w:b w:val="false"/>
          <w:color w:val="000000"/>
          <w:sz w:val="24"/>
          <w:u w:val="single"/>
        </w:rPr>
        <w:t>Sub-Servicer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in each such delegation: (i) such Sub-Servicer shall agree in writing to perform the delegated duties and obligations of such Servicer pursuant to the terms hereof, (ii) such Servicer shall remain liable for the performance of the duties and obligations so delegated, (iii) each SPV Entity, the Administrative Agent and each Purchaser shall have the right to look solely to such Servicer for performance, (iv) the terms of any agreement with any Sub-Servicer shall provide that the Administrative Agent may terminate such agreement upon the termination of such Servicer hereunder by giving notice of its desire to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2"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terminate such agreement to such Servicer (and such Servicer shall provide appropriate notice to each such Sub-Servicer), (v) if such Sub-Servicer is not an Affiliate of Parent, the Administrative Agent and the Required Purchasers shall have consented in writing in advance to such delegation (unless such Sub-Servicer is only servicing Receivables that have been, consistent with past practices, been written off as uncollectible, in which case such consent is not required) and (vi) any Sub-Servicer appointed by the Canadian Servicer shall either be a resident of Canada for purposes of the ITA or shall carry on all of its servicing activities in respect of the Canadian Receivables from outside Canada.</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8.02 </w:t>
      </w:r>
      <w:r>
        <w:rPr>
          <w:rFonts w:ascii="Times New Roman;serif" w:hAnsi="Times New Roman;serif"/>
          <w:b w:val="false"/>
          <w:color w:val="000000"/>
          <w:sz w:val="24"/>
          <w:u w:val="single"/>
        </w:rPr>
        <w:t>Duties of the Servicers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Servicers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Servicers. The Servicers shall set aside, for the accounts of each Purchaser Party, the amount of Collections it or its Affiliates actually receive to which each such Purchaser Party is entitled in accordance with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hereof. The Servicers may, in accordance with the Credit and Collection Policy and consistent with past practices of the Originators, take such action, including modifications, waivers or restructurings of Pool Receivables and related Contracts, as the Servicers may reasonably determine to be appropriate to maximize Collections thereof or reflect adjustments expressly permitted under the Credit and Collection Policy or as expressly required under applicable Laws or the applicable Contract;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Servicers may take such action only upon the prior written consent of the Administrative Agent. Each SPV Entity shall deliver to the applicable Servicer and the applicable Servicer shall hold for the benefit of the Administrative Agent (individually and for the benefit of each Purchaser Party), in accordance with their respective interests, all records and documents (including computer tapes or disks) with respect to each Pool Receivable. Notwithstanding anything to the contrary contained herein, if an Event of Default has occurred and is continuing, the Administrative Agent may direct the Servicers to commence or settle any legal action to enforce collection of any Pool Receivable that is a Defaulted Receivable or to foreclose upon or repossess any Related Security with respect to any such Defaulted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Servicers shall, as soon as practicable following actual receipt of collected funds, turn over to the Seller the collections of any indebtedness that is not a Pool Receivable, less, if such Servicer is not a SPV Entity-Related Party or an Affiliate thereof, all reasonable and appropriate out-of-pocket costs and expenses of such Servicer of servicing, collecting and administering such collections. Each Servicer, if other than a SPV Entity-Related Party or an Affiliate thereof, shall, as soon as practicable upon demand, deliver to the Seller or the Canadian Guarantor, as applicable, all records in its possession that evidence or relate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3"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indebtedness that is not a Pool Receivable, and copies of records in its possession that evidence or relate to any indebtedness that is a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Servicer’s obligations hereunder shall terminate on the Final Payout Date. Promptly following the Final Payout Date, each Servicer shall deliver to each SPV Entity, as applicable, all books, records and related materials that each SPV Entity previously provided to the Servicers, or that have been obtained by the Servicers, in connection with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For the avoidance of doubt, each Servicer shall only service and comply with all Servicer’s duties under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with respect to (i) the UK Servicer, Receivables originated by UK Originators, (ii) the U.S. Servicer, Receivables originated by U.S. Originators, (iii) the Swiss Servicer, Receivables originated by Swiss Originators and (iv) the Canadian Servicer, Receivables originated by Canadian Originators.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8.03 </w:t>
      </w:r>
      <w:r>
        <w:rPr>
          <w:rFonts w:ascii="Times New Roman;serif" w:hAnsi="Times New Roman;serif"/>
          <w:b w:val="false"/>
          <w:color w:val="000000"/>
          <w:sz w:val="24"/>
          <w:u w:val="single"/>
        </w:rPr>
        <w:t>Collection Account Arrangements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Prior to the Closing Date, each SPV Entity shall have entered into Account Control Agreements with a Collection Account Bank, as applicable and delivered executed counterparts of each to the Administrative Agent. Upon the occurrence and during the continuance of a Potential Default or Event of Default, the Administrative Agent may (with the consent of the Required Purchasers) and shall (upon the direction of the Required Purchasers) at any time thereafter give notice to each Collection Account Bank that the Administrative Agent is exercising its rights under the Account Control Agreements to do any or all of the following: (a) to have the exclusive dominion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unless an Event of Default shall have occurred and be continuing, (x) the Administrative Agent shall give such SPV Entity five (5) Business Days’ prior written notice of its intention to take exclusive control of the Collection Accounts before such SPV Entity’s access to any Collection Account shall be terminated and be available to discuss with the Servicers or their designee(s) during such five (5) Business Day period and prior to taking exclusive control and (y) any funds received in the Collection Account shall be swept daily (or as soon as otherwise practicable) to Cash Dominion Administration Account (or, if not yet established, such other deposit account designated by the Administrative Agent). Each SPV Entity hereby agrees that if the Administrative Agent at any time takes any action set forth in the preceding sentence, the Administrative Agent shall have exclusive control (for the benefit of the Secured Parties) of the proceeds (including Collections) of all Pool Receivables and each SPV Entity hereby further agrees to take any other action that the Administrative Agent may reasonably request to transfer such control. Any proceeds of Pool Receivables received by any SPV Entity or the Servicers thereafter shall be sent immediately to, or as otherwise instructed by, the Administrative Agent. Prior to giving notice exercising its rights under the Account Control Agreements, the Administrative Agent shall use reasonable efforts to arrange a call with the such SPV Entity and communicate its intent.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4"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shd w:fill="FFFFFF" w:val="clear"/>
        </w:rPr>
        <w:t>Cash Dominion Administration Account</w:t>
      </w:r>
      <w:r>
        <w:rPr>
          <w:rFonts w:ascii="Times New Roman;serif" w:hAnsi="Times New Roman;serif"/>
          <w:b w:val="false"/>
          <w:color w:val="000000"/>
          <w:sz w:val="24"/>
        </w:rPr>
        <w:t xml:space="preserve">. If the Administrative Agent shall deliver notice of its intent to take exclusive control of the Collection Accounts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each SPV Entity, the Servicers and the Administrative Agent shall cause the Cash Dominion Administration Account to be established at PNC and subject to an Account Control Agreement. The Administrative Agent shall have exclusive dominion and control (for the benefit of the Secured Parties) over each </w:t>
      </w:r>
      <w:r>
        <w:rPr>
          <w:rFonts w:ascii="Times New Roman;serif" w:hAnsi="Times New Roman;serif"/>
          <w:b w:val="false"/>
          <w:color w:val="000000"/>
          <w:sz w:val="24"/>
          <w:shd w:fill="FFFFFF" w:val="clear"/>
        </w:rPr>
        <w:t xml:space="preserve">Cash Dominion Administration Account </w:t>
      </w:r>
      <w:r>
        <w:rPr>
          <w:rFonts w:ascii="Times New Roman;serif" w:hAnsi="Times New Roman;serif"/>
          <w:b w:val="false"/>
          <w:color w:val="000000"/>
          <w:sz w:val="24"/>
        </w:rPr>
        <w:t xml:space="preserve">and the funds deposited therein, and none of the SPV Entities, the Servicers or their Affiliates shall have any rights to access or direct the disposition of any funds therein. Funds on deposit in the </w:t>
      </w:r>
      <w:r>
        <w:rPr>
          <w:rFonts w:ascii="Times New Roman;serif" w:hAnsi="Times New Roman;serif"/>
          <w:b w:val="false"/>
          <w:color w:val="000000"/>
          <w:sz w:val="24"/>
          <w:shd w:fill="FFFFFF" w:val="clear"/>
        </w:rPr>
        <w:t xml:space="preserve">Cash Dominion Administration Account </w:t>
      </w:r>
      <w:r>
        <w:rPr>
          <w:rFonts w:ascii="Times New Roman;serif" w:hAnsi="Times New Roman;serif"/>
          <w:b w:val="false"/>
          <w:color w:val="000000"/>
          <w:sz w:val="24"/>
        </w:rPr>
        <w:t xml:space="preserve">may be applied by the Administrative Agent for the repayment of the Seller Obligations in accordance with the priority of payments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Amounts, if any, on deposit in the </w:t>
      </w:r>
      <w:r>
        <w:rPr>
          <w:rFonts w:ascii="Times New Roman;serif" w:hAnsi="Times New Roman;serif"/>
          <w:b w:val="false"/>
          <w:color w:val="000000"/>
          <w:sz w:val="24"/>
          <w:shd w:fill="FFFFFF" w:val="clear"/>
        </w:rPr>
        <w:t>Cash Dominion Administration Account</w:t>
      </w:r>
      <w:r>
        <w:rPr>
          <w:color w:val="000000"/>
        </w:rPr>
        <w:t xml:space="preserve"> </w:t>
      </w:r>
      <w:r>
        <w:rPr>
          <w:rFonts w:ascii="Times New Roman;serif" w:hAnsi="Times New Roman;serif"/>
          <w:b w:val="false"/>
          <w:color w:val="000000"/>
          <w:sz w:val="24"/>
        </w:rPr>
        <w:t>on the Final Payout Date shall be remitted by the Administrative Agent to the Seller</w:t>
      </w:r>
      <w:r>
        <w:rPr>
          <w:rFonts w:ascii="Times New Roman;serif" w:hAnsi="Times New Roman;serif"/>
          <w:b w:val="false"/>
          <w:color w:val="000000"/>
          <w:sz w:val="24"/>
          <w:shd w:fill="FFFFFF" w:val="clear"/>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Release of Collections</w:t>
      </w:r>
      <w:r>
        <w:rPr>
          <w:rFonts w:ascii="Times New Roman;serif" w:hAnsi="Times New Roman;serif"/>
          <w:b w:val="false"/>
          <w:color w:val="000000"/>
          <w:sz w:val="24"/>
        </w:rPr>
        <w:t xml:space="preserve">. On any Business Day after the Administrative Agent has taken exclusive dominion and control of the Collection Accounts, so long as each of the conditions precedent set forth in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are satisfied (as reasonably determined by the Administrative Agent), the Administrative Agent shall release to the SPV Entities from Collections on deposit in the </w:t>
      </w:r>
      <w:r>
        <w:rPr>
          <w:rFonts w:ascii="Times New Roman;serif" w:hAnsi="Times New Roman;serif"/>
          <w:b w:val="false"/>
          <w:color w:val="000000"/>
          <w:sz w:val="24"/>
          <w:shd w:fill="FFFFFF" w:val="clear"/>
        </w:rPr>
        <w:t xml:space="preserve">Cash Dominion Administration Account </w:t>
      </w:r>
      <w:r>
        <w:rPr>
          <w:rFonts w:ascii="Times New Roman;serif" w:hAnsi="Times New Roman;serif"/>
          <w:b w:val="false"/>
          <w:color w:val="000000"/>
          <w:sz w:val="24"/>
        </w:rPr>
        <w:t xml:space="preserve">an amount equal to the Maximum Release Amount on such day. The proceeds of each Release shall be applied by the SPV Entities to pay (x) the purchase price for Receivables purchased by the Seller or the Canadian Guarantor on such date in accordance with the terms of the Transfer Agreement, (y) any accrued and unpaid Servicing Fees owing to Rackspace or (z) the deferred purchase price for any previously purchased Receivables. Each SPV Entity shall notify the Administrative Agent if any of the conditions for a Release set forth in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are not satisfied on such day. If the Administrative Agent has not taken exclusive dominion and control of the Collection Accounts, any Releases shall be made in accordance with </w:t>
      </w:r>
      <w:r>
        <w:rPr>
          <w:rFonts w:ascii="Times New Roman;serif" w:hAnsi="Times New Roman;serif"/>
          <w:b w:val="false"/>
          <w:color w:val="000000"/>
          <w:sz w:val="24"/>
          <w:u w:val="single"/>
        </w:rPr>
        <w:t>Section 3.01(a)</w:t>
      </w:r>
      <w:r>
        <w:rPr>
          <w:rFonts w:ascii="Times New Roman;serif" w:hAnsi="Times New Roman;serif"/>
          <w:b w:val="false"/>
          <w:color w:val="000000"/>
          <w:sz w:val="24"/>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8.04 </w:t>
      </w:r>
      <w:r>
        <w:rPr>
          <w:rFonts w:ascii="Times New Roman;serif" w:hAnsi="Times New Roman;serif"/>
          <w:b w:val="false"/>
          <w:color w:val="000000"/>
          <w:sz w:val="24"/>
          <w:u w:val="single"/>
        </w:rPr>
        <w:t>Enforcement Rights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At any time following the occurrence and during the continuation of an Event of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Administrative Agent (at the SPV Entities’ expense) may direct the Obligors that payment of all amounts payable under any Pool Receivable is to be made directly to the Administrative Agent or its designee;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the Administrative Agent may instruct any SPV Entity or the Servicers to give notice of the Secured Parties’ interest in Pool Receivables to each Obligor, which notice shall direct that payments be made directly to the Administrative Agent or its designee (on behalf of the Secured Parties), and such SPV Entity or such Servicer, as the case may be, shall give such notice at the expense of such SPV Entity or Servicer, as the case may be;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such SPV Entity or such Servicer, as the case may be, fails to so notify each Obligor within two (2) Business Days following instruction by the Administrative Agent, the Administrative Agent (at such SPV Entity’s or Servicer’s, as the case may be, expense) may so notify the Obligors;</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5"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Administrative Agent may request a Servicer to, and upon such request such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Administrative Agent may notify the Collection Account Banks that the applicable SPV Entity and such Servicer will no longer have any access to the Collection Accounts;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Administrative Agent may (or, at the direction of the Required Purchasers shall) replace the Person then acting as Servicer;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Administrative Agent may collect any amounts due from an Originator or the Aggregator under a Transfer Agreement or the Performance Guarantor under the Performance Guaranty.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foregoing rights and remedies of the Administrative Agent upon the occurrence and during the continuation of an Event of Default are in addition to and not exclusive of the rights and remedies contained herein and under the other Transaction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SPV Entity hereby authorizes the Administrative Agent (on behalf of the Secured Parties), and irrevocably appoints the Administrative Agent as its attorney-in-fact with full power of substitution and with full authority in the place and stead of such SPV Entity, which appointment is coupled with an interest, to take any and all steps in the name of such SPV Entity and on behalf of such SPV Entity necessary or desirable, in the reasonable determination of the Administrative Agent, after the occurrence and during the continuation of an Event of Default, to collect any and all amounts or portions thereof due under any and all Supporting Assets, including endorsing the name of such SPV Entity on checks and other instruments representing Collections and enforcing such Supporting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Each Servicer hereby authorizes the Administrative Agent (on behalf of the Secured Parties), and irrevocably appoints the Administrative Agent as its attorney-in-fact with full power of substitution and with full authority in the place and stead of such Servicer, which appointment is coupled with an interest, to take any and all steps in the name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6"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Servicer and on behalf of such Servicer necessary or desirable, in the reasonable determination of the Administrative Agent, after the occurrence and during the continuation of an Event of Default, to collect any and all amounts or portions thereof due under any and all Supporting Assets, including endorsing the name of such Servicer on checks and other instruments representing Collections and enforcing such Supporting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8.05 </w:t>
      </w:r>
      <w:r>
        <w:rPr>
          <w:rFonts w:ascii="Times New Roman;serif" w:hAnsi="Times New Roman;serif"/>
          <w:b w:val="false"/>
          <w:color w:val="000000"/>
          <w:sz w:val="24"/>
          <w:u w:val="single"/>
        </w:rPr>
        <w:t>Responsibilities of the SPV Entities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Anything herein to the contrary notwithstanding, each SPV Entity shall: (i) perform all of its obligations, if any, under the Contracts related to the Pool Receivables to the same extent as if interests in such Pool Receivables had not been transferred hereunder, and the exercise by the Administrative Agent, or any other Purchaser Party of their respective rights hereunder shall not relieve such SPV Entity from such obligations and (ii) pay when due any Taxes, including any sales Taxes payable in connection with the Pool Receivables and their creation and satisfaction. None of the Purchaser Parties shall have any obligation or liability with respect to any Supporting Assets, nor shall any of them be obligated to perform any of the obligations of any SPV Entity, the Servicers, the Aggregator or any Originator thereunder.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Each SPV Entity-Related Party that is a party to this Agreement as a Servicer hereby irrevocably agrees that if at any time it shall cease to be the Servicer hereunder, it shall act (if the then-current Servicer so requests) as the data-processing agent of the Servicer and, in such capacity, such SPV Entity-Related Party shall conduct the data-processing functions of the administration of the Receivables and the Collections thereon in substantially the same way that it conducted such data-processing functions while it acted as the Servicer. In connection with any such processing functions, the applicable SPV Entity shall pay to the applicable SPV Entity-Related Party its reasonable out-of-pocket costs and expenses from such SPV Entity’s own funds (subject to the priority of payments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8.06 </w:t>
      </w:r>
      <w:r>
        <w:rPr>
          <w:rFonts w:ascii="Times New Roman;serif" w:hAnsi="Times New Roman;serif"/>
          <w:b w:val="false"/>
          <w:color w:val="000000"/>
          <w:sz w:val="24"/>
          <w:u w:val="single"/>
        </w:rPr>
        <w:t>Servicing Fee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Subject to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below, the Seller shall pay (i) the U.S. Servicer a fee (the “</w:t>
      </w:r>
      <w:r>
        <w:rPr>
          <w:rFonts w:ascii="Times New Roman;serif" w:hAnsi="Times New Roman;serif"/>
          <w:b w:val="false"/>
          <w:color w:val="000000"/>
          <w:sz w:val="24"/>
          <w:u w:val="single"/>
        </w:rPr>
        <w:t>U.S. Servicing Fee</w:t>
      </w:r>
      <w:r>
        <w:rPr>
          <w:color w:val="000000"/>
        </w:rPr>
        <w:t>”</w:t>
      </w:r>
      <w:r>
        <w:rPr>
          <w:rFonts w:ascii="Times New Roman;serif" w:hAnsi="Times New Roman;serif"/>
          <w:b w:val="false"/>
          <w:color w:val="000000"/>
          <w:sz w:val="24"/>
        </w:rPr>
        <w:t>) equal to the product of the Servicing Fee Rate multiplied by the daily average aggregate Outstanding Balance of the Pool Receivables originated by the U.S. Originators, (ii) the UK Servicer a fee (the “</w:t>
      </w:r>
      <w:r>
        <w:rPr>
          <w:rFonts w:ascii="Times New Roman;serif" w:hAnsi="Times New Roman;serif"/>
          <w:b w:val="false"/>
          <w:color w:val="000000"/>
          <w:sz w:val="24"/>
          <w:u w:val="single"/>
        </w:rPr>
        <w:t>UK Servicing Fee</w:t>
      </w:r>
      <w:r>
        <w:rPr>
          <w:color w:val="000000"/>
        </w:rPr>
        <w:t>”</w:t>
      </w:r>
      <w:r>
        <w:rPr>
          <w:rFonts w:ascii="Times New Roman;serif" w:hAnsi="Times New Roman;serif"/>
          <w:b w:val="false"/>
          <w:color w:val="000000"/>
          <w:sz w:val="24"/>
        </w:rPr>
        <w:t>) equal to the product of the Servicing Fee Rate multiplied by the daily average aggregate Outstanding Balance of the Pool Receivables originated by the UK Originators, (iii) the Swiss Servicer a fee (the “</w:t>
      </w:r>
      <w:r>
        <w:rPr>
          <w:rFonts w:ascii="Times New Roman;serif" w:hAnsi="Times New Roman;serif"/>
          <w:b w:val="false"/>
          <w:color w:val="000000"/>
          <w:sz w:val="24"/>
          <w:u w:val="single"/>
        </w:rPr>
        <w:t>Swiss Servicing Fee</w:t>
      </w:r>
      <w:r>
        <w:rPr>
          <w:color w:val="000000"/>
        </w:rPr>
        <w:t>”</w:t>
      </w:r>
      <w:r>
        <w:rPr>
          <w:rFonts w:ascii="Times New Roman;serif" w:hAnsi="Times New Roman;serif"/>
          <w:b w:val="false"/>
          <w:color w:val="000000"/>
          <w:sz w:val="24"/>
        </w:rPr>
        <w:t>) equal to the product of the Servicing Fee Rate multiplied by the daily average aggregate Outstanding Balance of the Pool Receivables originated by the Swiss Originators, and (iv) the Canadian Servicer a fee (the “</w:t>
      </w:r>
      <w:r>
        <w:rPr>
          <w:rFonts w:ascii="Times New Roman;serif" w:hAnsi="Times New Roman;serif"/>
          <w:b w:val="false"/>
          <w:color w:val="000000"/>
          <w:sz w:val="24"/>
          <w:u w:val="single"/>
        </w:rPr>
        <w:t>Canadian Servicing Fee</w:t>
      </w:r>
      <w:r>
        <w:rPr>
          <w:color w:val="000000"/>
        </w:rPr>
        <w:t>”</w:t>
      </w:r>
      <w:r>
        <w:rPr>
          <w:rFonts w:ascii="Times New Roman;serif" w:hAnsi="Times New Roman;serif"/>
          <w:b w:val="false"/>
          <w:color w:val="000000"/>
          <w:sz w:val="24"/>
        </w:rPr>
        <w:t xml:space="preserve">) equal to the product of the Servicing Fee Rate multiplied by the daily average aggregate Outstanding Balance of the Pool Receivables originated by the Canadian Originators. Accrued Servicing Fees shall be payable from Collections to the extent of available funds in accordance with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7"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and for greater certainty, no Canadian Servicing Fee or other consideration with respect to the servicing of Pool Receivables shall be payable to the Canadian Servicer as long as the Canadian Servicer is Rackspace Canada or an Affiliate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If the Servicer ceases to be a SPV Entity-Related Party or an Affiliate thereof, the Servicing Fee shall be the greater of: (i) the amount calculated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and (ii) an alternative amount agreed between the Administrative Agent and the successor Servicer in connection with the performance of its obligations as Servicer hereunder.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br/>
        <w:br/>
        <w:t>EVENTS OF DEFAULT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9.01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means the occurrence or existence of any one or more of the following events or conditions (whatever the reason therefor and whether voluntary, involuntary or effected by operation of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SPV Entity-Related Party shall fail to make when due any payment or deposit to be made by it under this Agreement or any other Transaction Document and such failure shall continue unremedied for two (2) Business Days;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any SPV Entity-Related Party shall fail to perform or observe any term, covenant or agreement under this Agreement or any other Transaction Document to be performed or observed by such SPV Entity-Related Party (other than any such failure which would constitute an Event of Default under any other paragraph, clause or sub-clause of this </w:t>
      </w:r>
      <w:r>
        <w:rPr>
          <w:rFonts w:ascii="Times New Roman;serif" w:hAnsi="Times New Roman;serif"/>
          <w:b w:val="false"/>
          <w:color w:val="000000"/>
          <w:sz w:val="24"/>
          <w:u w:val="single"/>
        </w:rPr>
        <w:t>Section 9.01</w:t>
      </w:r>
      <w:r>
        <w:rPr>
          <w:rFonts w:ascii="Times New Roman;serif" w:hAnsi="Times New Roman;serif"/>
          <w:b w:val="false"/>
          <w:color w:val="000000"/>
          <w:sz w:val="24"/>
        </w:rPr>
        <w:t>), and such failure, solely to the extent capable of cure, shall continue for fifteen (15) Business Days following the earlier of (x) any SPV Entity-Related Party’s actual knowledge of such failure and (y) the Administrative Agent’s written notice to any Seller -Related Party of such failure;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representation or warranty made or deemed made by any SPV Entity-Related Party (or any of its respective officers) under or in connection with this Agreement or any other Transaction Document or any information or report delivered by any SPV Entity-Related Party pursuant to this Agreement or any other Transaction Document, shall prove to have been incorrect or untrue in any material respect when made or deemed made or delivered, which, solely to the extent capable of cure, remains unremedied for fifteen (15) Business Days following the earlier of (x) any SPV Entity-Related Party’s actual knowledge of such breach and (y) the Administrative Agent’s written notice to any SPV Entity-Related Party of such breach;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incorrect or untrue statement with respect to any Pool Receivable set forth in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is not true, such incorrect or untrue statement shall not result in an Even of Default if a Deemed Collection payment is timely and fully made in connection therewith in accordance with </w:t>
      </w:r>
      <w:r>
        <w:rPr>
          <w:rFonts w:ascii="Times New Roman;serif" w:hAnsi="Times New Roman;serif"/>
          <w:b w:val="false"/>
          <w:color w:val="000000"/>
          <w:sz w:val="24"/>
          <w:u w:val="single"/>
        </w:rPr>
        <w:t>Section 3.01(d)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Any SPV Entity or a Servicer shall fail to deliver any Pool Report pursuant to this Agreement, and such failure shall remain unremedied for two (2) Business Days;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Any of the U.S. Servicer, the UK Servicer, the Canadian Servicer or the Swiss Servicer shall resign, or shall take any material action in furtherance of resigning, from its role or obligations as a Servicer hereunder, except as permitted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Any SPV Entity or a Servicer shall breach </w:t>
      </w:r>
      <w:r>
        <w:rPr>
          <w:rFonts w:ascii="Times New Roman;serif" w:hAnsi="Times New Roman;serif"/>
          <w:b w:val="false"/>
          <w:color w:val="000000"/>
          <w:sz w:val="24"/>
          <w:u w:val="single"/>
        </w:rPr>
        <w:t>Section 6.01(n)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6.02(r)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7.01(v)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7.02(o)</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this Agreement or any sale made or security interest granted pursuant to this Agreement or any other Transaction Document shall for any reason cease to create, or for any reason (other than solely through an action of the Administrative Agent) cease to be, a valid and enforceable first priority perfected ownership or security interest in favor of the Administrative Agent with respect to the Supporting Assets, free and clear of any Adverse Claim other than any Permitted Adverse Claim;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any of (i) a Relief Proceeding shall have been instituted against any SPV Entity-Related Party or Subsidiary of a SPV Entity-Related Party or a substantial part of the assets of any SPV Entity-Related Party or Subsidiary and such Relief Proceeding shall remain undismissed or unstayed and in effect for a period of thirty (30) consecutive days or such court shall enter a decree or order granting any of the relief sought in such Relief Proceeding, (ii) any SPV Entity-Related Party or Subsidiary of a SPV Entity-Related Party institutes, or takes any action in furtherance of, a Relief Proceeding, (iii) any SPV Entity-Related Party or any Subsidiary of a SPV Entity-Related Party ceases to be Solvent or admits in writing its inability to pay its debts as they mature or (iv) any writ or warrant of attachment or execution or similar process is issued or levied against all or any material part of the property of any SPV Entity-Related Party or any Subsidiary of any SPV Entity-Related Party and is not released, vacated or fully bonded within thirty (30) days after its issue or levy;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 the average of the Default Ratios for any three consecutive Fiscal Months shall exceed 3.50%, (B) the average of the Delinquency Ratios for any three consecutive Fiscal Months shall exceed 10.00%, (C) the average of the Dilution Ratios for any three consecutive Fiscal Months shall exceed 5.50%, or (D) the average of the Days’ Sales Outstanding for any three consecutive Fiscal Months shall exceed 50 days;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a Change in Control shall occur;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a Capital Coverage Amount Deficit shall occur and shall not have been cured within two (2) Business Days;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(l)    (i) any SPV Entity shall fail to pay any principal of or premium or interest on any of its Indebtedness when the same becomes due and payable (whether by scheduled maturity, required prepayment, acceleration, demand or otherwise), and such failure shall continue after the applicable grace period, if any, specified in the agreement, mortgage, indenture or instrument relating to such Indebtedness (whether or not such failure shall have been waived under the related agreement) or (ii) any SPV Entity shall fail to observe or perform any other agreement or condition relating to any of its Indebtedness, or any other event shall occur, the effect of which failure or other event is to cause, or to permit the holder or holders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9"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(m)    any of the SPV Entity-Related Parties (other than an SPV Entity) or any of their respective Subsidiaries (other than an SPV Entity), individually or in the aggregate, (i) fails to make any payment beyond the applicable grace period with respect thereto, if any, (whether by scheduled maturity, required prepayment, acceleration, demand, or otherwise) in respect of any Indebtedness having an outstanding aggregate principal amount of not less than the Threshold Amount, or (ii) fails to observe or perform any other agreement or condition relating to any Indebtedness having an outstanding aggregate principal amount of not less than the Threshold Amount, or any other event occurs, the effect of which default or other event described in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is to cause, or to permit the holder or holders of such Indebtedness (or a trustee or agent on behalf of such holder 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any “Event of Default” shall occur under and as defined in the First Lien Credit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(o)    any SPV Entity shall fail (x) at any time (other than for ten (10) Business Days following notice of the death or resignation of any Independent Manager) to have an Independent Manager who satisfies each requirement and qualification specified in </w:t>
      </w:r>
      <w:r>
        <w:rPr>
          <w:rFonts w:ascii="Times New Roman;serif" w:hAnsi="Times New Roman;serif"/>
          <w:b w:val="false"/>
          <w:color w:val="000000"/>
          <w:sz w:val="24"/>
          <w:u w:val="single"/>
        </w:rPr>
        <w:t>Section 7.03(c)</w:t>
      </w:r>
      <w:r>
        <w:rPr>
          <w:color w:val="000000"/>
        </w:rPr>
        <w:t xml:space="preserve"> </w:t>
      </w:r>
      <w:r>
        <w:rPr>
          <w:rFonts w:ascii="Times New Roman;serif" w:hAnsi="Times New Roman;serif"/>
          <w:b w:val="false"/>
          <w:color w:val="000000"/>
          <w:sz w:val="24"/>
        </w:rPr>
        <w:t xml:space="preserve">for Independent Managers, on the SPV Entity’s board of directors or (y) to timely notify the Administrative Agent of any replacement or appointment of any director that is to serve as an Independent Manager on the SPV Entity’s board of directors as required pursuant to </w:t>
      </w:r>
      <w:r>
        <w:rPr>
          <w:rFonts w:ascii="Times New Roman;serif" w:hAnsi="Times New Roman;serif"/>
          <w:b w:val="false"/>
          <w:color w:val="000000"/>
          <w:sz w:val="24"/>
          <w:u w:val="single"/>
        </w:rPr>
        <w:t>Section 7.03(c)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there shall have occurred any event which materially and adversely impairs, as reasonably determined by the Administrative Agent, the collectability of the Pool Receivables or any material portion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either (i) the Internal Revenue Service shall file notice of a lien pursuant to Section 6323 of the Code with regard to any assets of any SPV Entity-Related Party or (ii) the PBGC shall, or shall indicate its intention to, file notice of a lien pursuant to Section 4068 of ERISA with regard to any of the assets of any SPV Entity-Related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(r)    an ERISA Event occurs with respect to a Pension Plan or Multiemployer Plan which has resulted or could reasonably be expected to result in liability of an SPV Entity or any member of the ERISA Group under Title IV of ERISA to the Pension Plan, Multiemployer Plan or the PBGC that could reasonably be expected to have a Material Adverse Effect, or Seller or any member of the ERISA Group fails to pay when due, after the expiration of any applicable grace period, any installment payment with respect to its withdrawal liability under Section 4201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200"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ERISA under a Multiemployer Plan, where the aggregate amount of unamortized withdrawal liability could reasonably be expected to have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    there shall have occurred any event which materially adversely impairs, in the reasonable discretion of Administrative Agent, the collectability of the Pool Receivables generally or any material portion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a Transfer Termination Event shall occur;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    any SPV Entity shall (i) be required to register as an “investment company” within the meaning of the Investment Company Act or (ii) become a “covered fund” within the meaning of the Volcker Rule;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any material provision of this Agreement or any other Transaction Document shall cease to be in full force and effect or any SPV Entity-Related Party (or any Affiliate thereof) shall so state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    the “Net </w:t>
      </w:r>
      <w:r>
        <w:rPr>
          <w:rFonts w:ascii="Times New Roman;serif" w:hAnsi="Times New Roman;serif"/>
          <w:b w:val="false"/>
          <w:strike/>
          <w:color w:val="FF0000"/>
          <w:sz w:val="24"/>
        </w:rPr>
        <w:t>First Lien</w:t>
      </w:r>
      <w:r>
        <w:rPr>
          <w:rFonts w:ascii="Times New Roman;serif" w:hAnsi="Times New Roman;serif"/>
          <w:b w:val="false"/>
          <w:color w:val="0000FF"/>
          <w:sz w:val="24"/>
          <w:u w:val="single"/>
        </w:rPr>
        <w:t>Super-Priority</w:t>
      </w:r>
      <w:r>
        <w:rPr>
          <w:color w:val="000000"/>
        </w:rPr>
        <w:t xml:space="preserve"> </w:t>
      </w:r>
      <w:r>
        <w:rPr>
          <w:rFonts w:ascii="Times New Roman;serif" w:hAnsi="Times New Roman;serif"/>
          <w:b w:val="false"/>
          <w:color w:val="000000"/>
          <w:sz w:val="24"/>
        </w:rPr>
        <w:t xml:space="preserve">Leverage Ratio” (as defined in the First Lien Credit Agreement, as in effect on the </w:t>
      </w:r>
      <w:r>
        <w:rPr>
          <w:rFonts w:ascii="Times New Roman;serif" w:hAnsi="Times New Roman;serif"/>
          <w:b w:val="false"/>
          <w:strike/>
          <w:color w:val="FF0000"/>
          <w:sz w:val="24"/>
        </w:rPr>
        <w:t>Closing</w:t>
      </w:r>
      <w:r>
        <w:rPr>
          <w:rFonts w:ascii="Times New Roman;serif" w:hAnsi="Times New Roman;serif"/>
          <w:b w:val="false"/>
          <w:color w:val="0000FF"/>
          <w:sz w:val="24"/>
          <w:u w:val="single"/>
        </w:rPr>
        <w:t>Third Amendment Effective</w:t>
      </w:r>
      <w:r>
        <w:rPr>
          <w:color w:val="000000"/>
        </w:rPr>
        <w:t xml:space="preserve"> </w:t>
      </w:r>
      <w:r>
        <w:rPr>
          <w:rFonts w:ascii="Times New Roman;serif" w:hAnsi="Times New Roman;serif"/>
          <w:b w:val="false"/>
          <w:color w:val="000000"/>
          <w:sz w:val="24"/>
        </w:rPr>
        <w:t xml:space="preserve">Date without giving effect to any amendment or modification thereto or any termination thereof) as of the last day of any fiscal quarter, is greater than 5.00 to 1.00; provided that on such date the “Testing Condition” (as defined in the First Lien Credit Agreement, as in effect on the </w:t>
      </w:r>
      <w:r>
        <w:rPr>
          <w:rFonts w:ascii="Times New Roman;serif" w:hAnsi="Times New Roman;serif"/>
          <w:b w:val="false"/>
          <w:strike/>
          <w:color w:val="FF0000"/>
          <w:sz w:val="24"/>
        </w:rPr>
        <w:t>Closing</w:t>
      </w:r>
      <w:r>
        <w:rPr>
          <w:rFonts w:ascii="Times New Roman;serif" w:hAnsi="Times New Roman;serif"/>
          <w:b w:val="false"/>
          <w:color w:val="0000FF"/>
          <w:sz w:val="24"/>
          <w:u w:val="single"/>
        </w:rPr>
        <w:t>Third Amendment Effective</w:t>
      </w:r>
      <w:r>
        <w:rPr>
          <w:color w:val="000000"/>
        </w:rPr>
        <w:t xml:space="preserve"> </w:t>
      </w:r>
      <w:r>
        <w:rPr>
          <w:rFonts w:ascii="Times New Roman;serif" w:hAnsi="Times New Roman;serif"/>
          <w:b w:val="false"/>
          <w:color w:val="000000"/>
          <w:sz w:val="24"/>
        </w:rPr>
        <w:t>Date without giving effect to any amendment or modification thereto or any termination thereof) is satisfied;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one or more judgments or decrees shall be entered against any SPV Entity-Related Party or any Subsidiary thereof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30 consecutive days, and the aggregate amount of all such judgments equals or exceeds the Threshold Amount (or solely with respect to any SPV Entity, $18,600);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    the assets of any SPV Entity are deemed to constitute “plan assets” (within the meaning of 29 CFR § 2510.3-101, as modified by Section 3(42) of ERISA) or any SPV Entity is or becomes subject to any applicable law that is similar to the provisions of Section 406 of ERISA or Section 4975 of the Code and that would be violated by the transactions contemplated by this Agreement or any other Transaction Document.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9.02 </w:t>
      </w:r>
      <w:r>
        <w:rPr>
          <w:rFonts w:ascii="Times New Roman;serif" w:hAnsi="Times New Roman;serif"/>
          <w:b w:val="false"/>
          <w:color w:val="000000"/>
          <w:sz w:val="24"/>
          <w:u w:val="single"/>
        </w:rPr>
        <w:t>Consequences of an Event of Default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Generally</w:t>
      </w:r>
      <w:r>
        <w:rPr>
          <w:rFonts w:ascii="Times New Roman;serif" w:hAnsi="Times New Roman;serif"/>
          <w:b w:val="false"/>
          <w:color w:val="000000"/>
          <w:sz w:val="24"/>
        </w:rPr>
        <w:t>. If any Event of Default occurs, the Administrative Agent may (or, at the direction of the Required Purchasers shall) by notice to the Seller: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declare the Termination Date to have occurred (in which case the Termination Date shall be deemed to have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declare the Final Maturity Date to have occurred (in which case the Final Maturity Date shall be deemed to have occurred);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declare the Aggregate Capital and all other Seller Obligations and Guaranteed Obligations to be immediately due and payable (in which case the Aggregate Capital and all other Seller Obligations and Guaranteed Obligations shall be immediately due and payable); </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automatically and immediately (without any requirement for the giving of notice) upon the occurrence of any Event of Default described in </w:t>
      </w:r>
      <w:r>
        <w:rPr>
          <w:rFonts w:ascii="Times New Roman;serif" w:hAnsi="Times New Roman;serif"/>
          <w:b w:val="false"/>
          <w:color w:val="000000"/>
          <w:sz w:val="24"/>
          <w:u w:val="single"/>
        </w:rPr>
        <w:t>Section 9.01(h)</w:t>
      </w:r>
      <w:r>
        <w:rPr>
          <w:color w:val="000000"/>
        </w:rPr>
        <w:t xml:space="preserve"> </w:t>
      </w:r>
      <w:r>
        <w:rPr>
          <w:rFonts w:ascii="Times New Roman;serif" w:hAnsi="Times New Roman;serif"/>
          <w:b w:val="false"/>
          <w:color w:val="000000"/>
          <w:sz w:val="24"/>
        </w:rPr>
        <w:t xml:space="preserve">with respect to the Seller, the Termination Date shall occur and the Aggregate Capital and all other Seller Obligations and Guaranteed Obligations shall be immediately due and payable.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PPSA and under other applicable Law, which rights and remedies shall be cumulative. Without limiting the foregoing, the Administrative Agent may obtain from any court of competent jurisdiction an order for the appointment of an interim receiver, a receiver, a manager or a receiver and manager of the Canadian Guarantor or of any or all of its Pledged Collateral and, by instrument in writing appoint one or more interim receiver, a receiver, a manager or a receiver and manager of the Canadian Guarantor or any or all of its Pledged Collateral with such rights, powers and authority as may be provided for in the instrument of appointment or any supplemental instrument, and remove and replace any such interim receiver, receiver, manager or receiver and manager from time to time. To the extent permitted by applicable Law, any such interim receiver, receiver, manager or receiver and manager appointed by the Administrative Agent shall (for purposes relating to responsibility for acts or omissions) be considered to be the agent of the Canadian Guarantor and not of the Administrative Agent or any of the other Secured Parties. Any proceeds from liquidation of the Sold Assets and Pledged Collateral shall be applied in the order of priority set forth in </w:t>
      </w:r>
      <w:r>
        <w:rPr>
          <w:rFonts w:ascii="Times New Roman;serif" w:hAnsi="Times New Roman;serif"/>
          <w:b w:val="false"/>
          <w:color w:val="000000"/>
          <w:sz w:val="24"/>
          <w:u w:val="single"/>
        </w:rPr>
        <w:t>Section 3.01.</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Set-off</w:t>
      </w:r>
      <w:r>
        <w:rPr>
          <w:rFonts w:ascii="Times New Roman;serif" w:hAnsi="Times New Roman;serif"/>
          <w:b w:val="false"/>
          <w:color w:val="000000"/>
          <w:sz w:val="24"/>
        </w:rPr>
        <w:t xml:space="preserve">. If an Event of Default shall have occurred and be continuing, each Purchaser and each of their respective Affiliates and any participant of such Purchaser or Affiliate which has agreed in writing to be bound by the provisions of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after obtaining the prior written consent of the Administrative Agent,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Purchaser or any such Affiliate or participant to or for the credit or the account of the Seller against any and all of the Seller Obligations now or hereafter existing under this Agreement or any other Transaction Document to such Purchaser, Affiliate or participant, irrespective of whether or not such Purchaser, Affiliate or participant shall have made any demand under this Agreement or any other Transaction Document and although such Seller Obligations may be contingent or unmatured or are owed to a branch or office of such Purchaser different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branch or office holding such deposit or obligated on such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Defaulting Purchaser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 xml:space="preserve">and, pending such payment, shall be segregated by such Defaulting Purchaser from its other funds and deemed held in trust for the benefit of the Administrative Agent and the Purchasers, and (y) the Defaulting Purchaser shall provide promptly to the Administrative Agent a statement describing in reasonable detail the Seller Obligations owing to such Defaulting Purchaser as to which it exercised such right of setoff. The rights of each Purchaser and their respective Affiliates and participants under this Section are in addition to other rights and remedies (including other rights of setoff) that such Purchaser or its respective Affiliates and participants may have. Each Purchaser agrees to notify the Seller and the Administrative Agent promptly after any such setoff and application;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to give such notice shall not affect the validity of such setoff and application.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Enforcement of Rights and Remedies</w:t>
      </w:r>
      <w:r>
        <w:rPr>
          <w:rFonts w:ascii="Times New Roman;serif" w:hAnsi="Times New Roman;serif"/>
          <w:b w:val="false"/>
          <w:color w:val="000000"/>
          <w:sz w:val="24"/>
        </w:rPr>
        <w:t xml:space="preserve">. Notwithstanding anything to the contrary contained herein or in any other Transaction Document, the authority to enforce rights and remedies hereunder and under the other Transaction Documents against the SPV Entity-Related Parties or any of them shall be vested exclusively in, and all actions and proceedings at Law in connection with such enforcement shall be instituted and maintained exclusively by, the Administrative Agent in accordance with this Agreement for the benefit of all the Purchasers and the other Secured Parties;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prohibit (i) the Administrative Agent from exercising on its own behalf the rights and remedies that inure to its benefit (solely in its capacity as Administrative Agent) hereunder and under the other Transaction Documents, (ii) any Purchaser from exercising setoff rights in accordance with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(subject to the terms of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or (iii) any Purchaser from filing proofs of claim or appearing and filing pleadings on its own behalf during the pendency of a proceeding relative to any SPV Entity-Related Party under any Relief Proceeding;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at any time there is no Person acting as Administrative Agent hereunder and under the other Transaction Documents, then (A) the Required Purchasers shall have the rights otherwise ascribed to the Administrative Agent pursuant to this </w:t>
      </w:r>
      <w:r>
        <w:rPr>
          <w:rFonts w:ascii="Times New Roman;serif" w:hAnsi="Times New Roman;serif"/>
          <w:b w:val="false"/>
          <w:color w:val="000000"/>
          <w:sz w:val="24"/>
          <w:u w:val="single"/>
        </w:rPr>
        <w:t>Section 9.02(c)</w:t>
      </w:r>
      <w:r>
        <w:rPr>
          <w:rFonts w:ascii="Times New Roman;serif" w:hAnsi="Times New Roman;serif"/>
          <w:b w:val="false"/>
          <w:color w:val="000000"/>
          <w:sz w:val="24"/>
        </w:rPr>
        <w:t xml:space="preserve">, and (B) in addition to the matters specified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the preceding proviso and subject to </w:t>
      </w:r>
      <w:r>
        <w:rPr>
          <w:rFonts w:ascii="Times New Roman;serif" w:hAnsi="Times New Roman;serif"/>
          <w:b w:val="false"/>
          <w:color w:val="000000"/>
          <w:sz w:val="24"/>
          <w:u w:val="single"/>
        </w:rPr>
        <w:t>Section 3.03</w:t>
      </w:r>
      <w:r>
        <w:rPr>
          <w:rFonts w:ascii="Times New Roman;serif" w:hAnsi="Times New Roman;serif"/>
          <w:b w:val="false"/>
          <w:color w:val="000000"/>
          <w:sz w:val="24"/>
        </w:rPr>
        <w:t>), any Purchaser may, with the consent of the Required Purchasers, enforce any rights and remedies available to it and as authorized by the Required Purchasers.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Application of Proceeds</w:t>
      </w:r>
      <w:r>
        <w:rPr>
          <w:rFonts w:ascii="Times New Roman;serif" w:hAnsi="Times New Roman;serif"/>
          <w:b w:val="false"/>
          <w:color w:val="000000"/>
          <w:sz w:val="24"/>
        </w:rPr>
        <w:t xml:space="preserve">. From and after the date on which the Administrative Agent has taken any action pursuant to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(or after the Seller Obligations have automatically become immediately due and payable as specified in the </w:t>
      </w:r>
      <w:r>
        <w:rPr>
          <w:rFonts w:ascii="Times New Roman;serif" w:hAnsi="Times New Roman;serif"/>
          <w:b w:val="false"/>
          <w:i/>
          <w:color w:val="000000"/>
          <w:sz w:val="24"/>
        </w:rPr>
        <w:t>proviso</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Section 9.02(a)</w:t>
      </w:r>
      <w:r>
        <w:rPr>
          <w:rFonts w:ascii="Times New Roman;serif" w:hAnsi="Times New Roman;serif"/>
          <w:b w:val="false"/>
          <w:color w:val="000000"/>
          <w:sz w:val="24"/>
        </w:rPr>
        <w:t xml:space="preserve">) and until the Final Payout Date, any and all proceeds received on account of the Seller Obligations shall (subject to </w:t>
      </w:r>
      <w:r>
        <w:rPr>
          <w:rFonts w:ascii="Times New Roman;serif" w:hAnsi="Times New Roman;serif"/>
          <w:b w:val="false"/>
          <w:color w:val="000000"/>
          <w:sz w:val="24"/>
          <w:u w:val="single"/>
        </w:rPr>
        <w:t>Sections 2.06</w:t>
      </w:r>
      <w:r>
        <w:rPr>
          <w:rFonts w:ascii="Times New Roman;serif" w:hAnsi="Times New Roman;serif"/>
          <w:b w:val="false"/>
          <w:color w:val="000000"/>
          <w:sz w:val="24"/>
        </w:rPr>
        <w:t xml:space="preserve">) be applied in accordance with the order of priority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w:t>
        <w:br/>
        <w:br/>
        <w:t>THE ADMINISTRATIVE AGENT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10.01 </w:t>
      </w:r>
      <w:r>
        <w:rPr>
          <w:rFonts w:ascii="Times New Roman;serif" w:hAnsi="Times New Roman;serif"/>
          <w:b w:val="false"/>
          <w:color w:val="000000"/>
          <w:sz w:val="24"/>
          <w:u w:val="single"/>
        </w:rPr>
        <w:t>Appointment and Authority</w:t>
      </w:r>
      <w:r>
        <w:rPr>
          <w:rFonts w:ascii="Times New Roman;serif" w:hAnsi="Times New Roman;serif"/>
          <w:b w:val="false"/>
          <w:color w:val="000000"/>
          <w:sz w:val="24"/>
        </w:rPr>
        <w:t>. Each Purchaser Party hereby irrevocably appoints PNC Bank, National Association to act on its behalf as the Administrative Agent hereunder and under the other Transaction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Purchaser Parties, and the SPV Entity-Related Parties shall not have rights as a third-party beneficiary of any of such provisions. It is understood and agreed that the use of the term “agent” herein or in any other Transaction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10.02 </w:t>
      </w:r>
      <w:r>
        <w:rPr>
          <w:rFonts w:ascii="Times New Roman;serif" w:hAnsi="Times New Roman;serif"/>
          <w:b w:val="false"/>
          <w:color w:val="000000"/>
          <w:sz w:val="24"/>
          <w:u w:val="single"/>
        </w:rPr>
        <w:t>Rights as a Purchaser</w:t>
      </w:r>
      <w:r>
        <w:rPr>
          <w:rFonts w:ascii="Times New Roman;serif" w:hAnsi="Times New Roman;serif"/>
          <w:b w:val="false"/>
          <w:color w:val="000000"/>
          <w:sz w:val="24"/>
        </w:rPr>
        <w:t>. The Person serving as the Administrative Agent hereunder shall have the same rights and powers in its capacity as a Purchaser as any other Purchaser and may exercise the same as though it were not the Administrative Agent, and the term “Purchaser” or “Purchasers”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SPV Entity-Related Party or any Subsidiary or other Affiliate thereof as if such Person were not the Administrative Agent hereunder and without any duty to account therefor to the Purchasers.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10.03 </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Administrative Agent shall not have any duties or obligations except those expressly specified herein and in the other Transaction Documents, and its duties hereunder shall be administrative in nature. Without limiting the generality of the foregoing,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shall not be subject to any fiduciary or other implied duties, regardless of whether a Potential Default or Event of Default has occurred and is continuing;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Required Purchasers (or such other number or percentage of the Purchasers as shall be expressly provided for herein or in the other Transaction Documents); provided that the Administrative Agent shall not be required to take any action that, in its opinion or the opinion of its counsel, may expose the Administrative Agent to liability or that is contrary to any Transaction Document or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Law, including for the avoidance of doubt any action that may be in violation of the automatic stay under any Debtor Relief Law or that may effect a forfeiture, modification or termination of property of a Defaulting Purchaser in violation of any Debtor Relief Law;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shall not, except as expressly specified herein and in the other Transaction Documents, have any duty to disclose, and shall not be liable for the failure to disclose, any information relating to any SPV Entity-Related Party or any of its Affiliates that is communicated to or obtained by the Person serving as the Administrative Agent or any of its Affiliates in any capacity.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Administrative Agent shall not be liable for any action taken or not taken by it (i) with the consent or at the request of the Required Purchasers (or such other number or percentage of the Purchasers as shall be necessary, or as the Administrative Agent shall believe in good faith shall be necessary, under the circumstances as provided in </w:t>
      </w:r>
      <w:r>
        <w:rPr>
          <w:rFonts w:ascii="Times New Roman;serif" w:hAnsi="Times New Roman;serif"/>
          <w:b w:val="false"/>
          <w:color w:val="000000"/>
          <w:sz w:val="24"/>
          <w:u w:val="single"/>
        </w:rPr>
        <w:t>Sections 12.01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9.02</w:t>
      </w:r>
      <w:r>
        <w:rPr>
          <w:rFonts w:ascii="Times New Roman;serif" w:hAnsi="Times New Roman;serif"/>
          <w:b w:val="false"/>
          <w:color w:val="000000"/>
          <w:sz w:val="24"/>
        </w:rPr>
        <w: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any SPV Entity-Related Party or a Purchaser.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Administrative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Transaction Document or any other agreement, instrument or document, or (v) the satisfaction of any condition precedent to an Investment, other than to confirm receipt of items expressly required to be delivered to the Administrative Agent.</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10.04 </w:t>
      </w:r>
      <w:r>
        <w:rPr>
          <w:rFonts w:ascii="Times New Roman;serif" w:hAnsi="Times New Roman;serif"/>
          <w:b w:val="false"/>
          <w:color w:val="000000"/>
          <w:sz w:val="24"/>
          <w:u w:val="single"/>
        </w:rPr>
        <w:t>Reliance by Administrative Agent</w:t>
      </w:r>
      <w:r>
        <w:rPr>
          <w:rFonts w:ascii="Times New Roman;serif" w:hAnsi="Times New Roman;serif"/>
          <w:b w:val="false"/>
          <w:color w:val="000000"/>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Investment, that by its terms must be fulfilled to the satisfaction of a Purchaser Party, the Administrative Agent may presume that such condition is satisfactory to such Purchaser Party unless the Administrative Agent shall have received notice to the contrary from such Purchaser Party prior to the making of such Investment. The Administrative Agent may consult with legal counsel (who may be counsel for the SPV Entities), independent accountants and other experts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5"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selected by it, and shall not be liable for any action taken or not taken by it in accordance with the advice of any such counsel, accountants or experts.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10.05 </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The Administrative Agent may perform any and all of its duties and exercise its rights and powers hereunder or under any other Transaction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financing or purchase facility contemplated hereby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10.06 </w:t>
      </w:r>
      <w:r>
        <w:rPr>
          <w:rFonts w:ascii="Times New Roman;serif" w:hAnsi="Times New Roman;serif"/>
          <w:b w:val="false"/>
          <w:color w:val="000000"/>
          <w:sz w:val="24"/>
          <w:u w:val="single"/>
        </w:rPr>
        <w:t>Resignation of Administrative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Administrative Agent may at any time give notice of its resignation to the Purchaser Parties and the SPV Entities. Upon receipt of any such notice of resignation, the Required Purchasers shall have the right, in consultation with the Seller (so long as no Potential Default or Event of Default has occurred and is continuing), to appoint a successor, which shall be a bank with an office in New York, New York, or an Affiliate of any such bank with an office in New York, New York. If no such successor shall have been so appointed by the Required Purchasers and shall have accepted such appointment within 30 days after the retiring Administrative Agent gives notice of its resignation (or such earlier day as shall be agreed by the Required Purchasers) (the “</w:t>
      </w:r>
      <w:r>
        <w:rPr>
          <w:rFonts w:ascii="Times New Roman;serif" w:hAnsi="Times New Roman;serif"/>
          <w:b w:val="false"/>
          <w:color w:val="000000"/>
          <w:sz w:val="24"/>
          <w:u w:val="single"/>
        </w:rPr>
        <w:t>Resignation Effective Date</w:t>
      </w:r>
      <w:r>
        <w:rPr>
          <w:color w:val="000000"/>
        </w:rPr>
        <w:t>”</w:t>
      </w:r>
      <w:r>
        <w:rPr>
          <w:rFonts w:ascii="Times New Roman;serif" w:hAnsi="Times New Roman;serif"/>
          <w:b w:val="false"/>
          <w:color w:val="000000"/>
          <w:sz w:val="24"/>
        </w:rPr>
        <w:t xml:space="preserve">), then the retiring Administrative Agent may (but shall not be obligated to), on behalf of the Purchaser Parties, appoint a successor Administrative Agent meeting the qualifications specified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any such successor Administrative Agent be a Defaulting Purchaser. Whether or not a successor has been appointed, such resignation shall become effective in accordance with such notice on the Resignation Effective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the Person serving as Administrative Agent is a Defaulting Purchaser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of the definition thereof, the Required Purchasers may, to the extent permitted by applicable Law, by notice in writing to the SPV Entities and such Person remove such Person as Administrative Agent and, in consultation with the Seller, appoint a successor. If no such successor shall have been so appointed by the Required Purchasers and shall have accepted such appointment within 30 days (or such earlier day as shall be agreed by the Required Purchasers) (the “</w:t>
      </w:r>
      <w:r>
        <w:rPr>
          <w:rFonts w:ascii="Times New Roman;serif" w:hAnsi="Times New Roman;serif"/>
          <w:b w:val="false"/>
          <w:color w:val="000000"/>
          <w:sz w:val="24"/>
          <w:u w:val="single"/>
        </w:rPr>
        <w:t>Removal Effective Date</w:t>
      </w:r>
      <w:r>
        <w:rPr>
          <w:color w:val="000000"/>
        </w:rPr>
        <w:t>”</w:t>
      </w:r>
      <w:r>
        <w:rPr>
          <w:rFonts w:ascii="Times New Roman;serif" w:hAnsi="Times New Roman;serif"/>
          <w:b w:val="false"/>
          <w:color w:val="000000"/>
          <w:sz w:val="24"/>
        </w:rPr>
        <w:t>), then such removal shall nonetheless become effective in accordance with such notice on the Removal Effective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With effect from the Resignation Effective Date or the Removal Effective Date (as applicable) (i) the retiring or removed Administrative Agent shall be discharged from its duties and obligations hereunder and under the other Transaction Documents (except that in the case of any collateral security held by the Administrative Agent on behalf of the Secured Parties under any of the Transaction Documents, the retiring or removed Administrative Agent shall continue to hold such collateral security until such time as a successor Administrative Agent is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6"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appointed) and (ii) except for any indemnity payments owed to the retiring or removed Administrative Agent, all payments, communications and determinations provided to be made by, to or through the Administrative Agent shall instead be made by or to each Purchaser Party directly, until such time, if any, as the Required Purchasers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Transaction Documents. The fees payable by the SPV Entities to a successor Administrative Agent shall be the same as those payable to its predecessor unless otherwise agreed between the SPV Entities and such successor. After the retiring or removed Administrative Agent’s resignation or removal hereunder and under the other Transaction Documents, the provisions of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10.07 </w:t>
      </w:r>
      <w:r>
        <w:rPr>
          <w:rFonts w:ascii="Times New Roman;serif" w:hAnsi="Times New Roman;serif"/>
          <w:b w:val="false"/>
          <w:color w:val="000000"/>
          <w:sz w:val="24"/>
          <w:u w:val="single"/>
        </w:rPr>
        <w:t>Non-Reliance on Administrative Agent and Other Purchasers</w:t>
      </w:r>
      <w:r>
        <w:rPr>
          <w:rFonts w:ascii="Times New Roman;serif" w:hAnsi="Times New Roman;serif"/>
          <w:b w:val="false"/>
          <w:color w:val="000000"/>
          <w:sz w:val="24"/>
        </w:rPr>
        <w:t>. Each Purchaser Party acknowledges that it has, independently and without reliance upon the Administrative Agent or any other Purchaser or any of their Related Parties and based on such documents and information as it has deemed appropriate, made its own credit analysis and decision to enter into this Agreement. Each Purchaser also acknowledges that it will, independently and without reliance upon the Administrative Agent or any other Purchaser or any of their Related Parties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 Each Purchaser represents and warrants that (i) the Transaction Documents set forth the terms of a commercial lending or purchase facility and certain other facilities as set forth herein and (ii) it is engaged in making, acquiring or holding commercial loans or providing other similar facilities in the ordinary course and is entering into this Agreement as a Purchaser for the purpose of making, acquiring or holding commercial loans and providing other facilities as set forth herein and not for the purpose of purchasing, acquiring or holding any other type of financial instrument, and each Purchaser agrees not to assert a claim in contravention of the foregoing. Each Purchaser represents and warrants that it is sophisticated with respect to decisions to make, acquire or hold commercial loans and to provide other facilities set forth herein, as may be applicable to such Purchaser, and either it, or the Person exercising discretion in making its decision to make, acquire or hold such commercial loans or to provide such other facilities, is experienced in making, acquiring or holding commercial loans or providing such other facilities.</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10.08 </w:t>
      </w:r>
      <w:r>
        <w:rPr>
          <w:rFonts w:ascii="Times New Roman;serif" w:hAnsi="Times New Roman;serif"/>
          <w:b w:val="false"/>
          <w:color w:val="000000"/>
          <w:sz w:val="24"/>
          <w:u w:val="single"/>
        </w:rPr>
        <w:t>No Other Duties, Etc</w:t>
      </w:r>
      <w:r>
        <w:rPr>
          <w:rFonts w:ascii="Times New Roman;serif" w:hAnsi="Times New Roman;serif"/>
          <w:b w:val="false"/>
          <w:color w:val="0000FF"/>
          <w:sz w:val="24"/>
          <w:u w:val="single"/>
        </w:rPr>
        <w:t>.</w:t>
      </w:r>
      <w:r>
        <w:rPr>
          <w:rFonts w:ascii="Times New Roman;serif" w:hAnsi="Times New Roman;serif"/>
          <w:b w:val="false"/>
          <w:strike/>
          <w:color w:val="FF0000"/>
          <w:sz w:val="24"/>
        </w:rPr>
        <w:t xml:space="preserve">. </w:t>
      </w:r>
      <w:r>
        <w:rPr>
          <w:rFonts w:ascii="Times New Roman;serif" w:hAnsi="Times New Roman;serif"/>
          <w:b w:val="false"/>
          <w:color w:val="000000"/>
          <w:sz w:val="24"/>
        </w:rPr>
        <w:t>Anything herein to the contrary notwithstanding, none of the bookrunners or arrangers listed on the cover page hereof shall have any powers, duties or responsibilities under this Agreement or any of the other Transaction Documents, except in its capacity, as applicable, as the Administrative Agent or a Purchaser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7"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10.09 </w:t>
      </w:r>
      <w:r>
        <w:rPr>
          <w:rFonts w:ascii="Times New Roman;serif" w:hAnsi="Times New Roman;serif"/>
          <w:b w:val="false"/>
          <w:color w:val="000000"/>
          <w:sz w:val="24"/>
          <w:u w:val="single"/>
        </w:rPr>
        <w:t>Administrative Agent May File Proofs of Claim</w:t>
      </w:r>
      <w:r>
        <w:rPr>
          <w:rFonts w:ascii="Times New Roman;serif" w:hAnsi="Times New Roman;serif"/>
          <w:b w:val="false"/>
          <w:color w:val="000000"/>
          <w:sz w:val="24"/>
        </w:rPr>
        <w:t>. In case of the pendency of any proceeding under any Debtor Relief Law or any other judicial proceeding relative to any SPV Entity-Related Party, the Administrative Agent (irrespective of whether any Capital or other Seller Obligation shall then be due and payable as herein expressed or by declaration or otherwise and irrespective of whether the Administrative Agent shall have made any demand on the Seller) shall be entitled and empowered (but not obligated) by intervention in such proceeding or otherwise: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to file and prove a claim for the whole amount of the Capital, principal, interest and Yield owing and unpaid in respect of any Investment and all other Seller Obligations that are owing and unpaid and to file such other documents as may be necessary or advisable in order to have the claims of the Purchaser Parties and the Administrative Agent (including any claim for the reasonable compensation, expenses, disbursements and advances of the Purchaser Parties and the Administrative Agent and their respective agents and counsel and all other amounts due the Purchaser Parties and the Administrative Agent) allowed in such judicial proceeding;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collect and receive any monies or other property payable or deliverable on any such claims and to distribute the same;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any custodian, receiver, assignee, trustee, liquidator, sequestrator or other similar official in any such judicial proceeding is hereby authorized by each Purchaser Party to make such payments to the Administrative Agent and, in the event that the Administrative Agent shall consent to the making of such payments directly to the Purchaser Party, to pay to the Administrative Agent any amount due for the reasonable compensation, expenses, disbursements and advances of the Administrative Agent and its agents and counsel, and any other amounts due the Administrative Agent.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10.10 </w:t>
      </w:r>
      <w:r>
        <w:rPr>
          <w:rFonts w:ascii="Times New Roman;serif" w:hAnsi="Times New Roman;serif"/>
          <w:b w:val="false"/>
          <w:color w:val="000000"/>
          <w:sz w:val="24"/>
          <w:u w:val="single"/>
        </w:rPr>
        <w:t>Collateral and Guaranty Matters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Each of the Secured Parties irrevocably authorizes the Administrative Agent, at its option and in its discretion to release any Lien on any Supporting Assets or other property granted to or held by the Administrative Agent under any Transaction Document (x) upon the Final Payout Date, (y) that is sold or otherwise disposed of or to be sold or otherwise disposed of as part of or in connection with any sale or other disposition permitted under the Transaction Documents, or (z) subject to </w:t>
      </w:r>
      <w:r>
        <w:rPr>
          <w:rFonts w:ascii="Times New Roman;serif" w:hAnsi="Times New Roman;serif"/>
          <w:b w:val="false"/>
          <w:color w:val="000000"/>
          <w:sz w:val="24"/>
          <w:u w:val="single"/>
        </w:rPr>
        <w:t>Section 12.01</w:t>
      </w:r>
      <w:r>
        <w:rPr>
          <w:rFonts w:ascii="Times New Roman;serif" w:hAnsi="Times New Roman;serif"/>
          <w:b w:val="false"/>
          <w:color w:val="000000"/>
          <w:sz w:val="24"/>
        </w:rPr>
        <w:t>, if approved, authorized or ratified in writing by the Required Purchasers.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request by the Administrative Agent at any time, the Required Purchasers will confirm in writing the Administrative Agent’s authority to release its interest in particular types or items of Supporting Assets or other property pursuant to this Section.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Administrative Agent shall not be responsible for or have a duty to ascertain or inquire into any representation or warranty regarding the existence, value or collectability of the Supporting Assets, the existence, priority or perfection of the Administrative Agent’s Lien thereon, or any certificate prepared by any SPV Entity-Related Party in connection therewith, nor shall the Administrative Agent be responsible or liable to the Purchasers for any failure to monitor or maintain any portion of the Supporting Assets.</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8"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10.11 </w:t>
      </w:r>
      <w:r>
        <w:rPr>
          <w:rFonts w:ascii="Times New Roman;serif" w:hAnsi="Times New Roman;serif"/>
          <w:b w:val="false"/>
          <w:color w:val="000000"/>
          <w:sz w:val="24"/>
          <w:u w:val="single"/>
        </w:rPr>
        <w:t>No Reliance on Administrative Agent’s Customer Identification Program</w:t>
      </w:r>
      <w:r>
        <w:rPr>
          <w:rFonts w:ascii="Times New Roman;serif" w:hAnsi="Times New Roman;serif"/>
          <w:b w:val="false"/>
          <w:color w:val="000000"/>
          <w:sz w:val="24"/>
        </w:rPr>
        <w:t>. Each Purchaser Party acknowledges and agrees that neither such Purchaser Party, nor any of its Affiliates, participants or assignees, may rely on the Administrative Agent to carry out such Purchaser Party’s,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serif" w:hAnsi="Times New Roman;serif"/>
          <w:b w:val="false"/>
          <w:color w:val="000000"/>
          <w:sz w:val="24"/>
          <w:u w:val="single"/>
        </w:rPr>
        <w:t>CIP Regulations</w:t>
      </w:r>
      <w:r>
        <w:rPr>
          <w:color w:val="000000"/>
        </w:rPr>
        <w:t>”</w:t>
      </w:r>
      <w:r>
        <w:rPr>
          <w:rFonts w:ascii="Times New Roman;serif" w:hAnsi="Times New Roman;serif"/>
          <w:b w:val="false"/>
          <w:color w:val="000000"/>
          <w:sz w:val="24"/>
        </w:rPr>
        <w:t xml:space="preserve">), or any other </w:t>
      </w:r>
      <w:r>
        <w:rPr>
          <w:rFonts w:ascii="Times New Roman;serif" w:hAnsi="Times New Roman;serif"/>
          <w:b w:val="false"/>
          <w:strike/>
          <w:color w:val="FF0000"/>
          <w:sz w:val="24"/>
        </w:rPr>
        <w:t>Anti-Terrorism Law or</w:t>
      </w:r>
      <w:r>
        <w:rPr>
          <w:rFonts w:ascii="Times New Roman;serif" w:hAnsi="Times New Roman;serif"/>
          <w:b w:val="false"/>
          <w:color w:val="0000FF"/>
          <w:sz w:val="24"/>
          <w:u w:val="single"/>
        </w:rPr>
        <w:t>Anti-Money Laundering Law,</w:t>
      </w:r>
      <w:r>
        <w:rPr>
          <w:color w:val="000000"/>
        </w:rPr>
        <w:t xml:space="preserve"> </w:t>
      </w:r>
      <w:r>
        <w:rPr>
          <w:rFonts w:ascii="Times New Roman;serif" w:hAnsi="Times New Roman;serif"/>
          <w:b w:val="false"/>
          <w:color w:val="000000"/>
          <w:sz w:val="24"/>
        </w:rPr>
        <w:t>any Anti-Corruption Law</w:t>
      </w:r>
      <w:r>
        <w:rPr>
          <w:color w:val="0000FF"/>
          <w:u w:val="single"/>
        </w:rPr>
        <w:t xml:space="preserve"> </w:t>
      </w:r>
      <w:r>
        <w:rPr>
          <w:rFonts w:ascii="Times New Roman;serif" w:hAnsi="Times New Roman;serif"/>
          <w:b w:val="false"/>
          <w:color w:val="0000FF"/>
          <w:sz w:val="24"/>
          <w:u w:val="single"/>
        </w:rPr>
        <w:t>or any International Trade Law</w:t>
      </w:r>
      <w:r>
        <w:rPr>
          <w:rFonts w:ascii="Times New Roman;serif" w:hAnsi="Times New Roman;serif"/>
          <w:b w:val="false"/>
          <w:color w:val="000000"/>
          <w:sz w:val="24"/>
        </w:rPr>
        <w:t>, including any programs involving any of the following items relating to or in connection with any of the SPV Entity-Related Parties, their Affiliates or their agents, the Transaction Documents or the transactions hereunder or contemplated hereby: (i) any identity verification procedures, (ii) any recordkeeping, (iii) comparisons with government lists, (iv) customer notices or (v) other procedures required under the CIP Regulations or such other applicable Laws.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10.12 </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Each Purchaser (x) represents and warrants, as of the date such Person became a Purchaser party hereto, to, and (y) covenants, from the date such Person became a Purchaser party hereto to the date such Person ceases being a Purchaser party hereto, for the benefit of, the Administrative Agent and the Structuring Agent and their respective Affiliates, and not, for the avoidance of doubt, to or for the benefit of any SPV Entity-Related Party, that at least one of the following is and will be true: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such Purchaser is not using “plan assets” (within the meaning of Section 3(42) of ERISA or otherwise) of one or more Benefit Plans with respect to such Purchaser’s entrance into, participation in, administration of and performance of the Investments, the Commitments or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Purchaser’s entrance into, participation in, administration of and performance of the Investments, the Commitments and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    (A) such Purchaser is an investment fund managed by a “Qualified Professional Asset Manager” (within the meaning of Part VI of PTE 84-14), (B) such Qualified Professional Asset Manager made the investment decision on behalf of such Purchaser to enter into, participate in, administer and perform the Investments, the Commitments and this Agreement, (C) the entrance into, participation in, administration of and performance of the Investments, the Commitments and this Agreement satisfies the requirements of sub-sections (b) through (g) of Part I of PTE 84-14 and (D) to the best knowledge of such Purchaser, the requirements of subsection (a) of Part I of PTE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9"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84-14 are satisfied with respect to such Purchaser’s entrance into, participation in, administration of and performance of the Investments, the Commitments and this Agreement,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such other representation, warranty and covenant as may be agreed in writing between the Administrative Agent, in its sole discretion, and such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 addition, unless either (1)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clause(a)</w:t>
      </w:r>
      <w:r>
        <w:rPr>
          <w:color w:val="000000"/>
        </w:rPr>
        <w:t xml:space="preserve"> </w:t>
      </w:r>
      <w:r>
        <w:rPr>
          <w:rFonts w:ascii="Times New Roman;serif" w:hAnsi="Times New Roman;serif"/>
          <w:b w:val="false"/>
          <w:color w:val="000000"/>
          <w:sz w:val="24"/>
        </w:rPr>
        <w:t xml:space="preserve">is true with respect to a Purchaser or (2) a Purchaser has provided another representation, warranty and covenant in accordance with </w:t>
      </w:r>
      <w:r>
        <w:rPr>
          <w:rFonts w:ascii="Times New Roman;serif" w:hAnsi="Times New Roman;serif"/>
          <w:b w:val="false"/>
          <w:color w:val="000000"/>
          <w:sz w:val="24"/>
          <w:u w:val="single"/>
        </w:rPr>
        <w:t>sub-clause (iv)</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such Purchaser further (x) represents and warrants, as of the date such Person became a Purchaser party hereto, and (y) covenants, from the date such Person became a Purchaser party hereto to the date such Person ceases being a party hereto, for the benefit of, the Administrative Agent and the Structuring Agent and their respective Affiliates, and not, for the avoidance of doubt, to or for the benefit of any SPV Entity-Related Party, that none of the Administrative Agent or the Structuring Agent or any of their respective Affiliates is a fiduciary with respect to the assets of such Purchaser involved in such Purchaser’s entrance into, participation in, administration of and performance of the Investments, the Commitments and this Agreement (including in connection with the reservation or exercise of any rights by the Administrative Agent under this Agreement, any Transaction Document or any documents related hereto or thereto).</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10.13 </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the Administrative Agent notifies a Purchaser Party or other Secured Party, or any Person who has received funds on behalf of a Purchaser Party or other Secured Party (any Purchaser Party, Secured Party or other recipient,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xml:space="preserve">) that the Administrative Agent has determined in its sole discretion (whether or not after receipt of any notice under immediately succeeding </w:t>
      </w:r>
      <w:r>
        <w:rPr>
          <w:rFonts w:ascii="Times New Roman;serif" w:hAnsi="Times New Roman;serif"/>
          <w:b w:val="false"/>
          <w:color w:val="000000"/>
          <w:sz w:val="24"/>
          <w:u w:val="single"/>
        </w:rPr>
        <w:t>clause (b)</w:t>
      </w:r>
      <w:r>
        <w:rPr>
          <w:rFonts w:ascii="Times New Roman;serif" w:hAnsi="Times New Roman;serif"/>
          <w:b w:val="false"/>
          <w:color w:val="000000"/>
          <w:sz w:val="24"/>
        </w:rPr>
        <w:t>) that any funds received by such Payment Recipient from the Administrative Agent or any of its Affiliates were erroneously transmitted to, or otherwise erroneously or mistakenly received by, such Payment Recipient (whether or not known to such Purchaser Party, other Secured Party or other Payment Recipient on its behalf) (any such funds, whether received as a payment, prepayment or repayment of Capital, principal, interest, Yield,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Purchaser Party or other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10"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interbank compensation from time to time in effect. A notice of the Administrative Agent to any Payment Recipient under this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Without limiting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each Purchaser Party or other Secured Party, or any Person who has received funds on behalf of a Purchaser Party or other Secured Party, hereby further agrees that if it receives a payment, prepayment or repayment (whether received as a payment, prepayment or repayment of Capital, principal, interest, Yield,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Purchaser Party or other Secured Party, or other such recipient, otherwise becomes aware was transmitted, or received, in error or by mistake (in whole or in part) in each case: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(A) in the case of immediately preceding </w:t>
      </w:r>
      <w:r>
        <w:rPr>
          <w:rFonts w:ascii="Times New Roman;serif" w:hAnsi="Times New Roman;serif"/>
          <w:b w:val="false"/>
          <w:color w:val="000000"/>
          <w:sz w:val="24"/>
          <w:u w:val="single"/>
        </w:rPr>
        <w:t xml:space="preserve">clauses (x)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(y)</w:t>
      </w:r>
      <w:r>
        <w:rPr>
          <w:rFonts w:ascii="Times New Roman;serif" w:hAnsi="Times New Roman;serif"/>
          <w:b w:val="false"/>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serif" w:hAnsi="Times New Roman;serif"/>
          <w:b w:val="false"/>
          <w:color w:val="000000"/>
          <w:sz w:val="24"/>
          <w:u w:val="single"/>
        </w:rPr>
        <w:t>clause (z)</w:t>
      </w:r>
      <w:r>
        <w:rPr>
          <w:rFonts w:ascii="Times New Roman;serif" w:hAnsi="Times New Roman;serif"/>
          <w:b w:val="false"/>
          <w:color w:val="000000"/>
          <w:sz w:val="24"/>
        </w:rPr>
        <w:t>), in each case, with respect to such payment, prepayment or repayment;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such Purchaser Party or other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10.12(b)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Each Purchaser Party or other Secured Party hereby authorizes the Administrative Agent to set off, net and apply any and all amounts at any time owing to such Purchaser Party or other Secured Party under any Transaction Document, or otherwise payable or distributable by the Administrative Agent to such Purchaser Party or other Secured Party from any source, against any amount due to the Administrative Agent under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or under the indemnification provisions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In the event that an Erroneous Payment (or portion thereof) is not recovered by the Administrative Agent for any reason, after demand therefor by the Administrative Agent in accordance with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from any Purchaser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upon the Administrative Agent’s notice to such Purchaser at any time, (i) such Purchaser shall be deemed to have assigned its Investments (but not its Commitments) in an amount equal to the Erroneous Payment Return Deficiency (or such lesser amount as the Administrative Agent may specify) (such assignment of the Investments (but not Commitments), the “</w:t>
      </w:r>
      <w:r>
        <w:rPr>
          <w:rFonts w:ascii="Times New Roman;serif" w:hAnsi="Times New Roman;serif"/>
          <w:b w:val="false"/>
          <w:color w:val="000000"/>
          <w:sz w:val="24"/>
          <w:u w:val="single"/>
        </w:rPr>
        <w:t xml:space="preserve">Erroneous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u w:val="single"/>
        </w:rPr>
        <w:t>Deficiency Assignment</w:t>
      </w:r>
      <w:r>
        <w:rPr>
          <w:color w:val="000000"/>
        </w:rPr>
        <w:t>”</w:t>
      </w:r>
      <w:r>
        <w:rPr>
          <w:rFonts w:ascii="Times New Roman;serif" w:hAnsi="Times New Roman;serif"/>
          <w:b w:val="false"/>
          <w:color w:val="000000"/>
          <w:sz w:val="24"/>
        </w:rPr>
        <w:t>) at par plus any accrued and unpaid interest (with the assignment fee to be waived by the Administrative Agent in such instance), and is hereby (together with the Seller) deemed to execute and deliver an Assignment and Assumption with respect to such Erroneous Payment Deficiency Assignment, (ii) the Administrative Agent as the assignee Purchaser shall be deemed to acquire the Erroneous Payment Deficiency Assignment, (iii) upon such deemed acquisition, the Administrative Agent as the assignee Purchaser shall become a Purchaser hereunder with respect to such Erroneous Payment Deficiency Assignment and the assigning Purchaser shall cease to be a Purchaser hereunder with respect to such Erroneous Payment Deficiency Assignment, excluding, for the avoidance of doubt, its obligations under the indemnification provisions of this Agreement and its applicable Commitments which shall survive as to such assigning Purchaser and (iv) the Administrative Agent may reflect in the Register its ownership interest in the Investments subject to the Erroneous Payment Deficiency Assignment. The Administrative Agent may, in its discretion, sell any Investments acquired pursuant to an Erroneous Payment Deficiency Assignment and upon receipt of the proceeds of such sale, the Erroneous Payment Return Deficiency owing by the applicable Purchaser shall be reduced by the net proceeds of the sale of such Investment (or portion thereof), and the Administrative Agent shall retain all other rights, remedies and claims against such Purchaser (and/or against any recipient that receives funds on its respective behalf). For the avoidance of doubt, no Erroneous Payment Deficiency Assignment will reduce the Commitments of any Purchaser and such Commitments shall remain available in accordance with the terms of this Agreement. In addition, each party hereto agrees that, except to the extent that the Administrative Agent has sold an Investment (or portion thereof) acquired pursuant to an Erroneous Payment Deficiency Assignment, and irrespective of whether the Administrative Agent may be equitably subrogated, the Administrative Agent shall be contractually subrogated to all the rights and interests of the applicable Purchaser or other Secured Party under the Transaction Documents with respect to each Erroneous Payment Return Deficiency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parties hereto agree that an Erroneous Payment shall not pay, prepay, repay, discharge or otherwise satisfy any Seller Obligations or any other obligations owed by any SPV Entity-Related Party, except, in each case, to the extent such Erroneous Payment is, and solely with respect to the amount of such Erroneous Payment that is, comprised of funds received by the Administrative Agent from any SPV Entity-Related Party for the purpose of making such Erroneous Payment.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Each party’s obligations, agreements and waivers under this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shall survive the resignation or replacement of the Administrative Agent, the termination of the Commitments and/or the repayment, satisfaction or discharge of all Seller Obligations (or any portion thereof) under any Transaction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2"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10.14 </w:t>
      </w:r>
      <w:r>
        <w:rPr>
          <w:rFonts w:ascii="Times New Roman;serif" w:hAnsi="Times New Roman;serif"/>
          <w:b w:val="false"/>
          <w:color w:val="000000"/>
          <w:sz w:val="24"/>
          <w:u w:val="single"/>
        </w:rPr>
        <w:t>UK Security Agreement</w:t>
      </w:r>
      <w:r>
        <w:rPr>
          <w:rFonts w:ascii="Times New Roman;serif" w:hAnsi="Times New Roman;serif"/>
          <w:b w:val="false"/>
          <w:color w:val="000000"/>
          <w:sz w:val="24"/>
        </w:rPr>
        <w:t xml:space="preserve">. Notwithstanding any other provision of this Agreement, each Secured Party irrevocably appoints the Administrative Agent to act as its trustee under and in connection with the UK Security Agreement on the terms and conditions set out in the UK Security Agreement to hold the assets subject to the security thereby created as trustee for the Secured Parties on the trusts and other terms contained in the UK Security Agreement. Each of the Secured Parties authorizes the Administrative Agent to exercise the rights, remedies, power and discretions, specifically given to the Administrative Agent under or in respect of the UK Security Agreement, together with any rights, remedies, power and discretions, incidental thereto. In addition, when acting in the capacity of trustee for the Secured Parties, the Administrative Agent shall have all the rights, remedies and benefits of and in favor of the Administrative Agent contained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w:t>
        <w:br/>
        <w:br/>
        <w:t>EXPENSES; INDEMNITY; DAMAGE WAIVER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11.01 </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Each SPV Entity shall pay (i) all out-of-pocket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in connection with the syndication of the purchase or financing facilities provided for herein, the preparation, negotiation, execution, delivery and administration of this Agreement and the other Transaction Documents or any amendments, modifications or waivers of the provisions hereof or thereof (whether or not the transactions contemplated hereby or thereby shall be consummated), (ii) all out-of-pocket expenses incurred by the Administrative Agent or any Purchaser Party (including the fees, charges and disbursements of any counsel for the Administrative Agent or any Purchaser Party), and shall pay all fees and time charges for attorneys who may be employees of the Administrative Agent or any Purchaser Party, in connection with the enforcement or protection of its rights (A) in connection with this Agreement and the other Transaction Documents, including its rights under this Section, or (B) in connection with the Investments made hereunder, including all such out-of-pocket expenses incurred during any workout, restructuring or negotiations in respect of any Investment, and (iii) all reasonable out-of-pocket expenses of the Administrative Agent’s regular employees and agents engaged periodically to perform audits of the SPV Entity-Related Parties’ books, records and business properties.</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11.02 </w:t>
      </w:r>
      <w:r>
        <w:rPr>
          <w:rFonts w:ascii="Times New Roman;serif" w:hAnsi="Times New Roman;serif"/>
          <w:b w:val="false"/>
          <w:color w:val="000000"/>
          <w:sz w:val="24"/>
          <w:u w:val="single"/>
        </w:rPr>
        <w:t>Indemnification by the SPV Entities</w:t>
      </w:r>
      <w:r>
        <w:rPr>
          <w:rFonts w:ascii="Times New Roman;serif" w:hAnsi="Times New Roman;serif"/>
          <w:b w:val="false"/>
          <w:color w:val="000000"/>
          <w:sz w:val="24"/>
        </w:rPr>
        <w:t>. Without limiting any other rights that the Administrative Agent, the Purchaser Parties, the other Secured Parties and their respective assigns, officers, directors, agents and employees (each, a “</w:t>
      </w:r>
      <w:r>
        <w:rPr>
          <w:rFonts w:ascii="Times New Roman;serif" w:hAnsi="Times New Roman;serif"/>
          <w:b w:val="false"/>
          <w:color w:val="000000"/>
          <w:sz w:val="24"/>
          <w:u w:val="single"/>
        </w:rPr>
        <w:t>SPV Entity Indemnified Party</w:t>
      </w:r>
      <w:r>
        <w:rPr>
          <w:color w:val="000000"/>
        </w:rPr>
        <w:t>”</w:t>
      </w:r>
      <w:r>
        <w:rPr>
          <w:rFonts w:ascii="Times New Roman;serif" w:hAnsi="Times New Roman;serif"/>
          <w:b w:val="false"/>
          <w:color w:val="000000"/>
          <w:sz w:val="24"/>
        </w:rPr>
        <w:t xml:space="preserve">) may have hereunder or under applicable Law, each SPV Entity hereby agrees to indemnify each SPV Entity Indemnified Party from and against any and all claims, losses and liabilities (including Attorney Costs;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so long as no Event of Default is continuing, such Attorney Costs shall be limited to those of not more than one firm of counsel for all such SPV Entity Indemnified Parties, taken as a whole, and, if necessary, a single local firm of counsel in each appropriate jurisdiction for all such SPV Entity Indemnified Parties, taken as a whole (and, in the case of an actual or perceived conflict of interest, of another firm of counsel for such affected SPV Entity Indemnified Party)) (all of the foregoing being collectively 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13"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to as “SPV Entity</w:t>
      </w:r>
      <w:r>
        <w:rPr>
          <w:color w:val="000000"/>
          <w:u w:val="single"/>
        </w:rPr>
        <w:t xml:space="preserve"> </w:t>
      </w:r>
      <w:r>
        <w:rPr>
          <w:rFonts w:ascii="Times New Roman;serif" w:hAnsi="Times New Roman;serif"/>
          <w:b w:val="false"/>
          <w:color w:val="000000"/>
          <w:sz w:val="24"/>
          <w:u w:val="single"/>
        </w:rPr>
        <w:t>Indemnified Amounts</w:t>
      </w:r>
      <w:r>
        <w:rPr>
          <w:color w:val="000000"/>
        </w:rPr>
        <w:t>”</w:t>
      </w:r>
      <w:r>
        <w:rPr>
          <w:rFonts w:ascii="Times New Roman;serif" w:hAnsi="Times New Roman;serif"/>
          <w:b w:val="false"/>
          <w:color w:val="000000"/>
          <w:sz w:val="24"/>
        </w:rPr>
        <w:t xml:space="preserve">) arising out of or resulting from this Agreement or any other Transaction Document or the use of proceeds of the Investments or the ownership or security interest in respect of any Pool Receivable or any other Supporting Assets; </w:t>
      </w:r>
      <w:r>
        <w:rPr>
          <w:rFonts w:ascii="Times New Roman;serif" w:hAnsi="Times New Roman;serif"/>
          <w:b w:val="false"/>
          <w:color w:val="000000"/>
          <w:sz w:val="24"/>
          <w:u w:val="single"/>
        </w:rPr>
        <w:t>excluding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(a) SPV Entity Indemnified Amounts to the extent a final non-appealable judgment of a court of competent jurisdiction holds that such SPV Entity Indemnified Amounts resulted solely from the gross negligence or willful misconduct by the SPV Entity Indemnified Party seeking indemnification and (b) Taxes (other than (x) Taxes enumerated in </w:t>
      </w:r>
      <w:r>
        <w:rPr>
          <w:rFonts w:ascii="Times New Roman;serif" w:hAnsi="Times New Roman;serif"/>
          <w:b w:val="false"/>
          <w:color w:val="000000"/>
          <w:sz w:val="24"/>
          <w:u w:val="single"/>
        </w:rPr>
        <w:t>clause (xiv)</w:t>
      </w:r>
      <w:r>
        <w:rPr>
          <w:color w:val="000000"/>
        </w:rPr>
        <w:t xml:space="preserve"> </w:t>
      </w:r>
      <w:r>
        <w:rPr>
          <w:rFonts w:ascii="Times New Roman;serif" w:hAnsi="Times New Roman;serif"/>
          <w:b w:val="false"/>
          <w:color w:val="000000"/>
          <w:sz w:val="24"/>
        </w:rPr>
        <w:t xml:space="preserve">below, (y) any Taxes that represent losses, claims, damages, etc. arising from any non-Tax claim and (z) SPV Entity Indemnified Amounts to the extent arising from a material breach of such SPV Entity Indemnified Party’s obligations under any Transaction Document (as determined by a court of competent jurisdiction in a final, non-appealable judgment)). Without limiting or being limited by the foregoing, the SPV Entity shall pay on demand (it being understood that if any portion of such payment obligation is made from Collections, such payment will be made at the time and in the order of priority set forth in </w:t>
      </w:r>
      <w:r>
        <w:rPr>
          <w:rFonts w:ascii="Times New Roman;serif" w:hAnsi="Times New Roman;serif"/>
          <w:b w:val="false"/>
          <w:color w:val="000000"/>
          <w:sz w:val="24"/>
          <w:u w:val="single"/>
        </w:rPr>
        <w:t>Section 3.01(a)</w:t>
      </w:r>
      <w:r>
        <w:rPr>
          <w:rFonts w:ascii="Times New Roman;serif" w:hAnsi="Times New Roman;serif"/>
          <w:b w:val="false"/>
          <w:color w:val="000000"/>
          <w:sz w:val="24"/>
        </w:rPr>
        <w:t>), to each SPV Entity Indemnified Party any and all amounts necessary to indemnify such SPV Entity Indemnified Party from and against any and all SPV Entity Indemnified Amounts relating to or resulting from any of the following (excluding SPV Entity Indemnified Amounts set forth in clauses (a) and (b) 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any Pool Receivable which each SPV Entity or the Servicers include as an Eligible Receivable as part of the Net Receivables Pool Balance but which is not an Eligible Receivable at such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any representation, warranty or statement made or deemed made by such SPV Entity (or any of its respective officers) under or in connection with this Agreement, any of the other Transaction Documents, any Pool Report or any other information or report delivered by or on behalf of such SPV Entity pursuant hereto which shall have been untrue or incorrect when made or deemed made;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failure by such SPV Entity to comply with any applicable Law with respect to any Pool Receivable or the related Contract; or the failure of any Pool Receivable or the related Contract to conform to any such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failure to vest in the Administrative Agent a first priority perfected ownership or security interest in all or any portion of the Supporting Assets, in each case free and clear of any Adverse Claim;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failure to have filed, or any delay in filing, financing statements, financing statement amendments, financing change statements, amendments, continuation statements or other similar instruments or documents under the UCC or PPSA of any applicable jurisdiction or other applicable Laws with respect to any Pool Receivable and the other Supporting Assets and Collections in respect thereof, whether at the time of any Investment or at any subsequent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    any dispute, claim or defense (other than discharge in bankruptcy) of an Obligor to the payment of any Pool Receivable (including a defense based on such Pool Receivable or the related Contract not being a legal, valid and binding obligation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4"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Obligor enforceable against it in accordance with its terms), or any other claim resulting from or relating to collection activities with respect to such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any failure of such SPV Entity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any products liability, environmental or other claim arising out of or in connection with any Pool Receivable or other merchandise, goods or services which are the subject of or related to any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    the misdirection of Collections or the commingling of Collections of Pool Receivables at any time with other funds;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    any investigation, litigation or proceeding (actual or threatened) related to this Agreement or any other Transaction Document or the use of </w:t>
      </w:r>
      <w:r>
        <w:rPr>
          <w:rFonts w:ascii="Times New Roman;serif" w:hAnsi="Times New Roman;serif"/>
          <w:b w:val="false"/>
          <w:strike/>
          <w:color w:val="FF0000"/>
          <w:sz w:val="24"/>
        </w:rPr>
        <w:t xml:space="preserve">proceeds of </w:t>
      </w:r>
      <w:r>
        <w:rPr>
          <w:rFonts w:ascii="Times New Roman;serif" w:hAnsi="Times New Roman;serif"/>
          <w:b w:val="false"/>
          <w:color w:val="000000"/>
          <w:sz w:val="24"/>
        </w:rPr>
        <w:t xml:space="preserve">any Investments or </w:t>
      </w:r>
      <w:r>
        <w:rPr>
          <w:rFonts w:ascii="Times New Roman;serif" w:hAnsi="Times New Roman;serif"/>
          <w:b w:val="false"/>
          <w:color w:val="0000FF"/>
          <w:sz w:val="24"/>
          <w:u w:val="single"/>
        </w:rPr>
        <w:t xml:space="preserve">the proceeds thereof or </w:t>
      </w:r>
      <w:r>
        <w:rPr>
          <w:rFonts w:ascii="Times New Roman;serif" w:hAnsi="Times New Roman;serif"/>
          <w:b w:val="false"/>
          <w:color w:val="000000"/>
          <w:sz w:val="24"/>
        </w:rPr>
        <w:t>in respect of any Pool Receivable or other Supporting Assets or any related Contract;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any failure of such SPV Entity to comply with its covenants, obligations and agreements contained in this Agreement or any other Transaction Document;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any setoff with respect to any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    any claim brought by any Person other than an SPV Entity Indemnified Party arising from any activity by such SPV Entity or any Affiliate of such SPV Entity in servicing, administering or collecting any Pool Receivable;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    the failure by such SPV Entity to pay when due any Taxes, including sales, excise or personal property taxes;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    the use of, or receipt of Collections in, any Foreign Originator Account;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(xvii)    any dispute, claim, offset or defense (other than discharge in bankruptcy of the Obligor) of the Obligor to the payment of any Pool Receivable (including a defense based on such Pool Receivable or the related Contract not being a legal, valid and binding obligation of such Obligor enforceable against it in accordance with its terms), or any other claim resulting from the sale of goods or the rendering of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5"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    any action taken by the Administrative Agent as attorney-in-fact for any SPV Entity-Related Party pursuant to this Agreement or any other Transaction Document;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    the failure or delay to provide any Obligor with an invoice or other evidence of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    the use of proceeds of any Investment;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    any reduction in Capital as a result of the distribution of Collections if all or a portion of such distributions shall thereafter be rescinded or otherwise must be returned for any reason.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but without limiting any of the SPV Entity-Related Party’s express obligations (including indemnification obligations) under any Transaction Document to which it is a party, there shall be no recourse to any SPV Entity-Related Party (other than the SPV Entities) for such SPV Entity’s indemnification obligations hereunder other than to the extent expressly provided for in this Agreement or in any other Transaction Document.</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11.03 </w:t>
      </w:r>
      <w:r>
        <w:rPr>
          <w:rFonts w:ascii="Times New Roman;serif" w:hAnsi="Times New Roman;serif"/>
          <w:b w:val="false"/>
          <w:color w:val="000000"/>
          <w:sz w:val="24"/>
          <w:u w:val="single"/>
        </w:rPr>
        <w:t>Indemnification by the Servicers</w:t>
      </w:r>
      <w:r>
        <w:rPr>
          <w:rFonts w:ascii="Times New Roman;serif" w:hAnsi="Times New Roman;serif"/>
          <w:b w:val="false"/>
          <w:color w:val="000000"/>
          <w:sz w:val="24"/>
        </w:rPr>
        <w:t>. Each Servicer, jointly and severally, hereby agrees to indemnify and hold harmless each SPV Entity, the Administrative Agent, the Purchaser Parties, the other Secured Parties and their respective assigns, officers, directors, agents and employees (each, a “</w:t>
      </w:r>
      <w:r>
        <w:rPr>
          <w:rFonts w:ascii="Times New Roman;serif" w:hAnsi="Times New Roman;serif"/>
          <w:b w:val="false"/>
          <w:color w:val="000000"/>
          <w:sz w:val="24"/>
          <w:u w:val="single"/>
        </w:rPr>
        <w:t>Servicer Indemnified Party</w:t>
      </w:r>
      <w:r>
        <w:rPr>
          <w:color w:val="000000"/>
        </w:rPr>
        <w:t>”</w:t>
      </w:r>
      <w:r>
        <w:rPr>
          <w:rFonts w:ascii="Times New Roman;serif" w:hAnsi="Times New Roman;serif"/>
          <w:b w:val="false"/>
          <w:color w:val="000000"/>
          <w:sz w:val="24"/>
        </w:rPr>
        <w:t>), from and against any loss, liability, expense, damage or injury suffered or sustained by reason of any acts, omissions or alleged acts or omissions arising out of activities of such Servicer pursuant to this Agreement or any other Transaction Document, including any judgment, award, settlement, Attorney Costs; provided that, so long as no Event of Termination or Unmatured Event of Termination is continuing, such Attorney Costs shall be limited to those of not more than one firm of counsel for all such Servicer Indemnified Parties, taken as a whole (but excluding the SPV Entities), and, if necessary, a single local firm of counsel in each appropriate jurisdiction for all such Servicer Indemnified Parties (excluding the SPV Entities), taken as a whole (and, in the case of an actual or perceived conflict of interest, of another firm of counsel for such affected Servicer Indemnified Party) and other costs or expenses incurred in connection with the defense of any actual or threatened action, proceeding or claim (all of the foregoing being collectively referred to as, “</w:t>
      </w:r>
      <w:r>
        <w:rPr>
          <w:rFonts w:ascii="Times New Roman;serif" w:hAnsi="Times New Roman;serif"/>
          <w:b w:val="false"/>
          <w:color w:val="000000"/>
          <w:sz w:val="24"/>
          <w:u w:val="single"/>
        </w:rPr>
        <w:t>Servicer Indemnified Amounts</w:t>
      </w:r>
      <w:r>
        <w:rPr>
          <w:color w:val="000000"/>
        </w:rPr>
        <w:t>”</w:t>
      </w:r>
      <w:r>
        <w:rPr>
          <w:rFonts w:ascii="Times New Roman;serif" w:hAnsi="Times New Roman;serif"/>
          <w:b w:val="false"/>
          <w:color w:val="000000"/>
          <w:sz w:val="24"/>
        </w:rPr>
        <w:t xml:space="preserve">); excluding (a) Servicer Indemnified Amounts to the extent a final non-appealable judgment of a court of competent jurisdiction holds that such Servicer Indemnified Amounts resulted solely from the gross negligence or willful misconduct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6"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by such Servicer Indemnified Party seeking indemnification, (b) Taxes that are covered by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(other than any Taxes that represent losses, claims, damages, etc. arising from any non-Tax claim), (c) Servicer Indemnified Amounts to the extent arising from a material breach of such Servicer Indemnified Party’s obligations under any Transaction Document (as determined by a court of competent jurisdiction in a final, non-appealable judgment), and (d)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such Servicer shall pay on demand, to each Servicer Indemnified Party any and all amounts necessary to indemnify such Servicer Indemnified Party from and against any and all Servicer Indemnified Amounts relating to or resulting from any of the following (excluding Servicer Indemnified Amounts set forth in clauses (a), (b) and (c) above):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any representation, warranty or statement made or deemed made by such Servicer (or any of its respective officers) under or in connection with this Agreement, any of the other Transaction Documents, any Pool Report or any other information or report delivered by or on behalf of such Servicer pursuant hereto which shall have been untrue or incorrect when made or deemed made;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failure by such Servicer to comply with any applicable Law with respect to any Pool Receivable or the related Contract; or the failure of any Pool Receivable or the related Contract to conform to any such applicable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misdirection of Collections or the commingling of Collections of Pool Receivables at any time with other funds;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any failure of a Collection Account Bank to comply with the terms of the applicable Account Control Agreement, the termination by a Collection Account Bank of any Account Control Agreement or any amounts (including in respect of an indemnity) payable by the Administrative Agent to a Collection Account Bank under any Account Control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    the failure or delay to provide any Obligor with an invoice or other evidence of indebtedness;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maintenance of any Linked Account with respect to any Collection Account or the debiting against any Collection Account of amounts as a result of any “Settlement Item” (as defined in the related Account Control Agreement) that originated in any Linked Account or any other account other than a Collection Account;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any failure of such Servicer to comply with its covenants, obligations and agreements contained in this Agreement or any other Transaction Document.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but without limiting any of any of each SPV Entity’s express obligations (including indemnification obligations) under any Transaction Document to which it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7"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 a party, there shall be no recourse to such SPV Entity for such Servicer’s indemnification obligations hereunder other than to the extent expressly provided for in this Agreement or in any other Transaction Document.</w:t>
      </w:r>
    </w:p>
    <w:p>
      <w:pPr>
        <w:pStyle w:val="TextBody"/>
        <w:bidi w:val="0"/>
        <w:spacing w:lineRule="auto" w:line="288" w:before="0" w:after="240"/>
        <w:jc w:val="both"/>
        <w:rPr/>
      </w:pPr>
      <w:r>
        <w:rPr>
          <w:rFonts w:ascii="Times New Roman;serif" w:hAnsi="Times New Roman;serif"/>
          <w:b w:val="false"/>
          <w:color w:val="000000"/>
          <w:sz w:val="24"/>
        </w:rPr>
        <w:t>If and to the extent the Swiss Servicer becomes liable under this Agreement or any other Transaction Document, be it under the indemnity, security given or otherwise, for obligations of any of its (direct or indirect) parent companies, sister companies or subsidiaries (other than its wholly owned direct or indirect subsidiaries, the “</w:t>
      </w:r>
      <w:r>
        <w:rPr>
          <w:rFonts w:ascii="Times New Roman;serif" w:hAnsi="Times New Roman;serif"/>
          <w:b w:val="false"/>
          <w:color w:val="000000"/>
          <w:sz w:val="24"/>
          <w:u w:val="single"/>
        </w:rPr>
        <w:t>Upstream or Cross-Stream Obligations</w:t>
      </w:r>
      <w:r>
        <w:rPr>
          <w:color w:val="000000"/>
        </w:rPr>
        <w:t>”</w:t>
      </w:r>
      <w:r>
        <w:rPr>
          <w:rFonts w:ascii="Times New Roman;serif" w:hAnsi="Times New Roman;serif"/>
          <w:b w:val="false"/>
          <w:color w:val="000000"/>
          <w:sz w:val="24"/>
        </w:rPr>
        <w:t>) and if and to the extent complying with such liability or using the proceeds from the enforcement of the indemnity or security interest granted by an Originator to discharge the Upstream or Cross-Stream Obligations would constitute a repayment of capital (Einlagerückgewähr/Kapitalrückzahlung), a violation of the legally protected reserves (gesetzlich geschützte Reserven) or the payment of a (constructive) dividend (Gewinnausschüttung) or would otherwise be restricted under Swiss law and practice then applicable, such Swiss Servicer's aggregate liability for the Upstream or Cross-Stream Obligations, including the proceeds from the enforcement of the indemnity or security interest to be used to discharge the same, shall be limited to the maximum amount of such Originator’s freely disposable shareholder equity at the time of enforcement (the “</w:t>
      </w:r>
      <w:r>
        <w:rPr>
          <w:rFonts w:ascii="Times New Roman;serif" w:hAnsi="Times New Roman;serif"/>
          <w:b w:val="false"/>
          <w:color w:val="000000"/>
          <w:sz w:val="24"/>
          <w:u w:val="single"/>
        </w:rPr>
        <w:t>Maximum Amount</w:t>
      </w:r>
      <w:r>
        <w:rPr>
          <w:color w:val="000000"/>
        </w:rPr>
        <w:t>”</w:t>
      </w:r>
      <w:r>
        <w:rPr>
          <w:rFonts w:ascii="Times New Roman;serif" w:hAnsi="Times New Roman;serif"/>
          <w:b w:val="false"/>
          <w:color w:val="000000"/>
          <w:sz w:val="24"/>
        </w:rPr>
        <w:t xml:space="preserve">) in accordance with, and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subject to the further provisions of, Section 10.2 of the Swiss Transfer Agreement.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11.04 </w:t>
      </w:r>
      <w:r>
        <w:rPr>
          <w:rFonts w:ascii="Times New Roman;serif" w:hAnsi="Times New Roman;serif"/>
          <w:b w:val="false"/>
          <w:color w:val="000000"/>
          <w:sz w:val="24"/>
          <w:u w:val="single"/>
        </w:rPr>
        <w:t>Reimbursement by Purchasers</w:t>
      </w:r>
      <w:r>
        <w:rPr>
          <w:rFonts w:ascii="Times New Roman;serif" w:hAnsi="Times New Roman;serif"/>
          <w:b w:val="false"/>
          <w:color w:val="000000"/>
          <w:sz w:val="24"/>
        </w:rPr>
        <w:t xml:space="preserve">. To the extent that any SPV Entity or a Servicer for any reason fails to indefeasibly pay any amount required under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11.03</w:t>
      </w:r>
      <w:r>
        <w:rPr>
          <w:color w:val="000000"/>
        </w:rPr>
        <w:t xml:space="preserve"> </w:t>
      </w:r>
      <w:r>
        <w:rPr>
          <w:rFonts w:ascii="Times New Roman;serif" w:hAnsi="Times New Roman;serif"/>
          <w:b w:val="false"/>
          <w:color w:val="000000"/>
          <w:sz w:val="24"/>
        </w:rPr>
        <w:t>(as the case may be) to be paid by it to the Administrative Agent (or any sub-agent thereof) or any of their respective Related Parties, each Purchaser severally agrees to pay to the Administrative Agent (or any such sub-agent) or such Related Party, as the case may be, such Purchaser’s pro rata share (determined as of the time that the applicable unreimbursed expense or indemnity payment is sought based on the Purchasers’ respective Commitments at such time, or if all Commitments have been terminated, based on the Purchasers’ respective Capital at such time) of such unpaid amount (including any such unpaid amount in respect of a claim asserted by such Purchaser).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11.05 </w:t>
      </w:r>
      <w:r>
        <w:rPr>
          <w:rFonts w:ascii="Times New Roman;serif" w:hAnsi="Times New Roman;serif"/>
          <w:b w:val="false"/>
          <w:color w:val="000000"/>
          <w:sz w:val="24"/>
          <w:u w:val="single"/>
        </w:rPr>
        <w:t>Waiver of Consequential Damages, Etc</w:t>
      </w:r>
      <w:r>
        <w:rPr>
          <w:rFonts w:ascii="Times New Roman;serif" w:hAnsi="Times New Roman;serif"/>
          <w:b w:val="false"/>
          <w:color w:val="0000FF"/>
          <w:sz w:val="24"/>
          <w:u w:val="single"/>
        </w:rPr>
        <w:t>.</w:t>
      </w:r>
      <w:r>
        <w:rPr>
          <w:rFonts w:ascii="Times New Roman;serif" w:hAnsi="Times New Roman;serif"/>
          <w:b w:val="false"/>
          <w:strike/>
          <w:color w:val="FF0000"/>
          <w:sz w:val="24"/>
        </w:rPr>
        <w:t xml:space="preserve">. </w:t>
      </w:r>
      <w:r>
        <w:rPr>
          <w:rFonts w:ascii="Times New Roman;serif" w:hAnsi="Times New Roman;serif"/>
          <w:b w:val="false"/>
          <w:color w:val="000000"/>
          <w:sz w:val="24"/>
        </w:rPr>
        <w:t>To the fullest extent permitted by applicable Law, each party hereto agrees not to assert, and hereby waives, any claim against any other party,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any Investment or the use of the proceeds thereof. No party hereto shall be liable for any damages arising from the use by unintended recipients of any information or other materials distributed by it through telecommunications, electronic or other information transmission systems in connection with this Agreement or the other Transaction Documents or the transactions contemplated hereby or thereby, except to the extent such liability or damages are determined by a court of competent jurisdiction by final and non-appealable judgment to have resulted from the gross negligence or willful misconduct of such party.</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11.06 </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All amounts due under this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shall be payable not later than (i) in the case of such amounts due from any SPV Entity, the first Settlement Date that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8"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occurs ten (10) or more days after demand therefor, or (ii) in any other case, ten (10) days after demand therefor.</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11.07 </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and the parties’ respective rights and obligations hereunder shall survive any termination of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XII</w:t>
        <w:br/>
        <w:br/>
        <w:t>MISCELLANEOUS</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12.01 </w:t>
      </w:r>
      <w:r>
        <w:rPr>
          <w:rFonts w:ascii="Times New Roman;serif" w:hAnsi="Times New Roman;serif"/>
          <w:b w:val="false"/>
          <w:color w:val="000000"/>
          <w:sz w:val="24"/>
          <w:u w:val="single"/>
        </w:rPr>
        <w:t>Amendments, Etc</w:t>
      </w:r>
      <w:r>
        <w:rPr>
          <w:rFonts w:ascii="Times New Roman;serif" w:hAnsi="Times New Roman;serif"/>
          <w:b w:val="false"/>
          <w:color w:val="0000FF"/>
          <w:sz w:val="24"/>
          <w:u w:val="single"/>
        </w:rPr>
        <w:t>.</w:t>
      </w:r>
      <w:r>
        <w:rPr>
          <w:rFonts w:ascii="Times New Roman;serif" w:hAnsi="Times New Roman;serif"/>
          <w:b w:val="false"/>
          <w:strike/>
          <w:color w:val="FF0000"/>
          <w:sz w:val="24"/>
        </w:rPr>
        <w:t xml:space="preserve">. </w:t>
      </w:r>
      <w:r>
        <w:rPr>
          <w:rFonts w:ascii="Times New Roman;serif" w:hAnsi="Times New Roman;serif"/>
          <w:b w:val="false"/>
          <w:color w:val="000000"/>
          <w:sz w:val="24"/>
        </w:rPr>
        <w:t xml:space="preserve">No amendment or waiver of any provision of this Agreement or consent to any departure by any SPV Entity or any Affiliate thereof shall be effective unless in a writing signed by the Administrative Agent and the Required Purchasers (and, in the case of any amendment, also signed by each SPV Entity), and then such amendment, waiver or consent shall be effective only in the specific instance and for the specific purpose for which given;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 no amendment, waiver or consent shall, unless in writing and signed by the Servicers, affect the rights or duties of the Servicers under this Agreement; and (B) no amendment, waiver or consent shall, unless in writing and signed by the Administrative Agent and each Purchaser: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change (directly or indirectly) the definitions of, Capital Coverage Amount Deficit, Defaulted Receivable, Delinquent Receivable, Eligible Receivable, Facility Limit, Final Maturity Date, Net Receivables Pool Balance or Total Reserves contained in this Agreement, or increase the then existing Concentration Percentage for any Obligor or change the calculation of the Capital Coverage Amount;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reduce the amount of Capital or Yield that is payable on account of any Investment or with respect to any other Investment or delay any scheduled date for payment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change any Event of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release all or a material portion of the Supporting Assets from the Administrative Agent’s security interest created hereunder or under the UK Security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release the Performance Guarantor from any of its obligations under the Performance Guaranty or terminate the Performance Guaranty;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    change any of the provisions of this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or the definition of “Required Purchasers”;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(vii)    change the order of priority in which Collections are applied pursuant to </w:t>
      </w:r>
      <w:r>
        <w:rPr>
          <w:rFonts w:ascii="Times New Roman;serif" w:hAnsi="Times New Roman;serif"/>
          <w:b w:val="false"/>
          <w:color w:val="000000"/>
          <w:sz w:val="24"/>
          <w:u w:val="single"/>
        </w:rPr>
        <w:t>Section 3.01(a)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(A) no amendment, waiver or consent shall increase any Purchaser’s Commitment hereunder without the consent of such Purchaser, (B) no amendment, waiver or consent shall reduce any Fees payable by each SPV Entity to any Purchaser or delay the dates on which any such Fees are payable, in either case, without the consent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9"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Purchaser, and (C) no Defaulting Purchaser shall have any right to approve or disapprove any amendment, waiver or consent hereunder (and any amendment, waiver or consent which by its terms requires the consent of all Purchasers or each affected Purchaser may be effected with the consent of the applicable Purchasers other than Defaulting Purchasers), except that (x) the Commitment of any Defaulting Purchaser may not be increased or extended without the consent of such Defaulting Purchaser and (y) any waiver, amendment or modification requiring the consent of all Purchasers or each affected Purchaser that by its terms affects any Defaulting Purchaser disproportionately adversely relative to other affected Purchasers shall require the consent of such Defaulting Purchaser.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addition, notwithstanding the foregoing, (a) with the consent of each SPV Entity , the Administrative Agent may amend, modify or supplement this Agreement without the consent of any Purchaser or the Required Purchasers in order to correct or cure any ambiguity, inconsistency or defect or correct any typographical or ministerial error in this Agreement (provided that any such amendment, modification or supplement shall not be materially adverse to the interests of the Purchasers taken as a whole), and (b) without the consent of any Purchaser or SPV Entity, within a reasonable time after (x) the effective date of any increase or addition to, extension of or decrease from, the Facility Limit, or (y) any assignment by any Purchaser of some or all of its Commitment, the Administrative Agent shall, and is hereby authorized to, revise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to reflect such change, whereupon such revised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shall replace the old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and become part of this Agreement.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12.02 </w:t>
      </w:r>
      <w:r>
        <w:rPr>
          <w:rFonts w:ascii="Times New Roman;serif" w:hAnsi="Times New Roman;serif"/>
          <w:b w:val="false"/>
          <w:color w:val="000000"/>
          <w:sz w:val="24"/>
          <w:u w:val="single"/>
        </w:rPr>
        <w:t>No Implied Waivers; Cumulative Remedies</w:t>
      </w:r>
      <w:r>
        <w:rPr>
          <w:rFonts w:ascii="Times New Roman;serif" w:hAnsi="Times New Roman;serif"/>
          <w:b w:val="false"/>
          <w:color w:val="000000"/>
          <w:sz w:val="24"/>
        </w:rPr>
        <w:t>. No course of dealing and no delay or failure of the Administrative Agent or any other Purchaser Party in exercising any right, power, remedy or privilege under this Agreement or any other Transaction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other Purchaser Parties specified in this Agreement is not intended to be exhaustive and the exercise by the Administrative Agent and the Purchaser Parties of any right or remedy shall not preclude the exercise of any other rights or remedies, all of which shall be cumulative, and shall be in addition to any other right or remedy given hereunder or under the other Transaction Documents or that may now or hereafter exist at law or in equity or by suit or otherwise. No reasonable delay or failure to take action on the part of the Administrative Agent or any other Purchaser Party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12.03 </w:t>
      </w:r>
      <w:r>
        <w:rPr>
          <w:rFonts w:ascii="Times New Roman;serif" w:hAnsi="Times New Roman;serif"/>
          <w:b w:val="false"/>
          <w:color w:val="000000"/>
          <w:sz w:val="24"/>
          <w:u w:val="single"/>
        </w:rPr>
        <w:t>Notices; Effectiveness; Electronic Communication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Notices Generally</w:t>
      </w:r>
      <w:r>
        <w:rPr>
          <w:rFonts w:ascii="Times New Roman;serif" w:hAnsi="Times New Roman;serif"/>
          <w:b w:val="false"/>
          <w:color w:val="000000"/>
          <w:sz w:val="24"/>
        </w:rPr>
        <w:t xml:space="preserve">. Except in the case of notices and other communications expressly permitted to be given by telephone (and except as provided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below), all notices and other communications provided for herein shall be in writing and shall be delivered by hand or overnight courier service, mailed by certified or registered mail or sent by facsimile to the relevant party as specified on </w:t>
      </w:r>
      <w:r>
        <w:rPr>
          <w:rFonts w:ascii="Times New Roman;serif" w:hAnsi="Times New Roman;serif"/>
          <w:b w:val="false"/>
          <w:color w:val="000000"/>
          <w:sz w:val="24"/>
          <w:u w:val="single"/>
        </w:rPr>
        <w:t>Schedule III</w:t>
      </w:r>
      <w:r>
        <w:rPr>
          <w:color w:val="000000"/>
        </w:rPr>
        <w:t xml:space="preserve"> </w:t>
      </w:r>
      <w:r>
        <w:rPr>
          <w:rFonts w:ascii="Times New Roman;serif" w:hAnsi="Times New Roman;serif"/>
          <w:b w:val="false"/>
          <w:color w:val="000000"/>
          <w:sz w:val="24"/>
        </w:rPr>
        <w:t xml:space="preserve">hereto. Notices sent by hand or overnight courier service, or mailed by certified or registered mail, shall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below, shall be effective as provided in such </w:t>
      </w:r>
      <w:r>
        <w:rPr>
          <w:rFonts w:ascii="Times New Roman;serif" w:hAnsi="Times New Roman;serif"/>
          <w:b w:val="false"/>
          <w:color w:val="000000"/>
          <w:sz w:val="24"/>
          <w:u w:val="single"/>
        </w:rPr>
        <w:t>paragraph (b)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Electronic Communications</w:t>
      </w:r>
      <w:r>
        <w:rPr>
          <w:rFonts w:ascii="Times New Roman;serif" w:hAnsi="Times New Roman;serif"/>
          <w:b w:val="false"/>
          <w:color w:val="000000"/>
          <w:sz w:val="24"/>
        </w:rPr>
        <w:t xml:space="preserve">. Notices and other communications to the Purchaser Parties hereunder may be delivered or furnished by electronic communication (including e-mail and Internet or intranet websites) pursuant to procedures approved by the Administrative Agent. The Administrative Agent or any SPV Entity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4"/>
          <w:u w:val="single"/>
        </w:rPr>
        <w:t>clause (i)</w:t>
      </w:r>
      <w:r>
        <w:rPr>
          <w:rFonts w:ascii="Times New Roman;serif" w:hAnsi="Times New Roman;serif"/>
          <w:b w:val="false"/>
          <w:color w:val="000000"/>
          <w:sz w:val="24"/>
        </w:rPr>
        <w:t xml:space="preserve">, of notification that such notice or communication is available and identifying the website address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both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Change of Address, etc</w:t>
      </w:r>
      <w:r>
        <w:rPr>
          <w:rFonts w:ascii="Times New Roman;serif" w:hAnsi="Times New Roman;serif"/>
          <w:b w:val="false"/>
          <w:color w:val="000000"/>
          <w:sz w:val="24"/>
        </w:rPr>
        <w:t>. Any party hereto may change its address or facsimile number for notices and other communications hereunder by notice to the other parties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Platform</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Each SPV Entity and each Servicer agrees that the Administrative Agent may, but shall not be obligated to, make the Communications (as defined below) available to the Purchaser Parties by posting the Communications on the Platform.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erif" w:hAnsi="Times New Roman;serif"/>
          <w:b w:val="false"/>
          <w:color w:val="000000"/>
          <w:sz w:val="24"/>
          <w:u w:val="single"/>
        </w:rPr>
        <w:t>Agent Parties</w:t>
      </w:r>
      <w:r>
        <w:rPr>
          <w:color w:val="000000"/>
        </w:rPr>
        <w:t>”</w:t>
      </w:r>
      <w:r>
        <w:rPr>
          <w:rFonts w:ascii="Times New Roman;serif" w:hAnsi="Times New Roman;serif"/>
          <w:b w:val="false"/>
          <w:color w:val="000000"/>
          <w:sz w:val="24"/>
        </w:rPr>
        <w:t>) have any liability to any SPV Entity-Related Party, any Purchaser Party or any other Person for damages of any kind, including direct or indirect, special, incidental or consequential damages, losses or expenses (whether in tort, contract or otherwise) arising out of any SPV Entity-Related Party’s or the Administrative Agent’s transmission of communications through the Platform. “</w:t>
      </w:r>
      <w:r>
        <w:rPr>
          <w:rFonts w:ascii="Times New Roman;serif" w:hAnsi="Times New Roman;serif"/>
          <w:b w:val="false"/>
          <w:color w:val="000000"/>
          <w:sz w:val="24"/>
          <w:u w:val="single"/>
        </w:rPr>
        <w:t>Communications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means, collectively, any notice, demand, communication, information, document or other material provided by or on behalf of any SPV Entity-Related Party pursuant to any Transaction Document or the transactions contemplated therein which is distributed to the Administrative Agent or any other Purchaser Party by means of electronic communications pursuant to this Section, including through the Platform.</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12.04 </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Section, if and to the extent that the enforceability of any provisions in this Agreement relating to Defaulting Purchasers shall be limited by Debtor Relief Laws, as determined in good faith by the Administrative Agent, then such provisions shall be deemed to be in effect only to the extent not so limited.</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12.05 </w:t>
      </w:r>
      <w:r>
        <w:rPr>
          <w:rFonts w:ascii="Times New Roman;serif" w:hAnsi="Times New Roman;serif"/>
          <w:b w:val="false"/>
          <w:color w:val="000000"/>
          <w:sz w:val="24"/>
          <w:u w:val="single"/>
        </w:rPr>
        <w:t>Duration; Survival</w:t>
      </w:r>
      <w:r>
        <w:rPr>
          <w:rFonts w:ascii="Times New Roman;serif" w:hAnsi="Times New Roman;serif"/>
          <w:b w:val="false"/>
          <w:color w:val="000000"/>
          <w:sz w:val="24"/>
        </w:rPr>
        <w:t>. All representations and warranties of the SPV Entity-Related Parties contained herein or made in connection herewith shall survive the execution and delivery of this Agreement and the completion of the transactions hereunder, and shall continue in full force and effect until the Final Payout Date. All covenants and agreements of the SPV Entity-Related Parties contained herein relating to the payment of Capital, principal, interest, Yield, premiums, additional compensation or expenses and indemnification, or that are otherwise specified as surviving termination of this Agreement, in each case, shall survive the Final Payout Date and any termination of this Agreement. All other covenants and agreements of the SPV Entity-Related Parties shall continue in full force and effect from and after the Closing Date and until the Final Payout Date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12.06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Successors and Assigns Generally</w:t>
      </w:r>
      <w:r>
        <w:rPr>
          <w:rFonts w:ascii="Times New Roman;serif" w:hAnsi="Times New Roman;serif"/>
          <w:b w:val="false"/>
          <w:color w:val="000000"/>
          <w:sz w:val="24"/>
        </w:rPr>
        <w:t xml:space="preserve">. The provisions of this Agreement shall be binding upon, and inure to the benefit of, the parties hereto and their respective successors and assigns permitted hereby, except that neither SPV Entity nor any other SPV Entity-Related Party may assign or otherwise transfer any of its rights or obligations hereunder (including, in each case, by way of an LLC Division) without the prior written consent of the Administrative Agent and each Purchaser and no Purchaser may assign or otherwise transfer any of its rights or obligations hereunder except (i) to an assignee in accordance with the provisions of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(ii) by way of participation in accordance with the provisions of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 xml:space="preserve">of this Section, or (iii) by way of pledge or assignment of a security interest subject to the restrictions of </w:t>
      </w:r>
      <w:r>
        <w:rPr>
          <w:rFonts w:ascii="Times New Roman;serif" w:hAnsi="Times New Roman;serif"/>
          <w:b w:val="false"/>
          <w:color w:val="000000"/>
          <w:sz w:val="24"/>
          <w:u w:val="single"/>
        </w:rPr>
        <w:t>paragraph (e)</w:t>
      </w:r>
      <w:r>
        <w:rPr>
          <w:color w:val="000000"/>
        </w:rPr>
        <w:t xml:space="preserve"> </w:t>
      </w:r>
      <w:r>
        <w:rPr>
          <w:rFonts w:ascii="Times New Roman;serif" w:hAnsi="Times New Roman;serif"/>
          <w:b w:val="false"/>
          <w:color w:val="000000"/>
          <w:sz w:val="24"/>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of this Section and, to the extent expressly contemplated hereby, the Related Parties of each of the Administrative Agent and the Purchasers) any legal or equitable right, remedy or claim under or by reason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Assignments by Purchasers</w:t>
      </w:r>
      <w:r>
        <w:rPr>
          <w:rFonts w:ascii="Times New Roman;serif" w:hAnsi="Times New Roman;serif"/>
          <w:b w:val="false"/>
          <w:color w:val="000000"/>
          <w:sz w:val="24"/>
        </w:rPr>
        <w:t xml:space="preserve">. Any Purchaser may at any time assign to one or more assignees all or a portion of its rights and obligations under this Agreement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all or a portion of its Commitment and the Investments at the time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assignment shall be subject to the following conditions: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Minimum Amounts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    in the case of an assignment of the entire remaining amount of the assigning Purchaser’s Commitment and the Investments at the time owing to it or contemporaneous assignments to related Approved Funds (determined after giving effect to such assignments) that equal at least the amount specified in </w:t>
      </w:r>
      <w:r>
        <w:rPr>
          <w:rFonts w:ascii="Times New Roman;serif" w:hAnsi="Times New Roman;serif"/>
          <w:b w:val="false"/>
          <w:color w:val="000000"/>
          <w:sz w:val="24"/>
          <w:u w:val="single"/>
        </w:rPr>
        <w:t>paragraph (b)(i)(2)</w:t>
      </w:r>
      <w:r>
        <w:rPr>
          <w:color w:val="000000"/>
        </w:rPr>
        <w:t xml:space="preserve"> </w:t>
      </w:r>
      <w:r>
        <w:rPr>
          <w:rFonts w:ascii="Times New Roman;serif" w:hAnsi="Times New Roman;serif"/>
          <w:b w:val="false"/>
          <w:color w:val="000000"/>
          <w:sz w:val="24"/>
        </w:rPr>
        <w:t>of this Section in the aggregate or in the case of an assignment to a Purchaser, an Affiliate of a Purchaser or an Approved Fund, no minimum amount need be assigned;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(2)    in any case not described in </w:t>
      </w:r>
      <w:r>
        <w:rPr>
          <w:rFonts w:ascii="Times New Roman;serif" w:hAnsi="Times New Roman;serif"/>
          <w:b w:val="false"/>
          <w:color w:val="000000"/>
          <w:sz w:val="24"/>
          <w:u w:val="single"/>
        </w:rPr>
        <w:t>clause (i)(1)</w:t>
      </w:r>
      <w:r>
        <w:rPr>
          <w:color w:val="000000"/>
        </w:rPr>
        <w:t xml:space="preserve"> </w:t>
      </w:r>
      <w:r>
        <w:rPr>
          <w:rFonts w:ascii="Times New Roman;serif" w:hAnsi="Times New Roman;serif"/>
          <w:b w:val="false"/>
          <w:color w:val="000000"/>
          <w:sz w:val="24"/>
        </w:rPr>
        <w:t>of this Section, the aggregate amount of the Commitment (which for this purpose includes Investments outstanding thereunder) or, if the applicable Commitment is not then in effect, the outstanding Capital of the Investments of the assigning Purchaser subject to each such assignment (determined as of the date the Assignment and Assumption Agreement with respect to such assignment is delivered to the Administrative Agent or, if “Trade Date” is specified in the Assignment and Assumption Agreement, as of such Trade Date) shall not be less than $5,000,000, unless each of the Administrative Agent and, so long as no Event of Default has occurred and is continuing, each SPV Entity otherwise consents (each such consent not to be unreasonably withheld or delayed).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Proportionate Amounts</w:t>
      </w:r>
      <w:r>
        <w:rPr>
          <w:rFonts w:ascii="Times New Roman;serif" w:hAnsi="Times New Roman;serif"/>
          <w:b w:val="false"/>
          <w:color w:val="000000"/>
          <w:sz w:val="24"/>
        </w:rPr>
        <w:t>. Each partial assignment shall be made as an assignment of a proportionate part of all the assigning Purchaser’s rights and obligations under this Agreement with respect to the Investment or the Commitment assigned.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Required Consents</w:t>
      </w:r>
      <w:r>
        <w:rPr>
          <w:rFonts w:ascii="Times New Roman;serif" w:hAnsi="Times New Roman;serif"/>
          <w:b w:val="false"/>
          <w:color w:val="000000"/>
          <w:sz w:val="24"/>
        </w:rPr>
        <w:t xml:space="preserve">. No consent shall be required for any assignment except to the extent required by </w:t>
      </w:r>
      <w:r>
        <w:rPr>
          <w:rFonts w:ascii="Times New Roman;serif" w:hAnsi="Times New Roman;serif"/>
          <w:b w:val="false"/>
          <w:color w:val="000000"/>
          <w:sz w:val="24"/>
          <w:u w:val="single"/>
        </w:rPr>
        <w:t>paragraph (b)(i)(2)</w:t>
      </w:r>
      <w:r>
        <w:rPr>
          <w:color w:val="000000"/>
        </w:rPr>
        <w:t xml:space="preserve"> </w:t>
      </w:r>
      <w:r>
        <w:rPr>
          <w:rFonts w:ascii="Times New Roman;serif" w:hAnsi="Times New Roman;serif"/>
          <w:b w:val="false"/>
          <w:color w:val="000000"/>
          <w:sz w:val="24"/>
        </w:rPr>
        <w:t>of this Section and, in addition: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(1)    The consent of each SPV Entity (such consent not to be unreasonably withheld or delayed) shall be required unless (x) an Event of Default has occurred and is continuing at the time of such assignment or (y) such assignment is to a Purchaser, an Affiliate of a Purchaser or an Approved Fund;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SPV Entities shall be deemed to have consented to any such assignment unless it shall object thereto by written notice to the Administrative Agent within five (5) Business Days after having received notice thereof; and</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    the consent of the Administrative Agent (such consent not to be unreasonably withheld or delayed) shall be required for assignments to a Person that is not a Purchaser with a Commitment, an Affiliate of such Purchaser or an Approved Fund with respect to such Purchaser.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(iv)    </w:t>
      </w:r>
      <w:r>
        <w:rPr>
          <w:rFonts w:ascii="Times New Roman;serif" w:hAnsi="Times New Roman;serif"/>
          <w:b w:val="false"/>
          <w:color w:val="000000"/>
          <w:sz w:val="24"/>
          <w:u w:val="single"/>
        </w:rPr>
        <w:t>Assignment and Assumption Agreement</w:t>
      </w:r>
      <w:r>
        <w:rPr>
          <w:rFonts w:ascii="Times New Roman;serif" w:hAnsi="Times New Roman;serif"/>
          <w:b w:val="false"/>
          <w:color w:val="000000"/>
          <w:sz w:val="24"/>
        </w:rPr>
        <w:t>. The parties to each assignment shall execute and deliver to the Administrative Agent an Assignment and Assumption Agreement, together with a processing and recordation fee of $3,500. The assignee, if it is not a Purchaser, shall deliver to the Administrative Agent an Administrative Questionnaire.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No Assignment to Certain Persons</w:t>
      </w:r>
      <w:r>
        <w:rPr>
          <w:rFonts w:ascii="Times New Roman;serif" w:hAnsi="Times New Roman;serif"/>
          <w:b w:val="false"/>
          <w:color w:val="000000"/>
          <w:sz w:val="24"/>
        </w:rPr>
        <w:t>. No such assignment shall be made (A) to any SPV Entity-Related Party or any SPV Entity-Related Party’s Affiliates or Subsidiaries or (B) to any Defaulting Purchaser or any of its Subsidiaries, or any Person who, upon becoming a Purchaser hereunder, would constitute a Defaulting Purchaser or a Subsidiary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    </w:t>
      </w:r>
      <w:r>
        <w:rPr>
          <w:rFonts w:ascii="Times New Roman;serif" w:hAnsi="Times New Roman;serif"/>
          <w:b w:val="false"/>
          <w:color w:val="000000"/>
          <w:sz w:val="24"/>
          <w:u w:val="single"/>
        </w:rPr>
        <w:t>No Assignment to Natural Persons</w:t>
      </w:r>
      <w:r>
        <w:rPr>
          <w:rFonts w:ascii="Times New Roman;serif" w:hAnsi="Times New Roman;serif"/>
          <w:b w:val="false"/>
          <w:color w:val="000000"/>
          <w:sz w:val="24"/>
        </w:rPr>
        <w:t>. No such assignment shall be made to a natural Person (or a holding company, investment vehicle or trust for, or owned and operated for the primary benefit of, a natural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    </w:t>
      </w:r>
      <w:r>
        <w:rPr>
          <w:rFonts w:ascii="Times New Roman;serif" w:hAnsi="Times New Roman;serif"/>
          <w:b w:val="false"/>
          <w:color w:val="000000"/>
          <w:sz w:val="24"/>
          <w:u w:val="single"/>
        </w:rPr>
        <w:t>Certain Additional Payments</w:t>
      </w:r>
      <w:r>
        <w:rPr>
          <w:rFonts w:ascii="Times New Roman;serif" w:hAnsi="Times New Roman;serif"/>
          <w:b w:val="false"/>
          <w:color w:val="000000"/>
          <w:sz w:val="24"/>
        </w:rPr>
        <w:t>. In connection with any assignment of rights and obligations of any Defaulting Purchaser hereunder, no such assignment shall 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each SPV Entity and the Administrative Agent, the applicable pro rata share of Investments previously requested but not funded by the Defaulting Purchaser, to each of which the applicable assignee and assignor hereby irrevocably consent), to (x) pay and satisfy in full all payment liabilities then owed by such Defaulting Purchaser to the Administrative Agent and each other Purchaser hereunder (and interest accrued thereon), and (y) acquire (and fund as appropriate) its full pro rata share of all Investments. Notwithstanding the foregoing, in the event that any assignment of rights and obligations of any Defaulting Purchaser hereunder shall become effective under applicable Law without compliance with the provisions of this paragraph, then the assignee of such interest shall be deemed to be a Defaulting Purchaser for all purposes of this Agreement until such compliance occurs.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(viii)    </w:t>
      </w:r>
      <w:r>
        <w:rPr>
          <w:rFonts w:ascii="Times New Roman;serif" w:hAnsi="Times New Roman;serif"/>
          <w:b w:val="false"/>
          <w:color w:val="000000"/>
          <w:sz w:val="24"/>
          <w:u w:val="single"/>
        </w:rPr>
        <w:t>Effectiveness; Release</w:t>
      </w:r>
      <w:r>
        <w:rPr>
          <w:rFonts w:ascii="Times New Roman;serif" w:hAnsi="Times New Roman;serif"/>
          <w:b w:val="false"/>
          <w:color w:val="000000"/>
          <w:sz w:val="24"/>
        </w:rPr>
        <w:t xml:space="preserve">. Subject to acceptance and recording thereof by the Administrative Agent pursuant to </w:t>
      </w:r>
      <w:r>
        <w:rPr>
          <w:rFonts w:ascii="Times New Roman;serif" w:hAnsi="Times New Roman;serif"/>
          <w:b w:val="false"/>
          <w:color w:val="000000"/>
          <w:sz w:val="24"/>
          <w:u w:val="single"/>
        </w:rPr>
        <w:t>paragraph (c)</w:t>
      </w:r>
      <w:r>
        <w:rPr>
          <w:color w:val="000000"/>
        </w:rPr>
        <w:t xml:space="preserve"> </w:t>
      </w:r>
      <w:r>
        <w:rPr>
          <w:rFonts w:ascii="Times New Roman;serif" w:hAnsi="Times New Roman;serif"/>
          <w:b w:val="false"/>
          <w:color w:val="000000"/>
          <w:sz w:val="24"/>
        </w:rPr>
        <w:t xml:space="preserve">below, from and after the effective date specified in each Assignment and Assumption Agreement, the assignee thereunder shall be a party to this Agreement and, to the extent of the interest assigned by such Assignment and Assumption Agreement, have the rights and obligations of a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Purchaser under this Agreement, and the assigning Purchaser thereunder shall, to the extent of the interest assigned by such Assignment and Assumption Agreement, be released from its obligations under this Agreement (and, in the case of an Assignment and Assumption Agreement covering all of the assigning Purchaser’s rights and obligations under this Agreement, such Purchaser shall cease to be a party hereto) but shall continue to be entitled to the benefits of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with respect to facts and circumstances occurring prior to the effective date of such assignment;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except to the extent otherwise expressly agreed by the affected parties, no assignment by a Defaulting Purchaser will constitute a waiver or release of any claim of any party hereunder arising from that Purchaser’s having been a Defaulting Purchaser. Any assignment or transfer by a Purchaser of rights or obligations under this Agreement that does not comply with this paragraph shall be treated for purposes of this Agreement as a sale by such Purchaser of a participation in such rights and obligations in accordance with </w:t>
      </w:r>
      <w:r>
        <w:rPr>
          <w:rFonts w:ascii="Times New Roman;serif" w:hAnsi="Times New Roman;serif"/>
          <w:b w:val="false"/>
          <w:color w:val="000000"/>
          <w:sz w:val="24"/>
          <w:u w:val="single"/>
        </w:rPr>
        <w:t>paragraph (d)</w:t>
      </w:r>
      <w:r>
        <w:rPr>
          <w:color w:val="000000"/>
        </w:rPr>
        <w:t xml:space="preserve"> </w:t>
      </w:r>
      <w:r>
        <w:rPr>
          <w:rFonts w:ascii="Times New Roman;serif" w:hAnsi="Times New Roman;serif"/>
          <w:b w:val="false"/>
          <w:color w:val="000000"/>
          <w:sz w:val="24"/>
        </w:rPr>
        <w:t>of this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Register</w:t>
      </w:r>
      <w:r>
        <w:rPr>
          <w:rFonts w:ascii="Times New Roman;serif" w:hAnsi="Times New Roman;serif"/>
          <w:b w:val="false"/>
          <w:color w:val="000000"/>
          <w:sz w:val="24"/>
        </w:rPr>
        <w:t>. The Administrative Agent, acting solely for this purpose as an agent of the Seller, shall maintain at one of its offices in Pittsburgh, Pennsylvania a copy of each Assignment and Assumption Agreement delivered to it and a register for the recordation of the names and addresses of the Purchasers, and the Commitments of, and outstanding Capital (and stated Yield or interest) of the Investments owing to, each Purchaser pursuant to the terms hereof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Seller, the Administrative Agent and the Purchasers shall treat each Person whose name is recorded in the Register pursuant to the terms hereof as a Purchaser hereunder for all purposes of this Agreement. The Register shall be available for inspection by the Seller and any Purchaser, at any reasonable time and from time to time upon reasonable prior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Participations</w:t>
      </w:r>
      <w:r>
        <w:rPr>
          <w:rFonts w:ascii="Times New Roman;serif" w:hAnsi="Times New Roman;serif"/>
          <w:b w:val="false"/>
          <w:color w:val="000000"/>
          <w:sz w:val="24"/>
        </w:rPr>
        <w:t>. Any Purchaser may at any time, without the consent of, or notice to, the Seller or the Administrative Agent, sell participations to any Person (other than a natural Person, or a holding company, investment vehicle or trust for, or owned and operated for the primary benefit of, a natural Person, or the Seller or any of the Seller’s Affiliates or Subsidiaries) (each,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Purchaser’s rights and/or obligations under this Agreement (including all or a portion of its Commitment and/or the Investments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Purchaser’s obligations under this Agreement shall remain unchanged, (ii) such Purchaser shall remain solely responsible to the other parties hereto for the performance of such obligations, and (iii) the Seller, the Administrative Agent and the other Purchaser Parties shall continue to deal solely and directly with such Purchaser in connection with such Purchaser’s rights and obligations under this Agreement. For the avoidance of doubt, each Purchaser shall be responsible for any indemnity under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with respect to any payments made by such Purchaser to its Participant(s).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Any agreement or instrument pursuant to which a Purchaser sells such a participation shall provide that such Purchaser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Purchaser will not, without the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Participant, agree (other than as is already provided for herein) to any amendment, modification or waiver with respect to any matter specified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(vii)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 xml:space="preserve">that affects such Participant. The Seller agrees that each Participant shall be entitled to the benefits of </w:t>
      </w:r>
      <w:r>
        <w:rPr>
          <w:rFonts w:ascii="Times New Roman;serif" w:hAnsi="Times New Roman;serif"/>
          <w:b w:val="false"/>
          <w:color w:val="000000"/>
          <w:sz w:val="24"/>
          <w:u w:val="single"/>
        </w:rPr>
        <w:t>Sections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4.03</w:t>
      </w:r>
      <w:r>
        <w:rPr>
          <w:color w:val="000000"/>
        </w:rPr>
        <w:t xml:space="preserve"> </w:t>
      </w:r>
      <w:r>
        <w:rPr>
          <w:rFonts w:ascii="Times New Roman;serif" w:hAnsi="Times New Roman;serif"/>
          <w:b w:val="false"/>
          <w:color w:val="000000"/>
          <w:sz w:val="24"/>
        </w:rPr>
        <w:t xml:space="preserve">(subject to the requirements and limitations therein, including the requirements under </w:t>
      </w:r>
      <w:r>
        <w:rPr>
          <w:rFonts w:ascii="Times New Roman;serif" w:hAnsi="Times New Roman;serif"/>
          <w:b w:val="false"/>
          <w:color w:val="000000"/>
          <w:sz w:val="24"/>
          <w:u w:val="single"/>
        </w:rPr>
        <w:t>Section 4.03(g)</w:t>
      </w:r>
      <w:r>
        <w:rPr>
          <w:color w:val="000000"/>
        </w:rPr>
        <w:t xml:space="preserve"> </w:t>
      </w:r>
      <w:r>
        <w:rPr>
          <w:rFonts w:ascii="Times New Roman;serif" w:hAnsi="Times New Roman;serif"/>
          <w:b w:val="false"/>
          <w:color w:val="000000"/>
          <w:sz w:val="24"/>
        </w:rPr>
        <w:t xml:space="preserve">(it being understood that the documentation required under </w:t>
      </w:r>
      <w:r>
        <w:rPr>
          <w:rFonts w:ascii="Times New Roman;serif" w:hAnsi="Times New Roman;serif"/>
          <w:b w:val="false"/>
          <w:color w:val="000000"/>
          <w:sz w:val="24"/>
          <w:u w:val="single"/>
        </w:rPr>
        <w:t>Section 4.03(g)</w:t>
      </w:r>
      <w:r>
        <w:rPr>
          <w:color w:val="000000"/>
        </w:rPr>
        <w:t xml:space="preserve"> </w:t>
      </w:r>
      <w:r>
        <w:rPr>
          <w:rFonts w:ascii="Times New Roman;serif" w:hAnsi="Times New Roman;serif"/>
          <w:b w:val="false"/>
          <w:color w:val="000000"/>
          <w:sz w:val="24"/>
        </w:rPr>
        <w:t xml:space="preserve">shall be delivered to the participating Purchaser)) to the same extent as if it were a Purchaser and had acquired its interest by assignment pursuant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Section;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 agrees to be subject to the provisions of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as if it were an assignee under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12.06</w:t>
      </w:r>
      <w:r>
        <w:rPr>
          <w:rFonts w:ascii="Times New Roman;serif" w:hAnsi="Times New Roman;serif"/>
          <w:b w:val="false"/>
          <w:color w:val="000000"/>
          <w:sz w:val="24"/>
        </w:rPr>
        <w:t xml:space="preserve">; and (B) shall not be entitled to receive any greater payment under </w:t>
      </w:r>
      <w:r>
        <w:rPr>
          <w:rFonts w:ascii="Times New Roman;serif" w:hAnsi="Times New Roman;serif"/>
          <w:b w:val="false"/>
          <w:color w:val="000000"/>
          <w:sz w:val="24"/>
          <w:u w:val="single"/>
        </w:rPr>
        <w:t>Sections 4.01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4.03</w:t>
      </w:r>
      <w:r>
        <w:rPr>
          <w:rFonts w:ascii="Times New Roman;serif" w:hAnsi="Times New Roman;serif"/>
          <w:b w:val="false"/>
          <w:color w:val="000000"/>
          <w:sz w:val="24"/>
        </w:rPr>
        <w:t xml:space="preserve">, with respect to any participation, than its participating Purchaser would have been entitled to receive, except to the extent such entitlement to receive a greater payment results from a Change in Law that occurs after the Participant acquired the applicable participation. Each Purchaser that sells a participation agrees, at the Seller’s request and expense, to use reasonable efforts to cooperate with the Seller to effectuate the provisions of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 xml:space="preserve">with respect to any Participant. To the extent permitted by Law, each Participant also shall be entitled to the benefits of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as though it were a Purchaser;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agrees to be subject to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as though it were a Purchaser. Each Purchaser that sells a participation shall, acting solely for this purpose as a non-fiduciary agent of the Seller, maintain a register on which it enters the name and address of each Participant and the Capital or principal amounts (and stated interest or Yield) of each Participant’s interest in the Investments or other obligations under the Transaction Documents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Purchaser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Certain Pledges; Successors and Assigns Generally</w:t>
      </w:r>
      <w:r>
        <w:rPr>
          <w:rFonts w:ascii="Times New Roman;serif" w:hAnsi="Times New Roman;serif"/>
          <w:b w:val="false"/>
          <w:color w:val="000000"/>
          <w:sz w:val="24"/>
        </w:rPr>
        <w:t xml:space="preserve">. Any Purchaser may at any time pledge or assign a security interest in all or any portion of its rights under this Agreement to secure obligations of such Purchaser, including any pledge or assignment to secure obligations to a Federal Reserve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shall release such Purchaser from any of its obligations hereunder or substitute any such pledgee or assignee for such Purchaser as a party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Cashless Settlement</w:t>
      </w:r>
      <w:r>
        <w:rPr>
          <w:rFonts w:ascii="Times New Roman;serif" w:hAnsi="Times New Roman;serif"/>
          <w:b w:val="false"/>
          <w:color w:val="000000"/>
          <w:sz w:val="24"/>
        </w:rPr>
        <w:t>. Notwithstanding anything to the contrary contained in this Agreement, any Purchaser may exchange, continue or rollover all or a portion of its Investments in connection with any refinancing, extension, loan modification or similar transaction permitted by the terms of this Agreement, pursuant to a cashless settlement mechanism approved by the Seller, the Administrative Agent and such Purchaser.</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Arrangers/Bookrunners</w:t>
      </w:r>
      <w:r>
        <w:rPr>
          <w:rFonts w:ascii="Times New Roman;serif" w:hAnsi="Times New Roman;serif"/>
          <w:b w:val="false"/>
          <w:color w:val="000000"/>
          <w:sz w:val="24"/>
        </w:rPr>
        <w:t>. Notwithstanding anything to the contrary contained in this Agreement, the name of any arranger and/or bookrunner listed on the cover page of this Agreement may be changed by the Administrative Agent to the name of any Purchaser or Purchaser’s broker-dealer Affiliate, upon written request to the Administrative Agent by any such arranger and/or bookrunner and the applicable Purchaser or Purchaser’s broker-deal Affiliate.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12.07 </w:t>
      </w:r>
      <w:r>
        <w:rPr>
          <w:rFonts w:ascii="Times New Roman;serif" w:hAnsi="Times New Roman;serif"/>
          <w:b w:val="false"/>
          <w:color w:val="000000"/>
          <w:sz w:val="24"/>
          <w:u w:val="single"/>
        </w:rPr>
        <w:t>No Proceedings</w:t>
      </w:r>
      <w:r>
        <w:rPr>
          <w:rFonts w:ascii="Times New Roman;serif" w:hAnsi="Times New Roman;serif"/>
          <w:b w:val="false"/>
          <w:color w:val="000000"/>
          <w:sz w:val="24"/>
        </w:rPr>
        <w:t xml:space="preserve">. Each of the Servicers, the Purchasers and each assignee of an Investment or any interest therein, hereby covenants and agrees that it will not institute against, or join any other Person in instituting against, any SPV Entity any Relief Proceeding until one year and one day after the Final Payout Date;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Administrative Agent may take any such action in its sole discretion following the occurrence of an Event of Default. The provisions of this Section shall survive any termination of this Agreement.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12.08 </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Each Purchaser Party agrees to maintain the confidentiality of the Information (as defined below), except that Information may be disclosed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Transaction Document or any action or proceeding relating to this Agreement or any other Transaction Document or the enforcement of rights hereunder or thereunder; (vi) subject to an agreement containing provisions substantially the same as those of this Section,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any SPV Entity and its obligations, this Agreement or payments hereunder; (vii) to (A) any rating agency in connection with rating any SPV Entity or its Subsidiaries or the Investments or (B) the CUSIP Service Bureau or any similar agency in connection with the issuance and monitoring of CUSIP numbers with respect to the transactions contemplated hereby; (viii) with the consent of any SPV Entity; or (ix) to the extent such Information (A) becomes publicly available other than as a result of a breach of this </w:t>
      </w:r>
      <w:r>
        <w:rPr>
          <w:rFonts w:ascii="Times New Roman;serif" w:hAnsi="Times New Roman;serif"/>
          <w:b w:val="false"/>
          <w:color w:val="000000"/>
          <w:sz w:val="24"/>
          <w:u w:val="single"/>
        </w:rPr>
        <w:t>clause (a)</w:t>
      </w:r>
      <w:r>
        <w:rPr>
          <w:rFonts w:ascii="Times New Roman;serif" w:hAnsi="Times New Roman;serif"/>
          <w:b w:val="false"/>
          <w:color w:val="000000"/>
          <w:sz w:val="24"/>
        </w:rPr>
        <w:t>, or (B) becomes available to the Administrative Agent, any other Purchaser Party or any of their respective Affiliates on a nonconfidential basis from a source other than any SPV Entity. In addition, the Administrative Agent and the other Purchaser Parties may disclose the existence of this Agreement and information about this Agreement to market data collectors, similar service providers to the lending industry and service providers to the Purchaser Parties in connection with the administration of this Agreement, the other Transaction Documents and the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 purposes of this Section, “</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means all information received from the SPV Entity-Related Parties or any of their Subsidiaries in connection with the transactions contemplated by the Transaction Documents relating to the SPV Entity-Related Parties or any of their Subsidiaries or any of their respective businesses, other than any such information that is available to the Administrative Agent or any other Purchaser Party on a nonconfidential basis prior to disclosure by the SPV Entity-Related Parties or any of their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SPV Entity-Related Parties or any of their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rFonts w:ascii="Times New Roman;serif" w:hAnsi="Times New Roman;serif"/>
          <w:b w:val="false"/>
          <w:color w:val="0000FF"/>
          <w:sz w:val="24"/>
          <w:u w:val="single"/>
        </w:rPr>
      </w:pPr>
      <w:r>
        <w:rPr>
          <w:rFonts w:ascii="Times New Roman;serif" w:hAnsi="Times New Roman;serif"/>
          <w:b w:val="false"/>
          <w:color w:val="0000FF"/>
          <w:sz w:val="24"/>
          <w:u w:val="single"/>
        </w:rPr>
        <w:t>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Sharing Information With Affiliates of the Purchasers</w:t>
      </w:r>
      <w:r>
        <w:rPr>
          <w:rFonts w:ascii="Times New Roman;serif" w:hAnsi="Times New Roman;serif"/>
          <w:b w:val="false"/>
          <w:color w:val="000000"/>
          <w:sz w:val="24"/>
        </w:rPr>
        <w:t xml:space="preserve">. Each SPV Entity and each Servicer acknowledges that from time to time financial advisory, investment banking and other services may be offered or provided to any SPV Entity or one or more of its Affiliates (in connection with this Agreement or otherwise) by any Purchaser or by one or more Subsidiaries or Affiliates of such Purchaser and each of the SPV Entity-Related Parties hereby authorizes each Purchaser to share any information delivered to such Purchaser by such SPV Entity-Related Party and its Subsidiaries pursuant to this Agreement with any such Subsidiary or Affiliate of the Purchaser subject to the provisions of </w:t>
      </w:r>
      <w:r>
        <w:rPr>
          <w:rFonts w:ascii="Times New Roman;serif" w:hAnsi="Times New Roman;serif"/>
          <w:b w:val="false"/>
          <w:color w:val="000000"/>
          <w:sz w:val="24"/>
          <w:u w:val="single"/>
        </w:rPr>
        <w:t>Section 12.08(a)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By SPV Entities and Servicers</w:t>
      </w:r>
      <w:r>
        <w:rPr>
          <w:rFonts w:ascii="Times New Roman;serif" w:hAnsi="Times New Roman;serif"/>
          <w:b w:val="false"/>
          <w:color w:val="000000"/>
          <w:sz w:val="24"/>
        </w:rPr>
        <w:t xml:space="preserve">. Each SPV Entity and each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Purchaser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it may disclose such information (i) to its Affiliates and to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(iii) to the extent required by applicable Laws or regulations or by any subpoena or similar legal process; (iv) to any other party hereto; (v) with the consent of the Administrative Agent and each Purchaser; or (vi) to the extent such information becomes publicly available other than as a result of a breach of this </w:t>
      </w:r>
      <w:r>
        <w:rPr>
          <w:rFonts w:ascii="Times New Roman;serif" w:hAnsi="Times New Roman;serif"/>
          <w:b w:val="false"/>
          <w:color w:val="000000"/>
          <w:sz w:val="24"/>
          <w:u w:val="single"/>
        </w:rPr>
        <w:t>clause (c)</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12.09 </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xml:space="preserve">. This Agreement may be executed in counterparts (and by different parties hereto in different counterparts), each of which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shall constitute an original, but all of which when taken together shall constitute a single contract. This Agreement and the other Transaction Documents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serif" w:hAnsi="Times New Roman;serif"/>
          <w:b w:val="false"/>
          <w:color w:val="000000"/>
          <w:sz w:val="24"/>
          <w:u w:val="single"/>
        </w:rPr>
        <w:t>Article V</w:t>
      </w:r>
      <w:r>
        <w:rPr>
          <w:rFonts w:ascii="Times New Roman;serif" w:hAnsi="Times New Roman;serif"/>
          <w:b w:val="false"/>
          <w:color w:val="000000"/>
          <w:sz w:val="24"/>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Electronic Execution</w:t>
      </w:r>
      <w:r>
        <w:rPr>
          <w:strike/>
          <w:color w:val="FF0000"/>
          <w:u w:val="single"/>
        </w:rPr>
        <w:t xml:space="preserve"> </w:t>
      </w:r>
      <w:r>
        <w:rPr>
          <w:rFonts w:ascii="Times New Roman;serif" w:hAnsi="Times New Roman;serif"/>
          <w:b w:val="false"/>
          <w:strike/>
          <w:color w:val="FF0000"/>
          <w:sz w:val="24"/>
          <w:u w:val="single"/>
        </w:rPr>
        <w:t>of Assignments</w:t>
      </w:r>
      <w:r>
        <w:rPr>
          <w:rFonts w:ascii="Times New Roman;serif" w:hAnsi="Times New Roman;serif"/>
          <w:b w:val="false"/>
          <w:color w:val="000000"/>
          <w:sz w:val="24"/>
        </w:rPr>
        <w:t>. The words “execution,” “signed,” “signature,” and words of like import in any Transaction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12.10 </w:t>
      </w:r>
      <w:r>
        <w:rPr>
          <w:rFonts w:ascii="Times New Roman;serif" w:hAnsi="Times New Roman;serif"/>
          <w:b w:val="false"/>
          <w:color w:val="000000"/>
          <w:sz w:val="24"/>
          <w:u w:val="single"/>
        </w:rPr>
        <w:t>CHOICE OF LAW; SUBMISSION TO JURISDICTION; WAIVER OF VENUE; SERVICE OF PROCESS; WAIVER OF JURY TRIAL</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below, this Agreement and the other Transaction Documents and any claims, controversy, dispute or cause of action (whether in contract or tort or otherwise) based upon, arising out of or relating to this Agreement or any other Transaction Document (except, as to any other Transaction Document, as expressly specified therein) and the transactions contemplated hereby and thereby shall be governed by, and construed in accordance with, the Law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SPV Entity , each Servicer and each other SPV Entity-Related Party irrevocably and unconditionally agrees that it will not commence any action, litigation or proceeding of any kind or description, whether in law or equity, whether in contract or in tort or otherwise, against the Administrative Agent, any Purchaser or any Related Party of the foregoing in any way relating to this Agreement or any other Transaction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Transaction Document shall affect any right that the Administrative Agent or any Purchaser may otherwise have to bring any action or proceeding relating to this Agreement or any other Transaction Document against any SPV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Entity , any Servicer or any other SPV Entity-Related Party or its properties in the courts of any jurisdiction.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Notwithstanding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Section 2.01(b)(ii)</w:t>
      </w:r>
      <w:r>
        <w:rPr>
          <w:color w:val="000000"/>
        </w:rPr>
        <w:t xml:space="preserve"> </w:t>
      </w:r>
      <w:r>
        <w:rPr>
          <w:rFonts w:ascii="Times New Roman;serif" w:hAnsi="Times New Roman;serif"/>
          <w:b w:val="false"/>
          <w:color w:val="000000"/>
          <w:sz w:val="24"/>
        </w:rPr>
        <w:t xml:space="preserve">shall be governed by, and construed in accordance with the substantive laws of Switzerland (excluding its conflict of laws principles) and place of performance as well as exclusive place of jurisdiction for any dispute arising out of or in connection with the sale, assignment and transfer of the Sold Swiss Receivables and the Sold Swiss Assets in accordance with </w:t>
      </w:r>
      <w:r>
        <w:rPr>
          <w:rFonts w:ascii="Times New Roman;serif" w:hAnsi="Times New Roman;serif"/>
          <w:b w:val="false"/>
          <w:color w:val="000000"/>
          <w:sz w:val="24"/>
          <w:u w:val="single"/>
        </w:rPr>
        <w:t>Section 2.01(b)(ii)</w:t>
      </w:r>
      <w:r>
        <w:rPr>
          <w:color w:val="000000"/>
        </w:rPr>
        <w:t xml:space="preserve"> </w:t>
      </w:r>
      <w:r>
        <w:rPr>
          <w:rFonts w:ascii="Times New Roman;serif" w:hAnsi="Times New Roman;serif"/>
          <w:b w:val="false"/>
          <w:color w:val="000000"/>
          <w:sz w:val="24"/>
        </w:rPr>
        <w:t>shall be the City of Zurich, venue being Zurich 1.</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xml:space="preserve">. Each SPV Entity , each Servicer and each other SPV Entity-Related Party irrevocably and unconditionally waives, to the fullest extent permitted by applicable Law, any objection that it may now or hereafter have to the laying of venue of any action or proceeding arising out of or relating to this Agreement or any other Transaction Document in any court referred to in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NOTWITHSTANDING THE FOREGOING, EACH OF THE CANADIAN GUARANTOR, THE CANADIAN SERVICER, THE UK SERVICER AND THE SWISS SERVICER (COLLECTIVELY, THE “</w:t>
      </w:r>
      <w:r>
        <w:rPr>
          <w:rFonts w:ascii="Times New Roman;serif" w:hAnsi="Times New Roman;serif"/>
          <w:b w:val="false"/>
          <w:color w:val="000000"/>
          <w:sz w:val="24"/>
          <w:u w:val="single"/>
        </w:rPr>
        <w:t>FOREIGN ENTITIES</w:t>
      </w:r>
      <w:r>
        <w:rPr>
          <w:color w:val="000000"/>
        </w:rPr>
        <w:t>”</w:t>
      </w:r>
      <w:r>
        <w:rPr>
          <w:rFonts w:ascii="Times New Roman;serif" w:hAnsi="Times New Roman;serif"/>
          <w:b w:val="false"/>
          <w:color w:val="000000"/>
          <w:sz w:val="24"/>
        </w:rPr>
        <w:t xml:space="preserve">) HEREBY IRREVOCABLY DESIGNATES, APPOINTS AND EMPOWERS THE U.S. SERVICER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REFERRED TO IN THIS </w:t>
      </w:r>
      <w:r>
        <w:rPr>
          <w:rFonts w:ascii="Times New Roman;serif" w:hAnsi="Times New Roman;serif"/>
          <w:b w:val="false"/>
          <w:color w:val="000000"/>
          <w:sz w:val="24"/>
          <w:u w:val="single"/>
        </w:rPr>
        <w:t>SECTION 12.10</w:t>
      </w:r>
      <w:r>
        <w:rPr>
          <w:color w:val="000000"/>
        </w:rPr>
        <w:t xml:space="preserve"> </w:t>
      </w:r>
      <w:r>
        <w:rPr>
          <w:rFonts w:ascii="Times New Roman;serif" w:hAnsi="Times New Roman;serif"/>
          <w:b w:val="false"/>
          <w:color w:val="000000"/>
          <w:sz w:val="24"/>
        </w:rPr>
        <w:t xml:space="preserve">WHICH MAY BE MADE ON SUCH DESIGNEE, APPOINTEE AND AGENT IN ACCORDANCE WITH LEGAL PROCEDURES PRESCRIBED FOR SUCH COURTS, WITH RESPECT TO ANY SUIT, ACTION OR PROCEEDING IN CONNECTION WITH OR ARISING OUT OF THIS AGREEMENT OR ANY OTHER TRANSACTION DOCUMENT. IF FOR ANY REASON SUCH DESIGNEE, APPOINTEE AND AGENT HEREUNDER SHALL CEASE TO BE AVAILABLE TO ACT AS SUCH, EACH FOREIGN ENTITY AGREES TO DESIGNATE A NEW DESIGNEE, APPOINTEE AND AGENT IN NEW YORK, NEW YORK ON THE TERMS AND FOR THE PURPOSES OF THIS SECTION 12 SATISFACTORY TO THE ADMINISTRATIVE AGENT. EACH FOREIGN ENTITY FURTHER HEREBY IRREVOCABLY CONSENTS AND AGREES TO THE SERVICE OF ANY AND ALL LEGAL PROCESS, SUMMONS, NOTICES AND DOCUMENTS OUT OF ANY OF THE AFORESAID COURTS IN ANY SUCH ACTION, SUIT OR PROCEEDING BY SERVING A COPY THEREOF UPON THE AGENT FOR SERVICE OF PROCESS REFERRED TO IN THIS </w:t>
      </w:r>
      <w:r>
        <w:rPr>
          <w:rFonts w:ascii="Times New Roman;serif" w:hAnsi="Times New Roman;serif"/>
          <w:b w:val="false"/>
          <w:color w:val="000000"/>
          <w:sz w:val="24"/>
          <w:u w:val="single"/>
        </w:rPr>
        <w:t>SECTION 12.10</w:t>
      </w:r>
      <w:r>
        <w:rPr>
          <w:color w:val="000000"/>
        </w:rPr>
        <w:t xml:space="preserve"> </w:t>
      </w:r>
      <w:r>
        <w:rPr>
          <w:rFonts w:ascii="Times New Roman;serif" w:hAnsi="Times New Roman;serif"/>
          <w:b w:val="false"/>
          <w:color w:val="000000"/>
          <w:sz w:val="24"/>
        </w:rPr>
        <w:t xml:space="preserve">(WHETHER OR NOT THE APPOINTMENT OF SUCH AGENT SHALL FOR ANY REASON PROVE TO BE INEFFECTIVE OR SUCH AGENT SHALL ACCEPT OR ACKNOWLEDGE SUCH SERVICE) OR BY MAILING COPIES THEREOF BY REGISTERED OR CERTIFIED AIRMAIL, POSTAGE PREPAID, TO IT AT ITS ADDRESS SPECIFIED IN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 xml:space="preserve">OR OTHERWISE DESIGNATED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THIS AGREEMENT. EACH FOREIGN ENTITY AGREES THAT THE FAILURE OF ANY SUCH DESIGNEE, APPOINTEE AND AGENT TO GIVE ANY NOTICE OF SUCH SERVICE TO IT SHALL NOT IMPAIR OR AFFECT IN ANY WAY THE VALIDITY OF SUCH SERVICE OR ANY JUDGMENT RENDERED IN ANY ACTION OR PROCEEDING BASED THEREON. NOTHING HEREIN SHALL IN ANY WAY BE DEEMED TO LIMIT THE ABILITY OF THE ADMINISTRATIVE AGENT OR ANY OTHER SECURED PARTIES TO SERVE ANY SUCH LEGAL PROCESS, SUMMONS, NOTICES AND DOCUMENTS IN ANY OTHER MANNER PERMITTED BY APPLICABLE LAW OR TO OBTAIN JURISDICTION OVER THE UNDERSIGNED OR BRING ACTIONS, SUITS OR PROCEEDINGS AGAINST THE UNDERSIGNED IN SUCH OTHER JURISDICTIONS, AND IN MANNER, AS MAY BE PERMITTED BY APPLICABLE LAW.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IRREVOCABLY WAIVES, TO THE FULLEST EXTENT PERMITTED BY APPLICABLE LAW, ANY RIGHT IT MAY HAVE TO A TRIAL BY JURY IN ANY LEGAL PROCEEDING DIRECTLY OR INDIRECTLY ARISING OUT OF OR RELATING TO THIS AGREEMENT OR ANY OTHER TRANSACTION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TRANSACTION DOCUMENTS BY, AMONG OTHER THINGS, THE MUTUAL WAIVERS AND CERTIFICATIONS IN THIS SECTION.</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12.11 </w:t>
      </w:r>
      <w:r>
        <w:rPr>
          <w:rFonts w:ascii="Times New Roman;serif" w:hAnsi="Times New Roman;serif"/>
          <w:b w:val="false"/>
          <w:color w:val="000000"/>
          <w:sz w:val="24"/>
          <w:u w:val="single"/>
        </w:rPr>
        <w:t>Intent of the Parties</w:t>
      </w:r>
      <w:r>
        <w:rPr>
          <w:rFonts w:ascii="Times New Roman;serif" w:hAnsi="Times New Roman;serif"/>
          <w:b w:val="false"/>
          <w:color w:val="000000"/>
          <w:sz w:val="24"/>
        </w:rPr>
        <w:t>. Each SPV Entity has structured this Agreement with the intention that the Investments and the obligations of each SPV Entity hereunder will be treated under United States federal, and applicable state, local and foreign tax law as debt (the “</w:t>
      </w:r>
      <w:r>
        <w:rPr>
          <w:rFonts w:ascii="Times New Roman;serif" w:hAnsi="Times New Roman;serif"/>
          <w:b w:val="false"/>
          <w:color w:val="000000"/>
          <w:sz w:val="24"/>
          <w:u w:val="single"/>
        </w:rPr>
        <w:t>Intended Tax Treatment</w:t>
      </w:r>
      <w:r>
        <w:rPr>
          <w:color w:val="000000"/>
        </w:rPr>
        <w:t>”</w:t>
      </w:r>
      <w:r>
        <w:rPr>
          <w:rFonts w:ascii="Times New Roman;serif" w:hAnsi="Times New Roman;serif"/>
          <w:b w:val="false"/>
          <w:color w:val="000000"/>
          <w:sz w:val="24"/>
        </w:rPr>
        <w:t>). Each SPV Entity, each Servicer, the Administrative Agent and the other Purchaser Parties agree to file no tax return, or take any action, inconsistent with the Intended Tax Treatment unless required by law. Each assignee and each Participant acquiring an interest in an Investment, by its acceptance of such assignment or participation, agrees to comply with the immediately preceding sentence.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12.12 </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12.13 </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 xml:space="preserve">. Notwithstanding anything to the contrary in any Transaction Document or in any other agreement, arrangement or understanding among any such parties, each party hereto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acknowledges that any liability of any Affected Financial Institution arising under any Transaction Document, to the extent such liability is unsecured, may be subject to the </w:t>
      </w:r>
      <w:r>
        <w:rPr>
          <w:rFonts w:ascii="Times New Roman;serif" w:hAnsi="Times New Roman;serif"/>
          <w:b w:val="false"/>
          <w:strike/>
          <w:color w:val="FF0000"/>
          <w:sz w:val="24"/>
        </w:rPr>
        <w:t>Write-Down</w:t>
      </w:r>
      <w:r>
        <w:rPr>
          <w:rFonts w:ascii="Times New Roman;serif" w:hAnsi="Times New Roman;serif"/>
          <w:b w:val="false"/>
          <w:color w:val="0000FF"/>
          <w:sz w:val="24"/>
          <w:u w:val="single"/>
        </w:rPr>
        <w:t>Write-down</w:t>
      </w:r>
      <w:r>
        <w:rPr>
          <w:color w:val="000000"/>
        </w:rPr>
        <w:t xml:space="preserve"> </w:t>
      </w:r>
      <w:r>
        <w:rPr>
          <w:rFonts w:ascii="Times New Roman;serif" w:hAnsi="Times New Roman;serif"/>
          <w:b w:val="false"/>
          <w:color w:val="000000"/>
          <w:sz w:val="24"/>
        </w:rPr>
        <w:t>and Conversion Powers of the applicable Resolution Authority and agrees and consents to, and acknowledges and agrees to be bound 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application of any </w:t>
      </w:r>
      <w:r>
        <w:rPr>
          <w:rFonts w:ascii="Times New Roman;serif" w:hAnsi="Times New Roman;serif"/>
          <w:b w:val="false"/>
          <w:strike/>
          <w:color w:val="FF0000"/>
          <w:sz w:val="24"/>
        </w:rPr>
        <w:t>Write-Down</w:t>
      </w:r>
      <w:r>
        <w:rPr>
          <w:rFonts w:ascii="Times New Roman;serif" w:hAnsi="Times New Roman;serif"/>
          <w:b w:val="false"/>
          <w:color w:val="0000FF"/>
          <w:sz w:val="24"/>
          <w:u w:val="single"/>
        </w:rPr>
        <w:t>Write-down</w:t>
      </w:r>
      <w:r>
        <w:rPr>
          <w:color w:val="000000"/>
        </w:rPr>
        <w:t xml:space="preserve"> </w:t>
      </w:r>
      <w:r>
        <w:rPr>
          <w:rFonts w:ascii="Times New Roman;serif" w:hAnsi="Times New Roman;serif"/>
          <w:b w:val="false"/>
          <w:color w:val="000000"/>
          <w:sz w:val="24"/>
        </w:rPr>
        <w:t>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the effects of any Bail-In Action on any such liability, including, if applicable: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 reduction in full or in part or cancellation of any such liability;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(iii)    the variation of the terms of such liability in connection with the exercise of the </w:t>
      </w:r>
      <w:r>
        <w:rPr>
          <w:rFonts w:ascii="Times New Roman;serif" w:hAnsi="Times New Roman;serif"/>
          <w:b w:val="false"/>
          <w:strike/>
          <w:color w:val="FF0000"/>
          <w:sz w:val="24"/>
        </w:rPr>
        <w:t>Write-Down</w:t>
      </w:r>
      <w:r>
        <w:rPr>
          <w:rFonts w:ascii="Times New Roman;serif" w:hAnsi="Times New Roman;serif"/>
          <w:b w:val="false"/>
          <w:color w:val="0000FF"/>
          <w:sz w:val="24"/>
          <w:u w:val="single"/>
        </w:rPr>
        <w:t>Write-down</w:t>
      </w:r>
      <w:r>
        <w:rPr>
          <w:color w:val="000000"/>
        </w:rPr>
        <w:t xml:space="preserve"> </w:t>
      </w:r>
      <w:r>
        <w:rPr>
          <w:rFonts w:ascii="Times New Roman;serif" w:hAnsi="Times New Roman;serif"/>
          <w:b w:val="false"/>
          <w:color w:val="000000"/>
          <w:sz w:val="24"/>
        </w:rPr>
        <w:t>and Conversion Powers of the applicable Resolution Authority.</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12.14 </w:t>
      </w:r>
      <w:r>
        <w:rPr>
          <w:rFonts w:ascii="Times New Roman;serif" w:hAnsi="Times New Roman;serif"/>
          <w:b w:val="false"/>
          <w:color w:val="000000"/>
          <w:sz w:val="24"/>
          <w:u w:val="single"/>
        </w:rPr>
        <w:t>USA PATRIOT Act Notice</w:t>
      </w:r>
      <w:r>
        <w:rPr>
          <w:rFonts w:ascii="Times New Roman;serif" w:hAnsi="Times New Roman;serif"/>
          <w:b w:val="false"/>
          <w:color w:val="000000"/>
          <w:sz w:val="24"/>
        </w:rPr>
        <w:t>. Each Purchaser that is subject to the USA PATRIOT Act and the Administrative Agent (for itself and not on behalf of any Purchaser) hereby notifies SPV Entity-Related Parties that pursuant to the requirements of the USA PATRIOT Act, it is required to obtain, verify and record information that identifies the SPV Entity-Related Parties, which information includes the name and address of SPV Entity-Related Parties and other information that will allow such Purchaser or Administrative Agent, as applicable, to identify the SPV Entity-Related Parties in accordance with the USA PATRIOT Act. Each SPV Entity shall, promptly following a request by the Administrative Agent or any Purchaser, provide all documentation and other information that the Administrative Agent or such Purchaser requests in order to comply with its ongoing obligations under applicable “know your customer” and anti-money laundering rules and regulations, including the USA PATRIOT Act.</w:t>
      </w:r>
    </w:p>
    <w:p>
      <w:pPr>
        <w:pStyle w:val="TextBody"/>
        <w:bidi w:val="0"/>
        <w:spacing w:lineRule="auto" w:line="288"/>
        <w:ind w:left="0" w:right="0" w:firstLine="720"/>
        <w:jc w:val="both"/>
        <w:rPr/>
      </w:pPr>
      <w:r>
        <w:rPr>
          <w:rFonts w:ascii="Times New Roman;serif" w:hAnsi="Times New Roman;serif"/>
          <w:b w:val="false"/>
          <w:color w:val="000000"/>
          <w:sz w:val="24"/>
        </w:rPr>
        <w:t xml:space="preserve">SECTION 12.15 </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Transaction Documents provide support, through a guarantee or otherwise, for any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xml:space="preserve">) in respect of such Supported QFC and QFC Credit Support (with the provisions below applicable notwithstanding that the Transaction Documents and any Supported QFC may in fact be stated to be governed by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Laws of the State of New York and/or of the United States or any other state of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shall in no event affect the rights of any Covered Party with respect to a Supported QFC or any QFC Credit Support.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As used in this Section,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SECTION 12.16 </w:t>
      </w:r>
      <w:r>
        <w:rPr>
          <w:rFonts w:ascii="Times New Roman;serif" w:hAnsi="Times New Roman;serif"/>
          <w:b w:val="false"/>
          <w:color w:val="000000"/>
          <w:sz w:val="24"/>
          <w:u w:val="single"/>
        </w:rPr>
        <w:t>Limited Recourse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obligations of each SPV Entity under this Agreement and the other Transaction Documents to which it is a party shall be payable solely out of the assets of such SPV Entity and shall be obligations of such SPV Entity. No recourse shall be had for the payment of any amount owing by such SPV Entity in respect of this Agreement or the other Transaction Documents or for the payment of any fee hereunder or for any other obligation or claim arising out of or based upon this Agreement against a Servicer or any Affiliate of any of the foregoing (other than the SPV Entities), or any stockholder, employee, officer, director, incorporator or beneficial owner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any of the foregoing; provided, however, that the foregoing shall not in any manner affect, limit or waive any of the obligations of a Servicer or any Affiliate of any of the foregoing that such Person may have under any Transaction Document.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 Pages Follow]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by their respective officers thereunto duly authorized, as of the date first above written</w:t>
      </w:r>
    </w:p>
    <w:tbl>
      <w:tblPr>
        <w:tblW w:w="6176" w:type="dxa"/>
        <w:jc w:val="left"/>
        <w:tblInd w:w="0" w:type="dxa"/>
        <w:tblLayout w:type="fixed"/>
        <w:tblCellMar>
          <w:top w:w="28" w:type="dxa"/>
          <w:left w:w="28" w:type="dxa"/>
          <w:bottom w:w="28" w:type="dxa"/>
          <w:right w:w="28" w:type="dxa"/>
        </w:tblCellMar>
      </w:tblPr>
      <w:tblGrid>
        <w:gridCol w:w="124"/>
        <w:gridCol w:w="109"/>
        <w:gridCol w:w="109"/>
        <w:gridCol w:w="1708"/>
        <w:gridCol w:w="1708"/>
        <w:gridCol w:w="2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34" w:type="dxa"/>
            <w:gridSpan w:val="3"/>
            <w:tcBorders/>
            <w:tcMar>
              <w:top w:w="0" w:type="dxa"/>
              <w:left w:w="0" w:type="dxa"/>
              <w:bottom w:w="0" w:type="dxa"/>
              <w:right w:w="0" w:type="dxa"/>
            </w:tcMar>
            <w:vAlign w:val="center"/>
          </w:tcPr>
          <w:p>
            <w:pPr>
              <w:pStyle w:val="TableContents"/>
              <w:bidi w:val="0"/>
              <w:spacing w:lineRule="auto" w:line="288" w:before="0" w:after="0"/>
              <w:ind w:left="0" w:right="0" w:hanging="6"/>
              <w:jc w:val="left"/>
              <w:rPr>
                <w:rFonts w:ascii="Times New Roman;serif" w:hAnsi="Times New Roman;serif"/>
                <w:b w:val="false"/>
                <w:color w:val="000000"/>
                <w:sz w:val="24"/>
              </w:rPr>
            </w:pPr>
            <w:r>
              <w:rPr>
                <w:rFonts w:ascii="Times New Roman;serif" w:hAnsi="Times New Roman;serif"/>
                <w:b w:val="false"/>
                <w:color w:val="000000"/>
                <w:sz w:val="24"/>
              </w:rPr>
              <w:t>RACKSPACE RECEIVABLES II LLC, as Seller</w:t>
            </w:r>
          </w:p>
          <w:p>
            <w:pPr>
              <w:pStyle w:val="TableContents"/>
              <w:bidi w:val="0"/>
              <w:spacing w:lineRule="auto" w:line="288" w:before="0" w:after="0"/>
              <w:ind w:left="0" w:right="0" w:hanging="6"/>
              <w:jc w:val="left"/>
              <w:rPr>
                <w:rFonts w:ascii="Times New Roman;serif" w:hAnsi="Times New Roman;serif"/>
                <w:b w:val="false"/>
                <w:color w:val="000000"/>
                <w:sz w:val="24"/>
              </w:rPr>
            </w:pPr>
            <w:r>
              <w:rPr>
                <w:rFonts w:ascii="Times New Roman;serif" w:hAnsi="Times New Roman;serif"/>
                <w:b w:val="false"/>
                <w:color w:val="000000"/>
                <w:sz w:val="24"/>
              </w:rPr>
              <w:br/>
              <w:t>By: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US, INC., as Servicer</w:t>
              <w:br/>
              <w:br/>
              <w:br/>
              <w:t>By: ________________________________________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S-1    </w:t>
                            </w:r>
                            <w:r>
                              <w:rPr>
                                <w:rFonts w:ascii="Times New Roman;serif" w:hAnsi="Times New Roman;serif"/>
                                <w:b w:val="false"/>
                                <w:i/>
                                <w:color w:val="000000"/>
                                <w:sz w:val="20"/>
                              </w:rPr>
                              <w:t>Receivables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S-1    </w:t>
                      </w:r>
                      <w:r>
                        <w:rPr>
                          <w:rFonts w:ascii="Times New Roman;serif" w:hAnsi="Times New Roman;serif"/>
                          <w:b w:val="false"/>
                          <w:i/>
                          <w:color w:val="000000"/>
                          <w:sz w:val="20"/>
                        </w:rPr>
                        <w:t>Receivables Purchase Agreement</w:t>
                      </w:r>
                    </w:p>
                    <w:p>
                      <w:pPr>
                        <w:pStyle w:val="TextBody"/>
                        <w:bidi w:val="0"/>
                        <w:spacing w:before="0" w:after="0"/>
                        <w:jc w:val="left"/>
                        <w:rPr/>
                      </w:pPr>
                      <w:r>
                        <w:rPr/>
                      </w:r>
                    </w:p>
                  </w:txbxContent>
                </v:textbox>
                <w10:wrap type="none"/>
              </v:rect>
            </w:pict>
          </mc:Fallback>
        </mc:AlternateContent>
      </w:r>
    </w:p>
    <w:tbl>
      <w:tblPr>
        <w:tblW w:w="4886" w:type="dxa"/>
        <w:jc w:val="left"/>
        <w:tblInd w:w="0" w:type="dxa"/>
        <w:tblLayout w:type="fixed"/>
        <w:tblCellMar>
          <w:top w:w="28" w:type="dxa"/>
          <w:left w:w="28" w:type="dxa"/>
          <w:bottom w:w="28" w:type="dxa"/>
          <w:right w:w="28" w:type="dxa"/>
        </w:tblCellMar>
      </w:tblPr>
      <w:tblGrid>
        <w:gridCol w:w="124"/>
        <w:gridCol w:w="109"/>
        <w:gridCol w:w="109"/>
        <w:gridCol w:w="1329"/>
        <w:gridCol w:w="1329"/>
        <w:gridCol w:w="18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br/>
              <w:t>as Administrative Agent</w:t>
              <w:br/>
              <w:br/>
              <w:br/>
              <w:t>By: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BANK, NATIONAL ASSOCIATION,</w:t>
              <w:br/>
              <w:t>as a Purchaser</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w:t>
              <w:br/>
              <w:t>Name:</w:t>
              <w:b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PNC CAPITAL MARKETS LLC,</w:t>
              <w:br/>
              <w:t>as Structuring Agent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br/>
              <w:t>Name:</w:t>
              <w:br/>
              <w:t>Title:</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S-2    </w:t>
                            </w:r>
                            <w:r>
                              <w:rPr>
                                <w:rFonts w:ascii="Times New Roman;serif" w:hAnsi="Times New Roman;serif"/>
                                <w:b w:val="false"/>
                                <w:i/>
                                <w:color w:val="000000"/>
                                <w:sz w:val="20"/>
                              </w:rPr>
                              <w:t>Receivables Purchase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S-2    </w:t>
                      </w:r>
                      <w:r>
                        <w:rPr>
                          <w:rFonts w:ascii="Times New Roman;serif" w:hAnsi="Times New Roman;serif"/>
                          <w:b w:val="false"/>
                          <w:i/>
                          <w:color w:val="000000"/>
                          <w:sz w:val="20"/>
                        </w:rPr>
                        <w:t>Receivables Purchase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sans-serif" w:hAnsi="sans-serif"/>
          <w:b/>
          <w:color w:val="000000"/>
          <w:sz w:val="28"/>
        </w:rPr>
      </w:pPr>
      <w:r>
        <w:rPr>
          <w:rFonts w:ascii="sans-serif" w:hAnsi="sans-serif"/>
          <w:b/>
          <w:color w:val="000000"/>
          <w:sz w:val="28"/>
        </w:rPr>
        <w:t xml:space="preserve">Rackspace Technology Announces Plans to Accelerate Enterprise AI Growth Vector; Provides Preliminary 2Q26 Results and Updates FY26 Outlook </w:t>
      </w:r>
    </w:p>
    <w:p>
      <w:pPr>
        <w:pStyle w:val="TextBody"/>
        <w:bidi w:val="0"/>
        <w:spacing w:before="0" w:after="0"/>
        <w:jc w:val="center"/>
        <w:rPr/>
      </w:pPr>
      <w:r>
        <w:rPr/>
      </w:r>
    </w:p>
    <w:p>
      <w:pPr>
        <w:pStyle w:val="TextBody"/>
        <w:bidi w:val="0"/>
        <w:spacing w:lineRule="auto" w:line="276" w:before="0" w:after="0"/>
        <w:jc w:val="left"/>
        <w:rPr>
          <w:rFonts w:ascii="sans-serif" w:hAnsi="sans-serif"/>
          <w:b w:val="false"/>
          <w:i/>
          <w:color w:val="000000"/>
          <w:sz w:val="22"/>
        </w:rPr>
      </w:pPr>
      <w:r>
        <w:rPr>
          <w:rFonts w:ascii="sans-serif" w:hAnsi="sans-serif"/>
          <w:b w:val="false"/>
          <w:i/>
          <w:color w:val="000000"/>
          <w:sz w:val="22"/>
        </w:rPr>
        <w:t>Investments and Partnerships to Fuel AI Growth in 2027 and Beyond</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2"/>
        </w:rPr>
      </w:pPr>
      <w:r>
        <w:rPr>
          <w:rFonts w:ascii="sans-serif" w:hAnsi="sans-serif"/>
          <w:b w:val="false"/>
          <w:i/>
          <w:color w:val="000000"/>
          <w:sz w:val="22"/>
        </w:rPr>
        <w:t>Palantir names Rackspace Technology as a Preferred Partner in Regulated and Sovereign Markets</w:t>
      </w:r>
    </w:p>
    <w:p>
      <w:pPr>
        <w:pStyle w:val="TextBody"/>
        <w:bidi w:val="0"/>
        <w:spacing w:before="0" w:after="0"/>
        <w:jc w:val="center"/>
        <w:rPr/>
      </w:pPr>
      <w:r>
        <w:rPr/>
      </w:r>
    </w:p>
    <w:p>
      <w:pPr>
        <w:pStyle w:val="TextBody"/>
        <w:bidi w:val="0"/>
        <w:spacing w:lineRule="auto" w:line="276" w:before="0" w:after="0"/>
        <w:jc w:val="left"/>
        <w:rPr/>
      </w:pPr>
      <w:r>
        <w:rPr>
          <w:rFonts w:ascii="sans-serif" w:hAnsi="sans-serif"/>
          <w:b/>
          <w:color w:val="000000"/>
          <w:sz w:val="22"/>
        </w:rPr>
        <w:t>SAN ANTONIO, July 09, 2026</w:t>
      </w:r>
      <w:r>
        <w:rPr>
          <w:color w:val="000000"/>
        </w:rPr>
        <w:t xml:space="preserve"> — </w:t>
      </w:r>
      <w:r>
        <w:rPr>
          <w:rFonts w:ascii="sans-serif" w:hAnsi="sans-serif"/>
          <w:b w:val="false"/>
          <w:color w:val="000000"/>
          <w:sz w:val="22"/>
        </w:rPr>
        <w:t>Rackspace Technology® (NASDAQ: RXT), a global enterprise AI infrastructure and solutions provider, today announced a strategic and financial update on its transition to becoming the operator of the full enterprise AI stack.</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Strategy Update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Rackspace is becoming the operator of the full enterprise AI stack, serving a demand now visible across the market. Enterprises, particularly in regulated industries, are seeking control over their compute, their models, and their data, and assurance that the proprietary knowledge embedded in that data is not transferred outside their environments. Rackspace is model-agnostic by design and operates the governed layer that allows enterprises to use the best available models, whether open, closed, or their own, on private cloud where control matters and public cloud where elasticity matters, while policy, identity, and data boundaries remain under the enterprise’s control.</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i/>
          <w:color w:val="000000"/>
          <w:sz w:val="22"/>
        </w:rPr>
        <w:t>The best-of-breed partnerships we have signed during 2026 – with AMD, Palantir, Rubrik, Uniphore and VMware by Broadcom – combined with the data center capacity and 25+ years of expertise that Rackspace brings to the table, represent a unique positional advantage for Rackspace. Today’s capital raise announcement is meaningful because it will enable us to expedite our AI Enterprise strategy and unlock a meaningful revenue and EBITDA growth vector for Rackspace, starting in 2027.” said Gajen Kandiah, Chief Executive Officer of Rackspace Technology.</w:t>
      </w:r>
    </w:p>
    <w:p>
      <w:pPr>
        <w:pStyle w:val="TextBody"/>
        <w:bidi w:val="0"/>
        <w:spacing w:before="0" w:after="0"/>
        <w:jc w:val="left"/>
        <w:rPr/>
      </w:pPr>
      <w:r>
        <w:rPr/>
      </w:r>
    </w:p>
    <w:p>
      <w:pPr>
        <w:pStyle w:val="TextBody"/>
        <w:bidi w:val="0"/>
        <w:spacing w:lineRule="auto" w:line="276" w:before="0" w:after="0"/>
        <w:jc w:val="left"/>
        <w:rPr/>
      </w:pPr>
      <w:r>
        <w:rPr>
          <w:color w:val="000000"/>
        </w:rPr>
        <w:t>“</w:t>
      </w:r>
      <w:r>
        <w:rPr>
          <w:rFonts w:ascii="sans-serif" w:hAnsi="sans-serif"/>
          <w:b w:val="false"/>
          <w:i/>
          <w:color w:val="000000"/>
          <w:sz w:val="22"/>
        </w:rPr>
        <w:t>Apollo remains highly supportive of Rackspace’s strategy and believes the Company is taking the right steps to fund its next phase of growth. We are excited about the opportunity ahead and remain aligned with Rackspace as it builds a differentiated platform for Enterprise AI,” said Aaron Sobel, Partner at Apollo Global Management and a member of Rackspace Technology's Board of Directors.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Palantir Partnership Update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In a separate release today, Palantir and Rackspace announced a definitive agreement establishing an operating framework to deploy Palantir Foundry and AIP in mid-market, regulated and sovereign environments, naming Rackspace a preferred partner.</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Since the companies’ initial February 2026 announcement, the partnership has built measurable momentum. Rackspace has scaled to approximately 400 Palantir certifications across sales, engineering, delivery, and operations, including a large global cohort of Palantir-certified forward deployed engineers (FDEs) to serve demand across healthcare, financial services, energy, and mid-market. The first joint deployment closed in less than 2 months with Rackspace FDEs deploying AI-enabled workflows on Palantir Foundry inside a U.S.-based solar tracking manufacturer to deliver a 94% reduction in their quote cycle time.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Both parties have considerable traction on this partnership and Rackspace views today’s announcement as a marker of the partnership’s early success.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Financial and Business Update</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2"/>
        </w:rPr>
      </w:pPr>
      <w:r>
        <w:rPr>
          <w:rFonts w:ascii="sans-serif" w:hAnsi="sans-serif"/>
          <w:b w:val="false"/>
          <w:color w:val="000000"/>
          <w:sz w:val="22"/>
        </w:rPr>
        <w:t xml:space="preserve">The enterprise AI deployment end market has attractive demand characteristics. However, enterprise AI growth and deployments require discipline because of the resource-constrained nature of the capacity- and supply-side. </w:t>
      </w:r>
    </w:p>
    <w:p>
      <w:pPr>
        <w:pStyle w:val="TextBody"/>
        <w:bidi w:val="0"/>
        <w:spacing w:before="0" w:after="0"/>
        <w:jc w:val="righ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7"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Rackspace believes the correct strategic and tactical response in this environment is to prioritize our resources and focus on the activities that we believe provide the best returns to Rackspace’s stakeholders.</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The combination of our prioritization efforts, industry trends and current supply constraints results in a reduction of $150 million in our revenue expectations and $20 million in EBITDA. The details are illustrated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6"/>
        <w:gridCol w:w="392"/>
        <w:gridCol w:w="396"/>
        <w:gridCol w:w="397"/>
        <w:gridCol w:w="309"/>
        <w:gridCol w:w="143"/>
        <w:gridCol w:w="353"/>
        <w:gridCol w:w="353"/>
        <w:gridCol w:w="316"/>
        <w:gridCol w:w="353"/>
        <w:gridCol w:w="353"/>
        <w:gridCol w:w="151"/>
        <w:gridCol w:w="385"/>
        <w:gridCol w:w="321"/>
        <w:gridCol w:w="141"/>
        <w:gridCol w:w="353"/>
        <w:gridCol w:w="353"/>
        <w:gridCol w:w="316"/>
        <w:gridCol w:w="353"/>
        <w:gridCol w:w="353"/>
        <w:gridCol w:w="158"/>
        <w:gridCol w:w="1064"/>
        <w:gridCol w:w="985"/>
        <w:gridCol w:w="1401"/>
      </w:tblGrid>
      <w:tr>
        <w:trPr/>
        <w:tc>
          <w:tcPr>
            <w:tcW w:w="50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1294" w:type="dxa"/>
            <w:gridSpan w:val="3"/>
            <w:vMerge w:val="restart"/>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i/>
                <w:color w:val="000000"/>
                <w:sz w:val="16"/>
              </w:rPr>
            </w:pPr>
            <w:r>
              <w:rPr>
                <w:rFonts w:ascii="sans-serif" w:hAnsi="sans-serif"/>
                <w:b/>
                <w:i/>
                <w:color w:val="000000"/>
                <w:sz w:val="16"/>
              </w:rPr>
              <w:t>$ in Millions</w:t>
            </w:r>
          </w:p>
        </w:tc>
        <w:tc>
          <w:tcPr>
            <w:tcW w:w="2728" w:type="dxa"/>
            <w:gridSpan w:val="9"/>
            <w:tcBorders>
              <w:top w:val="single" w:sz="16" w:space="0" w:color="000000"/>
              <w:left w:val="single" w:sz="16"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Prior FY26 Outlook</w:t>
            </w:r>
          </w:p>
        </w:tc>
        <w:tc>
          <w:tcPr>
            <w:tcW w:w="2733" w:type="dxa"/>
            <w:gridSpan w:val="9"/>
            <w:tcBorders>
              <w:top w:val="single" w:sz="16" w:space="0" w:color="000000"/>
              <w:left w:val="single" w:sz="16"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New FY26 Outlook</w:t>
            </w:r>
          </w:p>
        </w:tc>
        <w:tc>
          <w:tcPr>
            <w:tcW w:w="3450" w:type="dxa"/>
            <w:gridSpan w:val="3"/>
            <w:vMerge w:val="restart"/>
            <w:tcBorders>
              <w:top w:val="single" w:sz="16" w:space="0" w:color="000000"/>
              <w:left w:val="single" w:sz="16" w:space="0" w:color="000000"/>
              <w:right w:val="single" w:sz="16" w:space="0" w:color="000000"/>
            </w:tcBorders>
            <w:shd w:fill="DBDBDB" w:val="clear"/>
            <w:tcMar>
              <w:top w:w="30" w:type="dxa"/>
              <w:bottom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Reason for Change</w:t>
            </w:r>
          </w:p>
        </w:tc>
      </w:tr>
      <w:tr>
        <w:trPr/>
        <w:tc>
          <w:tcPr>
            <w:tcW w:w="1294" w:type="dxa"/>
            <w:gridSpan w:val="3"/>
            <w:vMerge w:val="continue"/>
            <w:tcBorders>
              <w:top w:val="single" w:sz="16" w:space="0" w:color="000000"/>
              <w:left w:val="single" w:sz="16" w:space="0" w:color="000000"/>
            </w:tcBorders>
            <w:tcMar>
              <w:top w:w="30" w:type="dxa"/>
              <w:bottom w:w="0" w:type="dxa"/>
              <w:right w:w="0" w:type="dxa"/>
            </w:tcMar>
            <w:vAlign w:val="center"/>
          </w:tcPr>
          <w:p>
            <w:pPr>
              <w:pStyle w:val="Normal"/>
              <w:bidi w:val="0"/>
              <w:jc w:val="left"/>
              <w:rPr/>
            </w:pPr>
            <w:r>
              <w:rPr/>
            </w:r>
          </w:p>
        </w:tc>
        <w:tc>
          <w:tcPr>
            <w:tcW w:w="849" w:type="dxa"/>
            <w:gridSpan w:val="3"/>
            <w:tcBorders>
              <w:top w:val="single" w:sz="8" w:space="0" w:color="000000"/>
              <w:left w:val="single" w:sz="16"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Low</w:t>
            </w:r>
          </w:p>
        </w:tc>
        <w:tc>
          <w:tcPr>
            <w:tcW w:w="1022"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Midpoint</w:t>
            </w:r>
          </w:p>
        </w:tc>
        <w:tc>
          <w:tcPr>
            <w:tcW w:w="85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High</w:t>
            </w:r>
          </w:p>
        </w:tc>
        <w:tc>
          <w:tcPr>
            <w:tcW w:w="847" w:type="dxa"/>
            <w:gridSpan w:val="3"/>
            <w:tcBorders>
              <w:top w:val="single" w:sz="8" w:space="0" w:color="000000"/>
              <w:left w:val="single" w:sz="16"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Low</w:t>
            </w:r>
          </w:p>
        </w:tc>
        <w:tc>
          <w:tcPr>
            <w:tcW w:w="10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Midpoint</w:t>
            </w:r>
          </w:p>
        </w:tc>
        <w:tc>
          <w:tcPr>
            <w:tcW w:w="864" w:type="dxa"/>
            <w:gridSpan w:val="3"/>
            <w:tcBorders>
              <w:top w:val="single" w:sz="8" w:space="0" w:color="000000"/>
              <w:left w:val="single" w:sz="8" w:space="0" w:color="000000"/>
              <w:right w:val="single" w:sz="16" w:space="0" w:color="000000"/>
            </w:tcBorders>
            <w:shd w:fill="CCEEFF" w:val="clear"/>
            <w:tcMar>
              <w:top w:w="30" w:type="dxa"/>
              <w:bottom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High</w:t>
            </w:r>
          </w:p>
        </w:tc>
        <w:tc>
          <w:tcPr>
            <w:tcW w:w="3450" w:type="dxa"/>
            <w:gridSpan w:val="3"/>
            <w:vMerge w:val="continue"/>
            <w:tcBorders>
              <w:top w:val="single" w:sz="16" w:space="0" w:color="000000"/>
              <w:left w:val="single" w:sz="16" w:space="0" w:color="000000"/>
              <w:right w:val="single" w:sz="16" w:space="0" w:color="000000"/>
            </w:tcBorders>
            <w:shd w:fill="DBDBDB" w:val="clear"/>
            <w:tcMar>
              <w:top w:w="30" w:type="dxa"/>
              <w:bottom w:w="0" w:type="dxa"/>
            </w:tcMar>
            <w:vAlign w:val="center"/>
          </w:tcPr>
          <w:p>
            <w:pPr>
              <w:pStyle w:val="Normal"/>
              <w:bidi w:val="0"/>
              <w:jc w:val="left"/>
              <w:rPr/>
            </w:pPr>
            <w:r>
              <w:rPr/>
            </w:r>
          </w:p>
        </w:tc>
      </w:tr>
      <w:tr>
        <w:trPr/>
        <w:tc>
          <w:tcPr>
            <w:tcW w:w="1294" w:type="dxa"/>
            <w:gridSpan w:val="3"/>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Private Cloud</w:t>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1,025 </w:t>
            </w:r>
          </w:p>
        </w:tc>
        <w:tc>
          <w:tcPr>
            <w:tcW w:w="143"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1,050 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1,075 </w:t>
            </w:r>
          </w:p>
        </w:tc>
        <w:tc>
          <w:tcPr>
            <w:tcW w:w="15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1,000 </w:t>
            </w:r>
          </w:p>
        </w:tc>
        <w:tc>
          <w:tcPr>
            <w:tcW w:w="14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1,025 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1,050 </w:t>
            </w:r>
          </w:p>
        </w:tc>
        <w:tc>
          <w:tcPr>
            <w:tcW w:w="158"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vMerge w:val="restart"/>
            <w:tcBorders>
              <w:top w:val="single" w:sz="12"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0"/>
              <w:ind w:left="0" w:right="0" w:hanging="180"/>
              <w:jc w:val="left"/>
              <w:rPr/>
            </w:pPr>
            <w:r>
              <w:rPr>
                <w:color w:val="000000"/>
              </w:rPr>
              <w:t>•</w:t>
            </w:r>
            <w:r>
              <w:rPr>
                <w:rFonts w:ascii="sans-serif" w:hAnsi="sans-serif"/>
                <w:b w:val="false"/>
                <w:color w:val="000000"/>
                <w:sz w:val="14"/>
              </w:rPr>
              <w:t>Lowered by $25 million.</w:t>
            </w:r>
          </w:p>
          <w:p>
            <w:pPr>
              <w:pStyle w:val="TableContents"/>
              <w:bidi w:val="0"/>
              <w:spacing w:lineRule="auto" w:line="240" w:before="0" w:after="0"/>
              <w:ind w:left="0" w:right="0" w:hanging="180"/>
              <w:jc w:val="left"/>
              <w:rPr/>
            </w:pPr>
            <w:r>
              <w:rPr>
                <w:color w:val="000000"/>
              </w:rPr>
              <w:t>•</w:t>
            </w:r>
            <w:r>
              <w:rPr>
                <w:rFonts w:ascii="sans-serif" w:hAnsi="sans-serif"/>
                <w:b w:val="false"/>
                <w:color w:val="000000"/>
                <w:sz w:val="14"/>
              </w:rPr>
              <w:t>Exiting colocation and basic hosting revenues, reserving capacity for Enterprise AI.</w:t>
            </w:r>
          </w:p>
          <w:p>
            <w:pPr>
              <w:pStyle w:val="TableContents"/>
              <w:bidi w:val="0"/>
              <w:spacing w:lineRule="auto" w:line="240" w:before="0" w:after="0"/>
              <w:ind w:left="0" w:right="0" w:hanging="180"/>
              <w:jc w:val="left"/>
              <w:rPr/>
            </w:pPr>
            <w:r>
              <w:rPr>
                <w:color w:val="000000"/>
              </w:rPr>
              <w:t>•</w:t>
            </w:r>
            <w:r>
              <w:rPr>
                <w:rFonts w:ascii="sans-serif" w:hAnsi="sans-serif"/>
                <w:b w:val="false"/>
                <w:color w:val="000000"/>
                <w:sz w:val="14"/>
              </w:rPr>
              <w:t>Supply timing and geopolitical factors compressing near-term delivery.</w:t>
            </w:r>
          </w:p>
        </w:tc>
      </w:tr>
      <w:tr>
        <w:trPr/>
        <w:tc>
          <w:tcPr>
            <w:tcW w:w="1294"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Rev year/year %</w:t>
            </w:r>
          </w:p>
        </w:tc>
        <w:tc>
          <w:tcPr>
            <w:tcW w:w="849"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4%</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6%</w:t>
            </w:r>
          </w:p>
        </w:tc>
        <w:tc>
          <w:tcPr>
            <w:tcW w:w="8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9%</w:t>
            </w:r>
          </w:p>
        </w:tc>
        <w:tc>
          <w:tcPr>
            <w:tcW w:w="847"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4%</w:t>
            </w:r>
          </w:p>
        </w:tc>
        <w:tc>
          <w:tcPr>
            <w:tcW w:w="864" w:type="dxa"/>
            <w:gridSpan w:val="3"/>
            <w:tcBorders>
              <w:top w:val="single" w:sz="8" w:space="0" w:color="000000"/>
              <w:left w:val="single" w:sz="8"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6%</w:t>
            </w:r>
          </w:p>
        </w:tc>
        <w:tc>
          <w:tcPr>
            <w:tcW w:w="3450" w:type="dxa"/>
            <w:gridSpan w:val="3"/>
            <w:vMerge w:val="continue"/>
            <w:tcBorders>
              <w:top w:val="single" w:sz="12" w:space="0" w:color="000000"/>
              <w:left w:val="single" w:sz="16" w:space="0" w:color="000000"/>
              <w:right w:val="single" w:sz="16" w:space="0" w:color="000000"/>
            </w:tcBorders>
            <w:tcMar>
              <w:top w:w="30" w:type="dxa"/>
              <w:bottom w:w="0" w:type="dxa"/>
            </w:tcMar>
            <w:vAlign w:val="center"/>
          </w:tcPr>
          <w:p>
            <w:pPr>
              <w:pStyle w:val="Normal"/>
              <w:bidi w:val="0"/>
              <w:jc w:val="left"/>
              <w:rPr/>
            </w:pPr>
            <w:r>
              <w:rPr/>
            </w:r>
          </w:p>
        </w:tc>
      </w:tr>
      <w:tr>
        <w:trPr/>
        <w:tc>
          <w:tcPr>
            <w:tcW w:w="1294" w:type="dxa"/>
            <w:gridSpan w:val="3"/>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Public Cloud</w:t>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1,575 </w:t>
            </w:r>
          </w:p>
        </w:tc>
        <w:tc>
          <w:tcPr>
            <w:tcW w:w="143"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1,600 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1,625 </w:t>
            </w:r>
          </w:p>
        </w:tc>
        <w:tc>
          <w:tcPr>
            <w:tcW w:w="15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1,450 </w:t>
            </w:r>
          </w:p>
        </w:tc>
        <w:tc>
          <w:tcPr>
            <w:tcW w:w="14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1,475 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1,500 </w:t>
            </w:r>
          </w:p>
        </w:tc>
        <w:tc>
          <w:tcPr>
            <w:tcW w:w="158"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vMerge w:val="restart"/>
            <w:tcBorders>
              <w:top w:val="single" w:sz="12" w:space="0" w:color="000000"/>
              <w:left w:val="single" w:sz="12" w:space="0" w:color="000000"/>
              <w:right w:val="single" w:sz="16" w:space="0" w:color="000000"/>
            </w:tcBorders>
            <w:tcMar>
              <w:top w:w="30" w:type="dxa"/>
              <w:bottom w:w="0" w:type="dxa"/>
            </w:tcMar>
            <w:vAlign w:val="center"/>
          </w:tcPr>
          <w:p>
            <w:pPr>
              <w:pStyle w:val="TableContents"/>
              <w:bidi w:val="0"/>
              <w:spacing w:lineRule="auto" w:line="240" w:before="0" w:after="0"/>
              <w:ind w:left="0" w:right="0" w:hanging="180"/>
              <w:jc w:val="left"/>
              <w:rPr/>
            </w:pPr>
            <w:r>
              <w:rPr>
                <w:color w:val="000000"/>
              </w:rPr>
              <w:t>•</w:t>
            </w:r>
            <w:r>
              <w:rPr>
                <w:rFonts w:ascii="sans-serif" w:hAnsi="sans-serif"/>
                <w:b w:val="false"/>
                <w:color w:val="000000"/>
                <w:sz w:val="14"/>
              </w:rPr>
              <w:t>Lowered by $125 million.</w:t>
            </w:r>
          </w:p>
          <w:p>
            <w:pPr>
              <w:pStyle w:val="TableContents"/>
              <w:bidi w:val="0"/>
              <w:spacing w:lineRule="auto" w:line="240" w:before="0" w:after="0"/>
              <w:ind w:left="0" w:right="0" w:hanging="180"/>
              <w:jc w:val="left"/>
              <w:rPr/>
            </w:pPr>
            <w:r>
              <w:rPr>
                <w:color w:val="000000"/>
              </w:rPr>
              <w:t>•</w:t>
            </w:r>
            <w:r>
              <w:rPr>
                <w:rFonts w:ascii="sans-serif" w:hAnsi="sans-serif"/>
                <w:b w:val="false"/>
                <w:color w:val="000000"/>
                <w:sz w:val="14"/>
              </w:rPr>
              <w:t>Exiting low-margin resale as hyperscalers continue moving customers to direct contracts.</w:t>
            </w:r>
          </w:p>
        </w:tc>
      </w:tr>
      <w:tr>
        <w:trPr/>
        <w:tc>
          <w:tcPr>
            <w:tcW w:w="1294"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Rev year/year %</w:t>
            </w:r>
          </w:p>
        </w:tc>
        <w:tc>
          <w:tcPr>
            <w:tcW w:w="849"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(7)%</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(6)%</w:t>
            </w:r>
          </w:p>
        </w:tc>
        <w:tc>
          <w:tcPr>
            <w:tcW w:w="8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(4)%</w:t>
            </w:r>
          </w:p>
        </w:tc>
        <w:tc>
          <w:tcPr>
            <w:tcW w:w="847"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(15)%</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(13)%</w:t>
            </w:r>
          </w:p>
        </w:tc>
        <w:tc>
          <w:tcPr>
            <w:tcW w:w="864" w:type="dxa"/>
            <w:gridSpan w:val="3"/>
            <w:tcBorders>
              <w:top w:val="single" w:sz="8" w:space="0" w:color="000000"/>
              <w:left w:val="single" w:sz="8"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3450" w:type="dxa"/>
            <w:gridSpan w:val="3"/>
            <w:vMerge w:val="continue"/>
            <w:tcBorders>
              <w:top w:val="single" w:sz="12" w:space="0" w:color="000000"/>
              <w:left w:val="single" w:sz="12" w:space="0" w:color="000000"/>
              <w:right w:val="single" w:sz="16" w:space="0" w:color="000000"/>
            </w:tcBorders>
            <w:tcMar>
              <w:top w:w="30" w:type="dxa"/>
              <w:bottom w:w="0" w:type="dxa"/>
            </w:tcMar>
            <w:vAlign w:val="center"/>
          </w:tcPr>
          <w:p>
            <w:pPr>
              <w:pStyle w:val="Normal"/>
              <w:bidi w:val="0"/>
              <w:jc w:val="left"/>
              <w:rPr/>
            </w:pPr>
            <w:r>
              <w:rPr/>
            </w:r>
          </w:p>
        </w:tc>
      </w:tr>
      <w:tr>
        <w:trPr/>
        <w:tc>
          <w:tcPr>
            <w:tcW w:w="1294" w:type="dxa"/>
            <w:gridSpan w:val="3"/>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Revenue</w:t>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2,600</w:t>
            </w:r>
            <w:r>
              <w:rPr>
                <w:color w:val="000000"/>
              </w:rPr>
              <w:t> </w:t>
            </w:r>
          </w:p>
        </w:tc>
        <w:tc>
          <w:tcPr>
            <w:tcW w:w="143"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2,650</w:t>
            </w:r>
            <w:r>
              <w:rPr>
                <w:color w:val="000000"/>
              </w:rPr>
              <w:t>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2,700</w:t>
            </w:r>
            <w:r>
              <w:rPr>
                <w:color w:val="000000"/>
              </w:rPr>
              <w:t> </w:t>
            </w:r>
          </w:p>
        </w:tc>
        <w:tc>
          <w:tcPr>
            <w:tcW w:w="15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2,450</w:t>
            </w:r>
            <w:r>
              <w:rPr>
                <w:color w:val="000000"/>
              </w:rPr>
              <w:t> </w:t>
            </w:r>
          </w:p>
        </w:tc>
        <w:tc>
          <w:tcPr>
            <w:tcW w:w="141"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2,500</w:t>
            </w:r>
            <w:r>
              <w:rPr>
                <w:color w:val="000000"/>
              </w:rPr>
              <w:t> </w:t>
            </w:r>
          </w:p>
        </w:tc>
        <w:tc>
          <w:tcPr>
            <w:tcW w:w="316" w:type="dxa"/>
            <w:tcBorders>
              <w:top w:val="single" w:sz="1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2,550</w:t>
            </w:r>
            <w:r>
              <w:rPr>
                <w:color w:val="000000"/>
              </w:rPr>
              <w:t> </w:t>
            </w:r>
          </w:p>
        </w:tc>
        <w:tc>
          <w:tcPr>
            <w:tcW w:w="158" w:type="dxa"/>
            <w:tcBorders>
              <w:top w:val="single" w:sz="12" w:space="0" w:color="000000"/>
              <w:right w:val="single" w:sz="16"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3450" w:type="dxa"/>
            <w:gridSpan w:val="3"/>
            <w:vMerge w:val="restart"/>
            <w:tcBorders>
              <w:top w:val="single" w:sz="12"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294"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Rev year/year %</w:t>
            </w:r>
          </w:p>
        </w:tc>
        <w:tc>
          <w:tcPr>
            <w:tcW w:w="849"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(3)%</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w:t>
            </w:r>
          </w:p>
        </w:tc>
        <w:tc>
          <w:tcPr>
            <w:tcW w:w="85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w:t>
            </w:r>
          </w:p>
        </w:tc>
        <w:tc>
          <w:tcPr>
            <w:tcW w:w="847"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(9)%</w:t>
            </w:r>
          </w:p>
        </w:tc>
        <w:tc>
          <w:tcPr>
            <w:tcW w:w="10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(7)%</w:t>
            </w:r>
          </w:p>
        </w:tc>
        <w:tc>
          <w:tcPr>
            <w:tcW w:w="864" w:type="dxa"/>
            <w:gridSpan w:val="3"/>
            <w:tcBorders>
              <w:top w:val="single" w:sz="8" w:space="0" w:color="000000"/>
              <w:left w:val="single" w:sz="8"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(5)%</w:t>
            </w:r>
          </w:p>
        </w:tc>
        <w:tc>
          <w:tcPr>
            <w:tcW w:w="3450" w:type="dxa"/>
            <w:gridSpan w:val="3"/>
            <w:vMerge w:val="continue"/>
            <w:tcBorders>
              <w:top w:val="single" w:sz="12" w:space="0" w:color="000000"/>
              <w:right w:val="single" w:sz="16" w:space="0" w:color="000000"/>
            </w:tcBorders>
            <w:tcMar>
              <w:left w:w="0" w:type="dxa"/>
              <w:bottom w:w="0" w:type="dxa"/>
            </w:tcMar>
            <w:vAlign w:val="center"/>
          </w:tcPr>
          <w:p>
            <w:pPr>
              <w:pStyle w:val="Normal"/>
              <w:bidi w:val="0"/>
              <w:jc w:val="left"/>
              <w:rPr/>
            </w:pPr>
            <w:r>
              <w:rPr/>
            </w:r>
          </w:p>
        </w:tc>
      </w:tr>
      <w:tr>
        <w:trPr/>
        <w:tc>
          <w:tcPr>
            <w:tcW w:w="1294" w:type="dxa"/>
            <w:gridSpan w:val="3"/>
            <w:tcBorders>
              <w:top w:val="single" w:sz="12" w:space="0" w:color="000000"/>
              <w:left w:val="single" w:sz="16"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Adjusted EBITDA</w:t>
            </w:r>
          </w:p>
        </w:tc>
        <w:tc>
          <w:tcPr>
            <w:tcW w:w="706" w:type="dxa"/>
            <w:gridSpan w:val="2"/>
            <w:tcBorders>
              <w:top w:val="single" w:sz="12" w:space="0" w:color="000000"/>
              <w:left w:val="single" w:sz="16"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305</w:t>
            </w:r>
            <w:r>
              <w:rPr>
                <w:color w:val="000000"/>
              </w:rPr>
              <w:t> </w:t>
            </w:r>
          </w:p>
        </w:tc>
        <w:tc>
          <w:tcPr>
            <w:tcW w:w="143"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310</w:t>
            </w:r>
            <w:r>
              <w:rPr>
                <w:color w:val="000000"/>
              </w:rPr>
              <w:t> </w:t>
            </w:r>
          </w:p>
        </w:tc>
        <w:tc>
          <w:tcPr>
            <w:tcW w:w="316"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315</w:t>
            </w:r>
            <w:r>
              <w:rPr>
                <w:color w:val="000000"/>
              </w:rPr>
              <w:t> </w:t>
            </w:r>
          </w:p>
        </w:tc>
        <w:tc>
          <w:tcPr>
            <w:tcW w:w="151"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16"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285</w:t>
            </w:r>
            <w:r>
              <w:rPr>
                <w:color w:val="000000"/>
              </w:rPr>
              <w:t> </w:t>
            </w:r>
          </w:p>
        </w:tc>
        <w:tc>
          <w:tcPr>
            <w:tcW w:w="141"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290</w:t>
            </w:r>
            <w:r>
              <w:rPr>
                <w:color w:val="000000"/>
              </w:rPr>
              <w:t> </w:t>
            </w:r>
          </w:p>
        </w:tc>
        <w:tc>
          <w:tcPr>
            <w:tcW w:w="316"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6"/>
              </w:rPr>
              <w:t>295</w:t>
            </w:r>
            <w:r>
              <w:rPr>
                <w:color w:val="000000"/>
              </w:rPr>
              <w:t> </w:t>
            </w:r>
          </w:p>
        </w:tc>
        <w:tc>
          <w:tcPr>
            <w:tcW w:w="158" w:type="dxa"/>
            <w:tcBorders>
              <w:top w:val="single" w:sz="12"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vMerge w:val="restart"/>
            <w:tcBorders>
              <w:top w:val="single" w:sz="12" w:space="0" w:color="000000"/>
              <w:left w:val="single" w:sz="16" w:space="0" w:color="000000"/>
              <w:bottom w:val="single" w:sz="16" w:space="0" w:color="000000"/>
              <w:right w:val="single" w:sz="16" w:space="0" w:color="000000"/>
            </w:tcBorders>
            <w:shd w:fill="DBDBDB" w:val="clear"/>
            <w:tcMar>
              <w:top w:w="30" w:type="dxa"/>
              <w:bottom w:w="30" w:type="dxa"/>
            </w:tcMar>
            <w:vAlign w:val="center"/>
          </w:tcPr>
          <w:p>
            <w:pPr>
              <w:pStyle w:val="TableContents"/>
              <w:bidi w:val="0"/>
              <w:spacing w:lineRule="auto" w:line="240" w:before="0" w:after="0"/>
              <w:ind w:left="0" w:right="0" w:hanging="180"/>
              <w:jc w:val="left"/>
              <w:rPr/>
            </w:pPr>
            <w:r>
              <w:rPr>
                <w:color w:val="000000"/>
              </w:rPr>
              <w:t>•</w:t>
            </w:r>
            <w:r>
              <w:rPr>
                <w:rFonts w:ascii="sans-serif" w:hAnsi="sans-serif"/>
                <w:b/>
                <w:color w:val="000000"/>
                <w:sz w:val="14"/>
              </w:rPr>
              <w:t>Lower near-term margins reflect upfront growth investment and restructuring, ahead of AI revenue ramping.</w:t>
            </w:r>
          </w:p>
        </w:tc>
      </w:tr>
      <w:tr>
        <w:trPr/>
        <w:tc>
          <w:tcPr>
            <w:tcW w:w="1294" w:type="dxa"/>
            <w:gridSpan w:val="3"/>
            <w:tcBorders>
              <w:left w:val="single" w:sz="16"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Adj. EBITDA margin %</w:t>
            </w:r>
          </w:p>
        </w:tc>
        <w:tc>
          <w:tcPr>
            <w:tcW w:w="849" w:type="dxa"/>
            <w:gridSpan w:val="3"/>
            <w:tcBorders>
              <w:left w:val="single" w:sz="16"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1022" w:type="dxa"/>
            <w:gridSpan w:val="3"/>
            <w:tcBorders>
              <w:left w:val="single" w:sz="8"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857" w:type="dxa"/>
            <w:gridSpan w:val="3"/>
            <w:tcBorders>
              <w:left w:val="single" w:sz="8"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847" w:type="dxa"/>
            <w:gridSpan w:val="3"/>
            <w:tcBorders>
              <w:left w:val="single" w:sz="16"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1022" w:type="dxa"/>
            <w:gridSpan w:val="3"/>
            <w:tcBorders>
              <w:left w:val="single" w:sz="8" w:space="0" w:color="000000"/>
              <w:bottom w:val="single" w:sz="16" w:space="0" w:color="000000"/>
            </w:tcBorders>
            <w:shd w:fill="DBDBDB" w:val="clear"/>
            <w:tcMar>
              <w:top w:w="0" w:type="dxa"/>
              <w:bottom w:w="30" w:type="dxa"/>
              <w:right w:w="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864" w:type="dxa"/>
            <w:gridSpan w:val="3"/>
            <w:tcBorders>
              <w:left w:val="single" w:sz="8" w:space="0" w:color="000000"/>
              <w:bottom w:val="single" w:sz="16" w:space="0" w:color="000000"/>
              <w:right w:val="single" w:sz="16" w:space="0" w:color="000000"/>
            </w:tcBorders>
            <w:shd w:fill="DBDBDB" w:val="clear"/>
            <w:tcMar>
              <w:top w:w="0" w:type="dxa"/>
              <w:bottom w:w="30" w:type="dxa"/>
            </w:tcMar>
            <w:vAlign w:val="center"/>
          </w:tcPr>
          <w:p>
            <w:pPr>
              <w:pStyle w:val="TableContents"/>
              <w:bidi w:val="0"/>
              <w:spacing w:lineRule="auto" w:line="240" w:before="0" w:after="283"/>
              <w:jc w:val="center"/>
              <w:rPr>
                <w:rFonts w:ascii="sans-serif" w:hAnsi="sans-serif"/>
                <w:b w:val="false"/>
                <w:i/>
                <w:color w:val="000000"/>
                <w:sz w:val="16"/>
              </w:rPr>
            </w:pPr>
            <w:r>
              <w:rPr>
                <w:rFonts w:ascii="sans-serif" w:hAnsi="sans-serif"/>
                <w:b w:val="false"/>
                <w:i/>
                <w:color w:val="000000"/>
                <w:sz w:val="16"/>
              </w:rPr>
              <w:t>12%</w:t>
            </w:r>
          </w:p>
        </w:tc>
        <w:tc>
          <w:tcPr>
            <w:tcW w:w="3450" w:type="dxa"/>
            <w:gridSpan w:val="3"/>
            <w:vMerge w:val="continue"/>
            <w:tcBorders>
              <w:top w:val="single" w:sz="12" w:space="0" w:color="000000"/>
              <w:left w:val="single" w:sz="16" w:space="0" w:color="000000"/>
              <w:bottom w:val="single" w:sz="16" w:space="0" w:color="000000"/>
              <w:right w:val="single" w:sz="16" w:space="0" w:color="000000"/>
            </w:tcBorders>
            <w:shd w:fill="DBDBDB" w:val="clear"/>
            <w:tcMar>
              <w:top w:w="30" w:type="dxa"/>
              <w:bottom w:w="3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Rackspace Technology anticipates the following preliminary financial results for the second quarter of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Revenue is expected to be in the range of $641 to $649 million, including Private Cloud revenue between $242 to $246 million and Public Cloud revenue between $399 to $403 million.</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GAAP Net Loss is expected to be in the range of $(91) to $(62) million, and GAAP net loss per diluted share is expected to be in the range of $(0.36) to $(0.25)</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GAAP Loss from Operations is expected to be in the range of $(53) to $(33) million.</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Non-GAAP Operating Profit is expected to be in the range of $19 to $23 million.</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Non-GAAP Loss Per Share is expected to be $(0.11) to $(0.08).</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2"/>
        </w:rPr>
        <w:t>Non-GAAP Adjusted EBITDA is expected to be between $58 to $62 million.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As we look beyond 2026, our current plan is to ramp the Enterprise AI business up to cumulative capacity of 15 MW by the end of 2027 and a total of 30 MW of capacity by the end of 2028. We expect to average $15-20 million of annual revenue per MW deployed as GPU and customer mix evolves. This translates to $450-$600 million of annual revenue at the full 30 MW of AMD deployments and we expect Adjusted EBITDA margins for Enterprise AI to be in the 50%+ range, as summarized in the following table: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57"/>
        <w:gridCol w:w="1187"/>
        <w:gridCol w:w="1187"/>
        <w:gridCol w:w="1212"/>
        <w:gridCol w:w="1187"/>
        <w:gridCol w:w="1215"/>
        <w:gridCol w:w="425"/>
        <w:gridCol w:w="425"/>
        <w:gridCol w:w="437"/>
        <w:gridCol w:w="395"/>
        <w:gridCol w:w="395"/>
        <w:gridCol w:w="583"/>
      </w:tblGrid>
      <w:tr>
        <w:trPr/>
        <w:tc>
          <w:tcPr>
            <w:tcW w:w="155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7545" w:type="dxa"/>
            <w:gridSpan w:val="6"/>
            <w:tcBorders>
              <w:top w:val="single" w:sz="16" w:space="0" w:color="000000"/>
              <w:left w:val="single" w:sz="16" w:space="0" w:color="000000"/>
              <w:bottom w:val="single" w:sz="8" w:space="0" w:color="000000"/>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16"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Low</w:t>
            </w:r>
          </w:p>
        </w:tc>
        <w:tc>
          <w:tcPr>
            <w:tcW w:w="1373" w:type="dxa"/>
            <w:gridSpan w:val="3"/>
            <w:tcBorders>
              <w:top w:val="single" w:sz="16" w:space="0" w:color="000000"/>
              <w:left w:val="single" w:sz="8" w:space="0" w:color="000000"/>
              <w:right w:val="single" w:sz="16" w:space="0" w:color="000000"/>
            </w:tcBorders>
            <w:shd w:fill="DBDBDB" w:val="clear"/>
            <w:tcMar>
              <w:top w:w="30" w:type="dxa"/>
              <w:bottom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High</w:t>
            </w:r>
          </w:p>
        </w:tc>
      </w:tr>
      <w:tr>
        <w:trPr/>
        <w:tc>
          <w:tcPr>
            <w:tcW w:w="7545" w:type="dxa"/>
            <w:gridSpan w:val="6"/>
            <w:tcBorders>
              <w:top w:val="single" w:sz="8" w:space="0" w:color="000000"/>
              <w:left w:val="single" w:sz="16"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Estimated Annual Revenue per MW deployed</w:t>
            </w:r>
          </w:p>
        </w:tc>
        <w:tc>
          <w:tcPr>
            <w:tcW w:w="12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$15M</w:t>
            </w:r>
          </w:p>
        </w:tc>
        <w:tc>
          <w:tcPr>
            <w:tcW w:w="1373" w:type="dxa"/>
            <w:gridSpan w:val="3"/>
            <w:tcBorders>
              <w:top w:val="single" w:sz="8" w:space="0" w:color="000000"/>
              <w:left w:val="single" w:sz="8"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$20M</w:t>
            </w:r>
          </w:p>
        </w:tc>
      </w:tr>
      <w:tr>
        <w:trPr/>
        <w:tc>
          <w:tcPr>
            <w:tcW w:w="7545" w:type="dxa"/>
            <w:gridSpan w:val="6"/>
            <w:tcBorders>
              <w:top w:val="single" w:sz="8" w:space="0" w:color="000000"/>
              <w:left w:val="single" w:sz="16"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Estimated Annual Revenue at full 30MW deployment</w:t>
            </w:r>
          </w:p>
        </w:tc>
        <w:tc>
          <w:tcPr>
            <w:tcW w:w="12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$450M</w:t>
            </w:r>
          </w:p>
        </w:tc>
        <w:tc>
          <w:tcPr>
            <w:tcW w:w="1373" w:type="dxa"/>
            <w:gridSpan w:val="3"/>
            <w:tcBorders>
              <w:top w:val="single" w:sz="8" w:space="0" w:color="000000"/>
              <w:left w:val="single" w:sz="8"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$600M</w:t>
            </w:r>
          </w:p>
        </w:tc>
      </w:tr>
      <w:tr>
        <w:trPr/>
        <w:tc>
          <w:tcPr>
            <w:tcW w:w="7545" w:type="dxa"/>
            <w:gridSpan w:val="6"/>
            <w:tcBorders>
              <w:top w:val="single" w:sz="8" w:space="0" w:color="000000"/>
              <w:left w:val="single" w:sz="16"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Anticipated Adj. EBITDA Margin</w:t>
            </w:r>
          </w:p>
        </w:tc>
        <w:tc>
          <w:tcPr>
            <w:tcW w:w="12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50%+</w:t>
            </w:r>
          </w:p>
        </w:tc>
        <w:tc>
          <w:tcPr>
            <w:tcW w:w="1373" w:type="dxa"/>
            <w:gridSpan w:val="3"/>
            <w:tcBorders>
              <w:top w:val="single" w:sz="8" w:space="0" w:color="000000"/>
              <w:left w:val="single" w:sz="8" w:space="0" w:color="000000"/>
              <w:bottom w:val="single" w:sz="8"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50%+</w:t>
            </w:r>
          </w:p>
        </w:tc>
      </w:tr>
      <w:tr>
        <w:trPr/>
        <w:tc>
          <w:tcPr>
            <w:tcW w:w="10205" w:type="dxa"/>
            <w:gridSpan w:val="12"/>
            <w:tcBorders>
              <w:top w:val="single" w:sz="8"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*Estimated revenue and anticipated margin figures are illustrative and subject to variability based on GPU model, deployment mix, and customer contract terms.</w:t>
            </w:r>
          </w:p>
        </w:tc>
      </w:tr>
      <w:tr>
        <w:trPr/>
        <w:tc>
          <w:tcPr>
            <w:tcW w:w="10205" w:type="dxa"/>
            <w:gridSpan w:val="12"/>
            <w:tcBorders>
              <w:left w:val="single" w:sz="16" w:space="0" w:color="000000"/>
              <w:right w:val="single" w:sz="16"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top w:val="single" w:sz="8" w:space="0" w:color="000000"/>
              <w:left w:val="single" w:sz="16"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Exit 2026</w:t>
            </w:r>
          </w:p>
        </w:tc>
        <w:tc>
          <w:tcPr>
            <w:tcW w:w="128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Exit 2027</w:t>
            </w:r>
          </w:p>
        </w:tc>
        <w:tc>
          <w:tcPr>
            <w:tcW w:w="1373" w:type="dxa"/>
            <w:gridSpan w:val="3"/>
            <w:tcBorders>
              <w:top w:val="single" w:sz="8" w:space="0" w:color="000000"/>
              <w:left w:val="single" w:sz="8" w:space="0" w:color="000000"/>
              <w:right w:val="single" w:sz="16" w:space="0" w:color="000000"/>
            </w:tcBorders>
            <w:shd w:fill="DBDBDB" w:val="clear"/>
            <w:tcMar>
              <w:top w:w="30" w:type="dxa"/>
              <w:bottom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Exit 2028</w:t>
            </w:r>
          </w:p>
        </w:tc>
      </w:tr>
      <w:tr>
        <w:trPr/>
        <w:tc>
          <w:tcPr>
            <w:tcW w:w="3931" w:type="dxa"/>
            <w:gridSpan w:val="3"/>
            <w:tcBorders>
              <w:top w:val="single" w:sz="8"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Cumulative MW Deployed</w:t>
            </w:r>
          </w:p>
        </w:tc>
        <w:tc>
          <w:tcPr>
            <w:tcW w:w="36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2MW</w:t>
            </w:r>
          </w:p>
        </w:tc>
        <w:tc>
          <w:tcPr>
            <w:tcW w:w="12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15MW</w:t>
            </w:r>
          </w:p>
        </w:tc>
        <w:tc>
          <w:tcPr>
            <w:tcW w:w="1373" w:type="dxa"/>
            <w:gridSpan w:val="3"/>
            <w:tcBorders>
              <w:top w:val="single" w:sz="8" w:space="0" w:color="000000"/>
              <w:left w:val="single" w:sz="8" w:space="0" w:color="000000"/>
              <w:bottom w:val="single" w:sz="8"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30MW</w:t>
            </w:r>
          </w:p>
        </w:tc>
      </w:tr>
      <w:tr>
        <w:trPr/>
        <w:tc>
          <w:tcPr>
            <w:tcW w:w="10205" w:type="dxa"/>
            <w:gridSpan w:val="12"/>
            <w:tcBorders>
              <w:top w:val="single" w:sz="8"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Note: Deployment timelines are subject to customer demand, OEM lead times for GPUs and related hardware, and other factors.</w:t>
            </w:r>
          </w:p>
        </w:tc>
      </w:tr>
    </w:tbl>
    <w:p>
      <w:pPr>
        <w:pStyle w:val="TextBody"/>
        <w:bidi w:val="0"/>
        <w:spacing w:before="0" w:after="0"/>
        <w:jc w:val="left"/>
        <w:rPr/>
      </w:pPr>
      <w:r>
        <w:rPr/>
      </w:r>
    </w:p>
    <w:p>
      <w:pPr>
        <w:pStyle w:val="TextBody"/>
        <w:bidi w:val="0"/>
        <w:spacing w:lineRule="auto" w:line="276"/>
        <w:jc w:val="left"/>
        <w:rPr>
          <w:rFonts w:ascii="sans-serif" w:hAnsi="sans-serif"/>
          <w:b w:val="false"/>
          <w:color w:val="000000"/>
          <w:sz w:val="22"/>
        </w:rPr>
      </w:pPr>
      <w:r>
        <w:rPr>
          <w:rFonts w:ascii="sans-serif" w:hAnsi="sans-serif"/>
          <w:b w:val="false"/>
          <w:color w:val="000000"/>
          <w:sz w:val="22"/>
        </w:rPr>
        <w:t>The strategic intent of our recent partnerships and today’s announced capital raise is to add a new growth vector – Enterprise AI capacity, which is incremental to our core business, not a cannibalization of existing revenues. Although Public Cloud infrastructure resale will continue to decline, we look for core Private Cloud to grow low single digits, driven by the mix shift out of lower-growth, lower-margin revenue and into higher-</w:t>
      </w:r>
    </w:p>
    <w:p>
      <w:pPr>
        <w:pStyle w:val="TextBody"/>
        <w:bidi w:val="0"/>
        <w:spacing w:before="0" w:after="0"/>
        <w:jc w:val="righ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growth, higher-margin revenue. Enterprise AI capacity is a new growth vector that sits on top of our established Private Cloud base, which we expect to enable sustainable growth in Private Cloud.</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Rackspace Investor Call:</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An investor call has been scheduled for July 9, 2026 at 8:30 am ET to provide further remarks by Rackspace Technology's CEO and CFO and to take questions.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Date: 07/09/2026</w: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Start time: 8:30 am EDT</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2"/>
        </w:rPr>
        <w:t xml:space="preserve">To listen to the live webcast or access the replay following the webcast, please visit: </w:t>
      </w:r>
      <w:r>
        <w:rPr>
          <w:rFonts w:ascii="sans-serif" w:hAnsi="sans-serif"/>
          <w:b/>
          <w:color w:val="0000FF"/>
          <w:sz w:val="22"/>
        </w:rPr>
        <w:t>https://edge.media-server.com/mmc/p/y3bgu4wg</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2"/>
        </w:rPr>
        <w:t xml:space="preserve">To obtain a dial-in number, please pre-register at the following link: </w:t>
      </w:r>
      <w:r>
        <w:rPr>
          <w:rFonts w:ascii="sans-serif" w:hAnsi="sans-serif"/>
          <w:b/>
          <w:color w:val="0000FF"/>
          <w:sz w:val="22"/>
        </w:rPr>
        <w:t>https://register-conf.media-server.com/register/BI11a7b0c1c4794392831509be203ec832</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Registrants will receive dial-in information and a PIN allowing them to access the live call.</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About Rackspace Technology</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Rackspace Technology® (NASDAQ: RXT) is the operator of the full enterprise AI stack from governed private cloud to AI inference and agents in production. With an Outcomes-as-a-Service model built on secure infrastructure, data foundations, and forward deployed engineering, Rackspace delivers business results for regulated and mission-critical industries where governance, sovereignty, and uptime are non-negotiable. Learn more at www.rackspace.com.</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2"/>
        </w:rPr>
      </w:pPr>
      <w:r>
        <w:rPr>
          <w:rFonts w:ascii="sans-serif" w:hAnsi="sans-serif"/>
          <w:b w:val="false"/>
          <w:color w:val="000000"/>
          <w:sz w:val="22"/>
        </w:rPr>
        <w:t xml:space="preserve">Rackspace Technology has made statements in this press release and other reports, filings, and other public written and verbal announcements that are forward-looking and therefore subject to risks and uncertainties. All statements, other than statements of historical fact, included in this press release are, or could be, “forward-looking statements” within the meaning of the Private Securities Litigation Reform Act of 1995 and are made in reliance on the safe harbor protections provided thereunder. These forward-looking statements relate to anticipated financial performance, management’s plans and objectives for future operations, business prospects, outcome of regulatory proceedings, market conditions, our expectations regarding our AI strategy and strategic changes we are making at Rackspace, strategic partnerships, GPU infrastructure deployment costs, timing and economics, financing arrangements and capital expenditures, the at-the-market equity offering and expected use of proceeds, anticipated customer demand, our recent workforce realignment and expected cost savings, portfolio optimization initiatives, expected Public Cloud and Private Cloud performance, and our expectations regarding future operating and financial performance, and other matters. These forward-looking statements may not be achieved in full or at all, or may be achieved on a materially different timeline. Any forward-looking statement made in this press release speaks only as of the date on which it is made. We undertake no obligation to publicly update or revise any forward-looking statement, whether as a result of new information, future developments or otherwise, except as may be required by law. Forward-looking statements can be identified by various words such as “expects,” “intends,” “will,” “anticipates,” “believes,” “confident,” “continue,” “propose,” “seeks,” “could,” “may,” “should,” “estimates,” “forecasts,” “might,” “goals,” “objectives,” “targets,” “planned,” “projects,” and similar expressions. In addition, this press release includes preliminary financial results for the second quarter ended June 30, 2026. These preliminary results are based on information available to management as of the date of this press release and are subject to the completion of the Company's financial closing procedures, quarter-end review processes and other developments that may arise between now and the time our financial results for the quarter are finalized. These preliminary results are not a comprehensive statement of the Company’s financial results for the second quarter and should not be viewed as a substitute for full financial statements prepared in accordance with GAAP. These preliminary results are inherently uncertain, have not been audited or reviewed by our independent registered public accounting </w:t>
      </w:r>
    </w:p>
    <w:p>
      <w:pPr>
        <w:pStyle w:val="TextBody"/>
        <w:bidi w:val="0"/>
        <w:spacing w:before="0" w:after="0"/>
        <w:jc w:val="righ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firm, and may differ, including materially, from the financial results that will be reported in our Quarterly Report on Form 10-Q for the quarter ended June 30,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All forward-looking statements are based on management’s current beliefs and assumptions and on information currently available. Rackspace Technology cautions that these statements are subject to risks and uncertainties, many of which are outside of our control, and could cause future events or results to be materially different from those stated or implied in this press release, including among others, risk factors that are described in Rackspace Technology, Inc.’s Annual Reports on Form 10-K, Quarterly Reports on Form 10-Q, Current Reports on Form 8-K, registration statements and other filings with the Securities and Exchange Commission, including the sections entitled “Risk Factors” and “Management’s Discussion and Analysis of Financial Condition and Results of Operations” contained therein.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Contacts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Investor Relations Contact: Sagar Hebbar, ir@rackspace.com</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2"/>
        </w:rPr>
      </w:pPr>
      <w:r>
        <w:rPr>
          <w:rFonts w:ascii="sans-serif" w:hAnsi="sans-serif"/>
          <w:b w:val="false"/>
          <w:color w:val="000000"/>
          <w:sz w:val="22"/>
        </w:rPr>
        <w:t xml:space="preserve">Media Contact: Will Link, rackspace@stantonpr.com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(Unaudited)</w:t>
      </w:r>
    </w:p>
    <w:p>
      <w:pPr>
        <w:pStyle w:val="TextBody"/>
        <w:bidi w:val="0"/>
        <w:spacing w:before="0" w:after="0"/>
        <w:jc w:val="center"/>
        <w:rPr/>
      </w:pPr>
      <w:r>
        <w:rPr/>
      </w:r>
    </w:p>
    <w:p>
      <w:pPr>
        <w:pStyle w:val="TextBody"/>
        <w:bidi w:val="0"/>
        <w:spacing w:lineRule="auto" w:line="288" w:before="0" w:after="0"/>
        <w:jc w:val="left"/>
        <w:rPr>
          <w:rFonts w:ascii="sans-serif" w:hAnsi="sans-serif"/>
          <w:b/>
          <w:i/>
          <w:color w:val="000000"/>
          <w:sz w:val="22"/>
        </w:rPr>
      </w:pPr>
      <w:r>
        <w:rPr>
          <w:rFonts w:ascii="sans-serif" w:hAnsi="sans-serif"/>
          <w:b/>
          <w:i/>
          <w:color w:val="000000"/>
          <w:sz w:val="22"/>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This press release includes several non-GAAP financial measures such as Non-GAAP Net Income (Loss), Non-GAAP Operating Profit, Adjusted EBITDA and Non-GAAP Earnings (Loss) Per Share. These non-GAAP financial measures exclude the impact of certain costs, losses and gains that are required to be included in our profit and loss measures under GAAP. Although we believe these measures are useful to investors and analysts for the same reasons they are useful to management, as described in the accompanying pages, these measures are not a substitute for, or superior to, GAAP financial measures or disclosures. Other companies may calculate similarly-titled non-GAAP measures differently, limiting their usefulness as comparative measures. We have reconciled each of these non-GAAP measures to the applicable most comparable GAAP measure in the accompanying pages.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Non-GAAP Operating Profit and Adjusted EBITDA are management's principal metrics for measuring our underlying financial performance.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shd w:fill="FFFFFF" w:val="clear"/>
        </w:rPr>
        <w:t>In the future we may incur expenses or charges such as those adde</w:t>
      </w:r>
      <w:r>
        <w:rPr>
          <w:rFonts w:ascii="sans-serif" w:hAnsi="sans-serif"/>
          <w:b w:val="false"/>
          <w:color w:val="000000"/>
          <w:sz w:val="22"/>
        </w:rPr>
        <w:t xml:space="preserve">d back to calculate Non-GAAP Net Income (Loss), </w:t>
      </w:r>
      <w:r>
        <w:rPr>
          <w:rFonts w:ascii="sans-serif" w:hAnsi="sans-serif"/>
          <w:b w:val="false"/>
          <w:color w:val="000000"/>
          <w:sz w:val="22"/>
          <w:shd w:fill="FFFFFF" w:val="clear"/>
        </w:rPr>
        <w:t>Non-GAAP Operating Profit or Adjusted EBITDA</w:t>
      </w:r>
      <w:r>
        <w:rPr>
          <w:rFonts w:ascii="sans-serif" w:hAnsi="sans-serif"/>
          <w:b w:val="false"/>
          <w:color w:val="000000"/>
          <w:sz w:val="22"/>
        </w:rPr>
        <w:t xml:space="preserve">. Our presentation of Non-GAAP Net Income (Loss), </w:t>
      </w:r>
      <w:r>
        <w:rPr>
          <w:rFonts w:ascii="sans-serif" w:hAnsi="sans-serif"/>
          <w:b w:val="false"/>
          <w:color w:val="000000"/>
          <w:sz w:val="22"/>
          <w:shd w:fill="FFFFFF" w:val="clear"/>
        </w:rPr>
        <w:t xml:space="preserve">Non-GAAP Operating Profit and Adjusted EBITDA </w:t>
      </w:r>
      <w:r>
        <w:rPr>
          <w:rFonts w:ascii="sans-serif" w:hAnsi="sans-serif"/>
          <w:b w:val="false"/>
          <w:color w:val="000000"/>
          <w:sz w:val="22"/>
        </w:rPr>
        <w:t>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2273"/>
        <w:gridCol w:w="1945"/>
        <w:gridCol w:w="1963"/>
        <w:gridCol w:w="467"/>
        <w:gridCol w:w="998"/>
        <w:gridCol w:w="212"/>
        <w:gridCol w:w="184"/>
        <w:gridCol w:w="184"/>
        <w:gridCol w:w="184"/>
        <w:gridCol w:w="473"/>
        <w:gridCol w:w="1010"/>
        <w:gridCol w:w="312"/>
      </w:tblGrid>
      <w:tr>
        <w:trPr/>
        <w:tc>
          <w:tcPr>
            <w:tcW w:w="2273"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 2026</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 millions)</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Low (Estimated)</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High (Estimated)</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w:t>
            </w:r>
          </w:p>
        </w:tc>
        <w:tc>
          <w:tcPr>
            <w:tcW w:w="3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Transaction-related adjustments, net </w:t>
            </w:r>
            <w:r>
              <w:rPr>
                <w:rFonts w:ascii="sans-serif" w:hAnsi="sans-serif"/>
                <w:b w:val="false"/>
                <w:color w:val="000000"/>
                <w:sz w:val="12"/>
              </w:rPr>
              <w:t>(a)</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Restructuring and transformation expenses </w:t>
            </w:r>
            <w:r>
              <w:rPr>
                <w:rFonts w:ascii="sans-serif" w:hAnsi="sans-serif"/>
                <w:b w:val="false"/>
                <w:color w:val="000000"/>
                <w:sz w:val="12"/>
              </w:rPr>
              <w:t>(b)</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Net (gain) loss on divestiture and investments</w:t>
            </w:r>
            <w:r>
              <w:rPr>
                <w:color w:val="000000"/>
              </w:rPr>
              <w:t xml:space="preserve"> </w:t>
            </w:r>
            <w:r>
              <w:rPr>
                <w:rFonts w:ascii="sans-serif" w:hAnsi="sans-serif"/>
                <w:b w:val="false"/>
                <w:color w:val="000000"/>
                <w:sz w:val="12"/>
              </w:rPr>
              <w:t>(c)</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debt extinguishment</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Interest expense impact from the March 2024 Refinancing Transactions </w:t>
            </w:r>
            <w:r>
              <w:rPr>
                <w:rFonts w:ascii="sans-serif" w:hAnsi="sans-serif"/>
                <w:b w:val="false"/>
                <w:color w:val="000000"/>
                <w:sz w:val="12"/>
              </w:rPr>
              <w:t>(d)</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Other adjustments </w:t>
            </w:r>
            <w:r>
              <w:rPr>
                <w:rFonts w:ascii="sans-serif" w:hAnsi="sans-serif"/>
                <w:b w:val="false"/>
                <w:color w:val="000000"/>
                <w:sz w:val="12"/>
              </w:rPr>
              <w:t>(e)</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Amortization of intangible assets </w:t>
            </w:r>
            <w:r>
              <w:rPr>
                <w:rFonts w:ascii="sans-serif" w:hAnsi="sans-serif"/>
                <w:b w:val="false"/>
                <w:color w:val="000000"/>
                <w:sz w:val="12"/>
              </w:rPr>
              <w:t>(f)</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Tax effect of non-GAAP adjustments </w:t>
            </w:r>
            <w:r>
              <w:rPr>
                <w:rFonts w:ascii="sans-serif" w:hAnsi="sans-serif"/>
                <w:b w:val="false"/>
                <w:color w:val="000000"/>
                <w:sz w:val="12"/>
              </w:rPr>
              <w:t>(g)</w:t>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Non-GAAP Net Loss</w:t>
            </w:r>
          </w:p>
        </w:tc>
        <w:tc>
          <w:tcPr>
            <w:tcW w:w="4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w:t>
            </w:r>
          </w:p>
        </w:tc>
        <w:tc>
          <w:tcPr>
            <w:tcW w:w="3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Loss from operations reconciliation to Non-GAAP Operating Profit</w:t>
      </w:r>
    </w:p>
    <w:tbl>
      <w:tblPr>
        <w:tblW w:w="8509" w:type="dxa"/>
        <w:jc w:val="left"/>
        <w:tblInd w:w="0" w:type="dxa"/>
        <w:tblLayout w:type="fixed"/>
        <w:tblCellMar>
          <w:top w:w="28" w:type="dxa"/>
          <w:left w:w="28" w:type="dxa"/>
          <w:bottom w:w="28" w:type="dxa"/>
          <w:right w:w="28" w:type="dxa"/>
        </w:tblCellMar>
      </w:tblPr>
      <w:tblGrid>
        <w:gridCol w:w="1550"/>
        <w:gridCol w:w="1367"/>
        <w:gridCol w:w="1372"/>
        <w:gridCol w:w="477"/>
        <w:gridCol w:w="1048"/>
        <w:gridCol w:w="229"/>
        <w:gridCol w:w="197"/>
        <w:gridCol w:w="197"/>
        <w:gridCol w:w="197"/>
        <w:gridCol w:w="484"/>
        <w:gridCol w:w="1062"/>
        <w:gridCol w:w="329"/>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 2026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 millions)</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Low (Estimated)</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High (Estimated)</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from operations</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Transaction-related adjustments, net </w:t>
            </w:r>
            <w:r>
              <w:rPr>
                <w:rFonts w:ascii="sans-serif" w:hAnsi="sans-serif"/>
                <w:b w:val="false"/>
                <w:color w:val="000000"/>
                <w:sz w:val="12"/>
              </w:rPr>
              <w:t>(a)</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Restructuring and transformation expenses </w:t>
            </w:r>
            <w:r>
              <w:rPr>
                <w:rFonts w:ascii="sans-serif" w:hAnsi="sans-serif"/>
                <w:b w:val="false"/>
                <w:color w:val="000000"/>
                <w:sz w:val="12"/>
              </w:rPr>
              <w:t>(b)</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Amortization of intangible assets </w:t>
            </w:r>
            <w:r>
              <w:rPr>
                <w:rFonts w:ascii="sans-serif" w:hAnsi="sans-serif"/>
                <w:b w:val="false"/>
                <w:color w:val="000000"/>
                <w:sz w:val="12"/>
              </w:rPr>
              <w:t>(f)</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Non-GAAP Operating Profit</w:t>
            </w:r>
          </w:p>
        </w:tc>
        <w:tc>
          <w:tcPr>
            <w:tcW w:w="4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23 </w:t>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Net loss reconciliation to Adjusted EBITDA</w:t>
      </w:r>
    </w:p>
    <w:tbl>
      <w:tblPr>
        <w:tblW w:w="8734" w:type="dxa"/>
        <w:jc w:val="left"/>
        <w:tblInd w:w="0" w:type="dxa"/>
        <w:tblLayout w:type="fixed"/>
        <w:tblCellMar>
          <w:top w:w="28" w:type="dxa"/>
          <w:left w:w="28" w:type="dxa"/>
          <w:bottom w:w="28" w:type="dxa"/>
          <w:right w:w="28" w:type="dxa"/>
        </w:tblCellMar>
      </w:tblPr>
      <w:tblGrid>
        <w:gridCol w:w="1630"/>
        <w:gridCol w:w="1435"/>
        <w:gridCol w:w="1449"/>
        <w:gridCol w:w="477"/>
        <w:gridCol w:w="1048"/>
        <w:gridCol w:w="229"/>
        <w:gridCol w:w="197"/>
        <w:gridCol w:w="197"/>
        <w:gridCol w:w="197"/>
        <w:gridCol w:w="484"/>
        <w:gridCol w:w="1062"/>
        <w:gridCol w:w="329"/>
      </w:tblGrid>
      <w:tr>
        <w:trPr/>
        <w:tc>
          <w:tcPr>
            <w:tcW w:w="16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 2026</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 millions)</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Low (Estimated)</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High (Estimated)</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Share-based compensation expense</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Transaction-related adjustments, net </w:t>
            </w:r>
            <w:r>
              <w:rPr>
                <w:rFonts w:ascii="sans-serif" w:hAnsi="sans-serif"/>
                <w:b w:val="false"/>
                <w:color w:val="000000"/>
                <w:sz w:val="12"/>
              </w:rPr>
              <w:t>(a)</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Restructuring and transformation expenses </w:t>
            </w:r>
            <w:r>
              <w:rPr>
                <w:rFonts w:ascii="sans-serif" w:hAnsi="sans-serif"/>
                <w:b w:val="false"/>
                <w:color w:val="000000"/>
                <w:sz w:val="12"/>
              </w:rPr>
              <w:t>(b)</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Net (gain) loss on divestiture and investments</w:t>
            </w:r>
            <w:r>
              <w:rPr>
                <w:color w:val="000000"/>
              </w:rPr>
              <w:t xml:space="preserve"> </w:t>
            </w:r>
            <w:r>
              <w:rPr>
                <w:rFonts w:ascii="sans-serif" w:hAnsi="sans-serif"/>
                <w:b w:val="false"/>
                <w:color w:val="000000"/>
                <w:sz w:val="12"/>
              </w:rPr>
              <w:t>(c)</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debt extinguishment</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Other expense, net </w:t>
            </w:r>
            <w:r>
              <w:rPr>
                <w:rFonts w:ascii="sans-serif" w:hAnsi="sans-serif"/>
                <w:b w:val="false"/>
                <w:color w:val="000000"/>
                <w:sz w:val="12"/>
              </w:rPr>
              <w:t>(h)</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Depreciation and amortization </w:t>
            </w:r>
            <w:r>
              <w:rPr>
                <w:rFonts w:ascii="sans-serif" w:hAnsi="sans-serif"/>
                <w:b w:val="false"/>
                <w:color w:val="000000"/>
                <w:sz w:val="12"/>
              </w:rPr>
              <w:t>(i)</w:t>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w:t>
            </w:r>
          </w:p>
        </w:tc>
        <w:tc>
          <w:tcPr>
            <w:tcW w:w="4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62 </w:t>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
        <w:gridCol w:w="110"/>
        <w:gridCol w:w="110"/>
        <w:gridCol w:w="2982"/>
        <w:gridCol w:w="2844"/>
        <w:gridCol w:w="403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3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Includes purchase accounting adjustments, exploratory acquisition and divestiture costs, and expenses related to financing activities.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Includes gains and losses on investment and from dispositions.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 xml:space="preserve">Primarily consists of foreign currency gains and losses.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w:t>
            </w:r>
          </w:p>
        </w:tc>
        <w:tc>
          <w:tcPr>
            <w:tcW w:w="98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All of our intangible assets are attributable to acquisitions, including the November 2016 merger.</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2026 interim periods, we based it on an average of the 2025 and estimated 2026 tax rates, recomputed to remove the tax effect of non-GAAP pre-tax adjustments and non-recurring tax adjustments, resulting in a structural non-GAAP tax rate of 26%.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(h)</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Primarily consists of foreign currency gains and losses and expense related to our accounts receivable purchase agreement.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w:t>
            </w:r>
          </w:p>
        </w:tc>
        <w:tc>
          <w:tcPr>
            <w:tcW w:w="9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Excludes accelerated depreciation expense related to facility closures.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w:t>
      </w:r>
    </w:p>
    <w:p>
      <w:pPr>
        <w:pStyle w:val="TextBody"/>
        <w:bidi w:val="0"/>
        <w:spacing w:before="0" w:after="0"/>
        <w:jc w:val="left"/>
        <w:rPr/>
      </w:pPr>
      <w:r>
        <w:rPr/>
      </w:r>
    </w:p>
    <w:tbl>
      <w:tblPr>
        <w:tblW w:w="9624" w:type="dxa"/>
        <w:jc w:val="left"/>
        <w:tblInd w:w="0" w:type="dxa"/>
        <w:tblLayout w:type="fixed"/>
        <w:tblCellMar>
          <w:top w:w="28" w:type="dxa"/>
          <w:left w:w="28" w:type="dxa"/>
          <w:bottom w:w="28" w:type="dxa"/>
          <w:right w:w="28" w:type="dxa"/>
        </w:tblCellMar>
      </w:tblPr>
      <w:tblGrid>
        <w:gridCol w:w="1988"/>
        <w:gridCol w:w="1744"/>
        <w:gridCol w:w="1758"/>
        <w:gridCol w:w="392"/>
        <w:gridCol w:w="1174"/>
        <w:gridCol w:w="189"/>
        <w:gridCol w:w="168"/>
        <w:gridCol w:w="168"/>
        <w:gridCol w:w="168"/>
        <w:gridCol w:w="401"/>
        <w:gridCol w:w="1201"/>
        <w:gridCol w:w="273"/>
      </w:tblGrid>
      <w:tr>
        <w:trPr/>
        <w:tc>
          <w:tcPr>
            <w:tcW w:w="198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June 30, 2026</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(In millions, except per share amounts)</w:t>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Low (Estimated)</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High (Estimated)</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attributable to common stockholders</w:t>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Non-GAAP Net Loss</w:t>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 average number of shares - Diluted</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Effect of dilutive securities </w:t>
            </w:r>
            <w:r>
              <w:rPr>
                <w:rFonts w:ascii="sans-serif" w:hAnsi="sans-serif"/>
                <w:b w:val="false"/>
                <w:color w:val="000000"/>
                <w:sz w:val="12"/>
              </w:rPr>
              <w:t>(a)</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Non-GAAP weighted average number of shares - Diluted</w:t>
            </w:r>
          </w:p>
        </w:tc>
        <w:tc>
          <w:tcPr>
            <w:tcW w:w="1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264 </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per share - Diluted</w:t>
            </w:r>
          </w:p>
        </w:tc>
        <w:tc>
          <w:tcPr>
            <w:tcW w:w="392"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7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(0.36)</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Per share impacts of adjustments to net loss </w:t>
            </w:r>
            <w:r>
              <w:rPr>
                <w:rFonts w:ascii="sans-serif" w:hAnsi="sans-serif"/>
                <w:b w:val="false"/>
                <w:color w:val="000000"/>
                <w:sz w:val="12"/>
              </w:rPr>
              <w:t>(b)</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0.16 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 xml:space="preserve">Per share impacts of shares after adjustments to net loss </w:t>
            </w:r>
            <w:r>
              <w:rPr>
                <w:rFonts w:ascii="sans-serif" w:hAnsi="sans-serif"/>
                <w:b w:val="false"/>
                <w:color w:val="000000"/>
                <w:sz w:val="12"/>
              </w:rPr>
              <w:t>(a)</w:t>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0.01 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Non-GAAP Loss Per Share</w:t>
            </w:r>
          </w:p>
        </w:tc>
        <w:tc>
          <w:tcPr>
            <w:tcW w:w="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6"/>
        <w:gridCol w:w="110"/>
        <w:gridCol w:w="110"/>
        <w:gridCol w:w="2885"/>
        <w:gridCol w:w="2885"/>
        <w:gridCol w:w="4089"/>
      </w:tblGrid>
      <w:tr>
        <w:trPr/>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w:t>
            </w:r>
          </w:p>
        </w:tc>
        <w:tc>
          <w:tcPr>
            <w:tcW w:w="98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 xml:space="preserve">Potential common share equivalents consist of shares issuable upon the exercise of stock options, vesting of restricted stock units (including performance-based restricted stock units) or purchases under the Employee Stock Purchase Plan as well as contingent shares associated with our acquisition of Datapipe Parent, Inc. Certain of our potential common share equivalents are contingent on certain investment funds managed by affiliates of Apollo Global Management, Inc. achieving pre-established performance targets based on a multiple of their invested capital, which are included in the denominator for the entire period if such shares would be issuable as of the end of the reporting period assuming the end of the reporting period was the end of the contingency period. </w:t>
            </w:r>
          </w:p>
        </w:tc>
      </w:tr>
      <w:tr>
        <w:trPr/>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w:t>
            </w:r>
          </w:p>
        </w:tc>
        <w:tc>
          <w:tcPr>
            <w:tcW w:w="98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18"/>
              </w:rPr>
            </w:pPr>
            <w:r>
              <w:rPr>
                <w:rFonts w:ascii="sans-serif" w:hAnsi="sans-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4" name="Frame2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Georgia">
    <w:altName w:val="serif"/>
    <w:charset w:val="01"/>
    <w:family w:val="auto"/>
    <w:pitch w:val="default"/>
  </w:font>
  <w:font w:name="Segoe UI">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239</Pages>
  <Words>114985</Words>
  <Characters>611956</Characters>
  <CharactersWithSpaces>728220</CharactersWithSpaces>
  <Paragraphs>2493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