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37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81-3369925</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(I.R.S. Employer Identification No.)</w:t>
      </w:r>
    </w:p>
    <w:p>
      <w:pPr>
        <w:spacing w:after="0" w:line="112" w:lineRule="exact"/>
        <w:rPr>
          <w:sz w:val="24"/>
          <w:szCs w:val="24"/>
          <w:color w:val="auto"/>
        </w:rPr>
      </w:pPr>
    </w:p>
    <w:p>
      <w:pPr>
        <w:sectPr>
          <w:pgSz w:w="11900" w:h="16838" w:orient="portrait"/>
          <w:cols w:equalWidth="0" w:num="2">
            <w:col w:w="6680" w:space="720"/>
            <w:col w:w="3840"/>
          </w:cols>
          <w:pgMar w:left="320" w:top="127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1-800-961-4454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2"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1" w:name="page2"/>
    <w:bookmarkEnd w:id="1"/>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3"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May 4, 2023, 215,079,988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50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20" w:type="dxa"/>
            <w:vAlign w:val="bottom"/>
            <w:tcBorders>
              <w:bottom w:val="single" w:sz="8" w:color="0000FF"/>
            </w:tcBorders>
            <w:gridSpan w:val="9"/>
          </w:tcPr>
          <w:p>
            <w:pPr>
              <w:spacing w:after="0" w:line="190" w:lineRule="exact"/>
              <w:rPr>
                <w:sz w:val="20"/>
                <w:szCs w:val="20"/>
                <w:color w:val="auto"/>
              </w:rPr>
            </w:pPr>
            <w:r>
              <w:rPr>
                <w:rFonts w:ascii="Arial" w:cs="Arial" w:eastAsia="Arial" w:hAnsi="Arial"/>
                <w:sz w:val="18"/>
                <w:szCs w:val="18"/>
                <w:color w:val="0000FF"/>
                <w:w w:val="89"/>
              </w:rPr>
              <w:t>Unaudited Consolidated Balance Sheets as of December 31, 2022 and March 31, 2023</w:t>
            </w:r>
          </w:p>
        </w:tc>
        <w:tc>
          <w:tcPr>
            <w:tcW w:w="3160" w:type="dxa"/>
            <w:vAlign w:val="bottom"/>
            <w:gridSpan w:val="5"/>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0" w:lineRule="exact"/>
              <w:rPr>
                <w:sz w:val="20"/>
                <w:szCs w:val="20"/>
                <w:color w:val="auto"/>
              </w:rPr>
            </w:pPr>
            <w:r>
              <w:rPr>
                <w:rFonts w:ascii="Arial" w:cs="Arial" w:eastAsia="Arial" w:hAnsi="Arial"/>
                <w:sz w:val="18"/>
                <w:szCs w:val="18"/>
                <w:color w:val="0000FF"/>
                <w:w w:val="99"/>
              </w:rPr>
              <w:t>3</w:t>
            </w:r>
          </w:p>
        </w:tc>
        <w:tc>
          <w:tcPr>
            <w:tcW w:w="3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0000FF"/>
                <w:w w:val="92"/>
              </w:rPr>
              <w:t>Unaudited Consolidated Statements of Comprehensive Income (Loss) for the Three Months Ended March 31, 2022 and March</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0000FF"/>
                <w:w w:val="99"/>
              </w:rPr>
              <w:t>4</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31, 2023</w:t>
            </w: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0000FF"/>
              </w:rPr>
              <w:t>Unaudited Consolidated Statements of Cash Flows for the Three Months Ended March 31, 2022 and March 31, 2023</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0000FF"/>
                <w:w w:val="99"/>
              </w:rPr>
              <w:t>5</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Unaudited Consolidated Statements of Stockholders' Equity for the Three Months Ended March 31, 2022 and March 31, 2023</w:t>
            </w:r>
          </w:p>
        </w:tc>
        <w:tc>
          <w:tcPr>
            <w:tcW w:w="3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14"/>
          </w:tcPr>
          <w:p>
            <w:pPr>
              <w:spacing w:after="0"/>
              <w:rPr>
                <w:sz w:val="20"/>
                <w:szCs w:val="20"/>
                <w:color w:val="auto"/>
              </w:rPr>
            </w:pPr>
            <w:r>
              <w:rPr>
                <w:rFonts w:ascii="Arial" w:cs="Arial" w:eastAsia="Arial" w:hAnsi="Arial"/>
                <w:sz w:val="18"/>
                <w:szCs w:val="18"/>
                <w:color w:val="0000FF"/>
              </w:rPr>
              <w:t>Notes to the Unaudited Consolidated Financial Statements</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0000FF"/>
                <w:w w:val="99"/>
              </w:rPr>
              <w:t>8</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40" w:type="dxa"/>
            <w:vAlign w:val="bottom"/>
            <w:gridSpan w:val="4"/>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27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8"/>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2"/>
          </w:tcPr>
          <w:p>
            <w:pPr>
              <w:spacing w:after="0"/>
              <w:rPr>
                <w:sz w:val="18"/>
                <w:szCs w:val="18"/>
                <w:color w:val="auto"/>
              </w:rPr>
            </w:pPr>
          </w:p>
        </w:tc>
        <w:tc>
          <w:tcPr>
            <w:tcW w:w="2940" w:type="dxa"/>
            <w:vAlign w:val="bottom"/>
            <w:gridSpan w:val="4"/>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47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5040" w:type="dxa"/>
            <w:vAlign w:val="bottom"/>
            <w:gridSpan w:val="6"/>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48</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50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380" w:type="dxa"/>
            <w:vAlign w:val="bottom"/>
            <w:gridSpan w:val="14"/>
          </w:tcPr>
          <w:p>
            <w:pPr>
              <w:spacing w:after="0" w:line="190" w:lineRule="exact"/>
              <w:rPr>
                <w:sz w:val="20"/>
                <w:szCs w:val="20"/>
                <w:color w:val="auto"/>
              </w:rPr>
            </w:pPr>
            <w:r>
              <w:rPr>
                <w:rFonts w:ascii="Arial" w:cs="Arial" w:eastAsia="Arial" w:hAnsi="Arial"/>
                <w:sz w:val="18"/>
                <w:szCs w:val="18"/>
                <w:color w:val="0000FF"/>
              </w:rPr>
              <w:t>Legal Proceedings</w:t>
            </w:r>
          </w:p>
        </w:tc>
        <w:tc>
          <w:tcPr>
            <w:tcW w:w="400" w:type="dxa"/>
            <w:vAlign w:val="bottom"/>
            <w:gridSpan w:val="2"/>
          </w:tcPr>
          <w:p>
            <w:pPr>
              <w:jc w:val="center"/>
              <w:ind w:left="130"/>
              <w:spacing w:after="0" w:line="190" w:lineRule="exact"/>
              <w:rPr>
                <w:sz w:val="20"/>
                <w:szCs w:val="20"/>
                <w:color w:val="auto"/>
              </w:rPr>
            </w:pPr>
            <w:r>
              <w:rPr>
                <w:rFonts w:ascii="Arial" w:cs="Arial" w:eastAsia="Arial" w:hAnsi="Arial"/>
                <w:sz w:val="18"/>
                <w:szCs w:val="18"/>
                <w:color w:val="0000FF"/>
                <w:w w:val="89"/>
              </w:rPr>
              <w:t>49</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tcPr>
          <w:p>
            <w:pPr>
              <w:spacing w:after="0"/>
              <w:rPr>
                <w:sz w:val="18"/>
                <w:szCs w:val="18"/>
                <w:color w:val="auto"/>
              </w:rPr>
            </w:pPr>
          </w:p>
        </w:tc>
        <w:tc>
          <w:tcPr>
            <w:tcW w:w="8080" w:type="dxa"/>
            <w:vAlign w:val="bottom"/>
            <w:gridSpan w:val="10"/>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49</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8"/>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5040" w:type="dxa"/>
            <w:vAlign w:val="bottom"/>
            <w:gridSpan w:val="6"/>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49</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6"/>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gridSpan w:val="2"/>
          </w:tcPr>
          <w:p>
            <w:pPr>
              <w:spacing w:after="0"/>
              <w:rPr>
                <w:sz w:val="18"/>
                <w:szCs w:val="18"/>
                <w:color w:val="auto"/>
              </w:rPr>
            </w:pPr>
          </w:p>
        </w:tc>
        <w:tc>
          <w:tcPr>
            <w:tcW w:w="5040" w:type="dxa"/>
            <w:vAlign w:val="bottom"/>
            <w:gridSpan w:val="6"/>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49</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rPr>
                <w:sz w:val="20"/>
                <w:szCs w:val="20"/>
                <w:color w:val="auto"/>
              </w:rPr>
            </w:pPr>
            <w:r>
              <w:rPr>
                <w:rFonts w:ascii="Arial" w:cs="Arial" w:eastAsia="Arial" w:hAnsi="Arial"/>
                <w:sz w:val="18"/>
                <w:szCs w:val="18"/>
                <w:color w:val="0000FF"/>
              </w:rPr>
              <w:t>Mine Safety Disclosures</w:t>
            </w:r>
          </w:p>
        </w:tc>
        <w:tc>
          <w:tcPr>
            <w:tcW w:w="7060" w:type="dxa"/>
            <w:vAlign w:val="bottom"/>
            <w:gridSpan w:val="8"/>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49</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sz w:val="20"/>
                <w:szCs w:val="20"/>
                <w:color w:val="auto"/>
              </w:rPr>
            </w:pPr>
            <w:r>
              <w:rPr>
                <w:rFonts w:ascii="Arial" w:cs="Arial" w:eastAsia="Arial" w:hAnsi="Arial"/>
                <w:sz w:val="18"/>
                <w:szCs w:val="18"/>
                <w:color w:val="0000FF"/>
              </w:rPr>
              <w:t>Other Information</w:t>
            </w:r>
          </w:p>
        </w:tc>
        <w:tc>
          <w:tcPr>
            <w:tcW w:w="7620" w:type="dxa"/>
            <w:vAlign w:val="bottom"/>
            <w:gridSpan w:val="9"/>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50</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3"/>
          </w:tcPr>
          <w:p>
            <w:pPr>
              <w:spacing w:after="0"/>
              <w:rPr>
                <w:sz w:val="18"/>
                <w:szCs w:val="18"/>
                <w:color w:val="auto"/>
              </w:rPr>
            </w:pPr>
          </w:p>
        </w:tc>
        <w:tc>
          <w:tcPr>
            <w:tcW w:w="8080" w:type="dxa"/>
            <w:vAlign w:val="bottom"/>
            <w:gridSpan w:val="10"/>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51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52</w:t>
            </w:r>
          </w:p>
        </w:tc>
        <w:tc>
          <w:tcPr>
            <w:tcW w:w="320" w:type="dxa"/>
            <w:vAlign w:val="bottom"/>
          </w:tcPr>
          <w:p>
            <w:pPr>
              <w:spacing w:after="0"/>
              <w:rPr>
                <w:sz w:val="24"/>
                <w:szCs w:val="24"/>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Quarterly Report on Form 10-Q for the quarterly period ended March 31, 2023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44" w:lineRule="auto"/>
        <w:rPr>
          <w:sz w:val="20"/>
          <w:szCs w:val="20"/>
          <w:color w:val="auto"/>
        </w:rPr>
      </w:pPr>
      <w:r>
        <w:rPr>
          <w:rFonts w:ascii="Arial" w:cs="Arial" w:eastAsia="Arial" w:hAnsi="Arial"/>
          <w:sz w:val="18"/>
          <w:szCs w:val="18"/>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under the heading “Risk Factors” in our Annual Report on Form 10-K for the year ended December 31, 2022.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ind w:right="40" w:firstLine="486"/>
        <w:spacing w:after="0" w:line="250" w:lineRule="auto"/>
        <w:rPr>
          <w:sz w:val="20"/>
          <w:szCs w:val="20"/>
          <w:color w:val="auto"/>
        </w:rPr>
      </w:pPr>
      <w:r>
        <w:rPr>
          <w:rFonts w:ascii="Arial" w:cs="Arial" w:eastAsia="Arial" w:hAnsi="Arial"/>
          <w:sz w:val="17"/>
          <w:szCs w:val="17"/>
          <w:i w:val="1"/>
          <w:iCs w:val="1"/>
          <w:color w:val="auto"/>
        </w:rPr>
        <w:t>“Rackspace,” “Rackspace Technology,” “Fanatical,” “Fanatical Experience,” “Rackspace Fabric,” "Rackspace Data Freedom," "Rackspace Services for VMware Cloud</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and "My Rackspace" are registered or unregistered trademarks of Rackspace US, Inc. in the United States and/or other countries. OpenStack</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Accounts receivable, net of allowance for credit losses and accrued customer credits of $24.6 and $22.3,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969.6</w:t>
            </w: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651.1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1,195.5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4,754.6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790.7</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4,730.2</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Common stock, $0.01 par value per share: 1,495.0 shares authorized; 215.7 and 218.1 shares issued; 212.6 and 215.0</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2,573.3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2,588.0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(2,598.4)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3.1 shares held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4,754.6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13"/>
        </w:trPr>
        <w:tc>
          <w:tcPr>
            <w:tcW w:w="79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0" w:type="dxa"/>
            <w:vAlign w:val="bottom"/>
          </w:tcPr>
          <w:p>
            <w:pPr>
              <w:spacing w:after="0"/>
              <w:rPr>
                <w:sz w:val="1"/>
                <w:szCs w:val="1"/>
                <w:color w:val="auto"/>
              </w:rPr>
            </w:pPr>
          </w:p>
        </w:tc>
      </w:tr>
      <w:tr>
        <w:trPr>
          <w:trHeight w:val="207"/>
        </w:trPr>
        <w:tc>
          <w:tcPr>
            <w:tcW w:w="7940" w:type="dxa"/>
            <w:vAlign w:val="bottom"/>
          </w:tcPr>
          <w:p>
            <w:pPr>
              <w:ind w:left="360"/>
              <w:spacing w:after="0"/>
              <w:rPr>
                <w:sz w:val="20"/>
                <w:szCs w:val="20"/>
                <w:color w:val="auto"/>
              </w:rPr>
            </w:pPr>
            <w:r>
              <w:rPr>
                <w:rFonts w:ascii="Arial" w:cs="Arial" w:eastAsia="Arial" w:hAnsi="Arial"/>
                <w:sz w:val="16"/>
                <w:szCs w:val="16"/>
                <w:color w:val="auto"/>
              </w:rPr>
              <w:t>Income (loss) from operations</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Gain on debt extinguishment</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(loss) on derivative contracts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Amount reclassified from accumulated other comprehensive income (loss) to earnings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7940" w:type="dxa"/>
            <w:vAlign w:val="bottom"/>
          </w:tcPr>
          <w:p>
            <w:pPr>
              <w:ind w:left="480"/>
              <w:spacing w:after="0"/>
              <w:rPr>
                <w:sz w:val="20"/>
                <w:szCs w:val="20"/>
                <w:color w:val="auto"/>
              </w:rPr>
            </w:pPr>
            <w:r>
              <w:rPr>
                <w:rFonts w:ascii="Arial" w:cs="Arial" w:eastAsia="Arial" w:hAnsi="Arial"/>
                <w:sz w:val="16"/>
                <w:szCs w:val="16"/>
                <w:color w:val="auto"/>
              </w:rPr>
              <w:t>Comprehensive income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(612.0)</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543.1</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debt extinguishment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Unrealized loss on derivative contracts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(100.3)</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07"/>
        </w:trPr>
        <w:tc>
          <w:tcPr>
            <w:tcW w:w="7940" w:type="dxa"/>
            <w:vAlign w:val="bottom"/>
          </w:tcPr>
          <w:p>
            <w:pPr>
              <w:ind w:left="480"/>
              <w:spacing w:after="0"/>
              <w:rPr>
                <w:sz w:val="20"/>
                <w:szCs w:val="20"/>
                <w:color w:val="auto"/>
              </w:rPr>
            </w:pPr>
            <w:r>
              <w:rPr>
                <w:rFonts w:ascii="Arial" w:cs="Arial" w:eastAsia="Arial" w:hAnsi="Arial"/>
                <w:sz w:val="16"/>
                <w:szCs w:val="16"/>
                <w:color w:val="auto"/>
              </w:rPr>
              <w:t>Net cash provided by (used in) operating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33"/>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acquired</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employee stock plans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Shares of common stock repurchased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Payments on financing component of interest rate swap</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3"/>
        </w:trPr>
        <w:tc>
          <w:tcPr>
            <w:tcW w:w="79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7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1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231.4</w:t>
            </w:r>
          </w:p>
        </w:tc>
      </w:tr>
      <w:tr>
        <w:trPr>
          <w:trHeight w:val="238"/>
        </w:trPr>
        <w:tc>
          <w:tcPr>
            <w:tcW w:w="7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50.7</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Increase in property, equipment and software accrued in liabilities</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12"/>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r>
    </w:tbl>
    <w:p>
      <w:pPr>
        <w:spacing w:after="0" w:line="37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238"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8"/>
        </w:trPr>
        <w:tc>
          <w:tcPr>
            <w:tcW w:w="7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1"/>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40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Share-based compensation</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Other comprehensive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w w:val="98"/>
              </w:rPr>
              <w:t>Repurchase of common stock</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6"/>
                <w:szCs w:val="16"/>
                <w:color w:val="auto"/>
                <w:w w:val="91"/>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8"/>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91"/>
              </w:rPr>
              <w:t>(4.1)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1"/>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7"/>
        </w:trPr>
        <w:tc>
          <w:tcPr>
            <w:tcW w:w="22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Share-based compensation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expense for equity classified</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awards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(612.0)</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(612.0)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2,588.0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(2,598.4)</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See Note 14, "Segment Reporting" for more information.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unaudited consolidated financial statements include the accounts of Rackspace Technology, Inc. and our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unaudited consolidated financial statements as of March 31, 2023, and for the three months ended March 31, 2022 and 2023, have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accounting principles generally accepted in the United States of America (“GAAP”) for interim financial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information. Accordingly, certain financial information and disclosures required for financial statements prepared under GAAP have been omitted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Securities and Exchange Commission ("SEC") disclosure rules and regulations that permit reduced disclosure for interim</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periods. These unaudited interim consolidated financial statements should be read in conjunction with the audited consolidated financial statements and the related notes thereto included in our Annual Report on Form 10-K for the year ended December 31, 2022 as filed with the SEC on March 16, 2023 ("Annual Report"). The unaudited interim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March 31, 2023, our results of operations, cash flows and stockholders' equity for the three months ended March 31, 2022 and 2023.</w:t>
      </w:r>
    </w:p>
    <w:p>
      <w:pPr>
        <w:spacing w:after="0" w:line="22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results of operations for the three months ended March 31, 2023 are not necessarily indicative of the results of operations to be expected for the year ending December 31, 2023, or for any other interim period, or for any other future year.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a highly leveraged company. As of March 31, 2023, we had $3,331.3 million aggregate principal amount outstanding under the first lien term loan facility (the "Term Loan Facility"), 5.375% Senior Notes due 2028 (the "5.375% Senior Notes"), and 3.50% Senior Secured Notes due 2028 (the “3.50% Senior Secured Notes”). We primarily finance our operations and capital expenditures with internally-generated cash from operations and hardware leases, and if necessary, borrowings under a revolving credit facility (the "Revolving Credit Facility"). As of March 31, 2023, the Revolving Credit Facility provided for up to $375.0 million of borrowings, none of which was drawn as of March 31, 2023. Our primary uses of cash are working capital requirements, debt service requirements and capital expenditures. Based on our current level of operations and available cash and cash equivalents of $174.3 million as of March 31, 2023,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On April 26, 2023, we executed an amendment to our First Lien Credit Agreement to establish Term SOFR as the benchmark rate for determining the applicable interest rate, replacing LIBOR. We also expect to amend our interest rate swap to change the index from three-month LIBOR (subject to a floor of 0.75%) to one-month Term SOFR (subject to a floor of 0.75%).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Estimates</w:t>
      </w:r>
    </w:p>
    <w:p>
      <w:pPr>
        <w:spacing w:after="0" w:line="252"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Our Annual Report includes an additional discussion of the significant accounting policies and estimates used in the preparation of our consolidated financial statements. There were no material changes to our significant accounting policies and estimates during the three months ended March 31, 2023.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Indefinite-Lived Intangible Assets and Long-Lived Assets</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On January 1, 2023, as a result of the reorganization of our business around a two-business unit operating model, we changed our reportable segments to Private Cloud and Public Cloud. Our prior Multicloud segment has been separated into its public and private cloud components and the offerings previously reported in our Apps &amp; Cross Platform segment have been reassigned to either the Public Cloud or Private Cloud segment based on the nature of the offering. Our prior OpenStack Public Cloud segment is included in Private Cloud. As a result of the segment change, we allocated the goodwill of our former Multicloud and Apps &amp; Cross Platform reporting units to the Public Cloud and Private Cloud reporting units based on their relative fair value. OpenStack Public Cloud remains a separate reporting unit for goodwill purposes. Due to the change in our segment reporting and the allocation of goodwill,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$129.3 million in the fourth quarter of 2022 as described in our Annual Report. We reassigned goodwill to the updated reporting units using a relative fair value approach. The results of the quantitative goodwill impairment analysis performed as of January 1, 2023 subsequent to the reorganization indicated an impairment within our Private Cloud reporting unit, and we recorded a non-cash impairment charge of $270.8 million in the first quarter of 2023.</w:t>
      </w:r>
    </w:p>
    <w:p>
      <w:pPr>
        <w:spacing w:after="0" w:line="20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19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two reporting units with goodwill: Public Cloud and Private Cloud. Goodwill allocated to our third reporting unit, OpenStack Public Cloud, was fully impaired during the fourth quarter of 2021.</w:t>
      </w:r>
    </w:p>
    <w:p>
      <w:pPr>
        <w:spacing w:after="0" w:line="20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For the interim quantitative goodwill impairment analyses performed as of January 1, 2023 and March 31, 2023,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regarding revenue growth rates, projected gross profit margins, risk-adjusted discount rates, terminal period growth rates, economic and market trends and other expectations about the anticipated operating results of our reporting units. As part of the goodwill impairment test, we also consider our market capitalization in assessing the reasonableness of the combined fair values estimated for our reporting units, including OpenStack Public Cloud. Goodwill impairment is measured as the excess of a reporting unit’s carrying amount over its fair value, not to exceed the carrying amount of goodwill for that reporting unit.</w:t>
      </w:r>
    </w:p>
    <w:p>
      <w:pPr>
        <w:spacing w:after="0" w:line="193" w:lineRule="exact"/>
        <w:rPr>
          <w:sz w:val="20"/>
          <w:szCs w:val="20"/>
          <w:color w:val="auto"/>
        </w:rPr>
      </w:pPr>
    </w:p>
    <w:p>
      <w:pPr>
        <w:jc w:val="both"/>
        <w:ind w:right="80" w:firstLine="486"/>
        <w:spacing w:after="0" w:line="279" w:lineRule="auto"/>
        <w:rPr>
          <w:sz w:val="20"/>
          <w:szCs w:val="20"/>
          <w:color w:val="auto"/>
        </w:rPr>
      </w:pPr>
      <w:r>
        <w:rPr>
          <w:rFonts w:ascii="Arial" w:cs="Arial" w:eastAsia="Arial" w:hAnsi="Arial"/>
          <w:sz w:val="17"/>
          <w:szCs w:val="17"/>
          <w:color w:val="auto"/>
        </w:rPr>
        <w:t>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Consolidated Statements of Comprehensive Income (Loss) in the first quarter of 2023. As of March 31, 2023, the Public Cloud reporting unit was determined to have a fair value that exceeded its carrying value by approximately 14%.</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5, "Goodwill and Intangible Assets" for more information.</w:t>
      </w:r>
    </w:p>
    <w:p>
      <w:pPr>
        <w:spacing w:after="0" w:line="252"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w:t>
      </w:r>
    </w:p>
    <w:p>
      <w:pPr>
        <w:spacing w:after="0" w:line="21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performed a quantitative assessment of our indefinite-lived intangible asset prior to testing our goodwill for impairment as of January 1, 2023 and March 31, 2023 which did not indicate any impairment of the Rackspace trade name.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fair value determination of our reporting units and our indefinite-lived intangible asset is judgmental in nature and requires the use of significant estimates and assumptions that are sensitive to changes. Assumptions include estimation of the royalty rate,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1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performed recoverability tests of our long-lived assets in conjunction with the goodwill impairment analyses as of January 1, 2023 and March 31, 2023 which did not result in any impairment charges.</w:t>
      </w:r>
    </w:p>
    <w:p>
      <w:pPr>
        <w:spacing w:after="0" w:line="19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 xml:space="preserve">The United Kingdom's Financial Conduct Authority, which regulates the London Interbank Offered Rate ("LIBOR"), announced that it will not compel panel banks to contribute to the overnight 1, 3, 6 and 12 months U.S. dollar LIBOR tenors after June 30, 2023 and all other tenors after December 31, 2021. U.S. dollar LIBOR may be replaced by the Secured Overnight Financing Rate or other benchmark rates over the next several years. In March 2020, the Financial Accounting Standards Board ("FASB") issued Accounting Standards Update ("ASU") No. 2020-04, </w:t>
      </w:r>
      <w:r>
        <w:rPr>
          <w:rFonts w:ascii="Arial" w:cs="Arial" w:eastAsia="Arial" w:hAnsi="Arial"/>
          <w:sz w:val="16"/>
          <w:szCs w:val="16"/>
          <w:i w:val="1"/>
          <w:iCs w:val="1"/>
          <w:color w:val="auto"/>
        </w:rPr>
        <w:t>Reference Rate Reform (ASC 848)</w:t>
      </w:r>
    </w:p>
    <w:p>
      <w:pPr>
        <w:spacing w:after="0" w:line="1" w:lineRule="exact"/>
        <w:rPr>
          <w:sz w:val="20"/>
          <w:szCs w:val="20"/>
          <w:color w:val="auto"/>
        </w:rPr>
      </w:pPr>
    </w:p>
    <w:p>
      <w:pPr>
        <w:ind w:firstLine="8"/>
        <w:spacing w:after="0" w:line="286" w:lineRule="auto"/>
        <w:tabs>
          <w:tab w:leader="none" w:pos="10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Facilitation of the Effects of Reference Rate Reform on Financial Reporting </w:t>
      </w:r>
      <w:r>
        <w:rPr>
          <w:rFonts w:ascii="Arial" w:cs="Arial" w:eastAsia="Arial" w:hAnsi="Arial"/>
          <w:sz w:val="16"/>
          <w:szCs w:val="16"/>
          <w:color w:val="auto"/>
        </w:rPr>
        <w:t>containing practical expedients for reference rate reform related activities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impact debt, leases, derivatives and other contracts. The guidance in ASU 2020-04 is optional and may be applied from March 12, 2020 through December 31, 2022 as reference rate reform activities occur. In December 2022, the FASB issued ASU No. 2022-06, </w:t>
      </w:r>
      <w:r>
        <w:rPr>
          <w:rFonts w:ascii="Arial" w:cs="Arial" w:eastAsia="Arial" w:hAnsi="Arial"/>
          <w:sz w:val="16"/>
          <w:szCs w:val="16"/>
          <w:i w:val="1"/>
          <w:iCs w:val="1"/>
          <w:color w:val="auto"/>
        </w:rPr>
        <w:t>Reference Rate Reform (ASC 848) - Deferral of</w:t>
      </w:r>
      <w:r>
        <w:rPr>
          <w:rFonts w:ascii="Arial" w:cs="Arial" w:eastAsia="Arial" w:hAnsi="Arial"/>
          <w:sz w:val="16"/>
          <w:szCs w:val="16"/>
          <w:color w:val="auto"/>
        </w:rPr>
        <w:t xml:space="preserve"> </w:t>
      </w:r>
      <w:r>
        <w:rPr>
          <w:rFonts w:ascii="Arial" w:cs="Arial" w:eastAsia="Arial" w:hAnsi="Arial"/>
          <w:sz w:val="16"/>
          <w:szCs w:val="16"/>
          <w:i w:val="1"/>
          <w:iCs w:val="1"/>
          <w:color w:val="auto"/>
        </w:rPr>
        <w:t>the Sunset Date of Topic 848</w:t>
      </w:r>
      <w:r>
        <w:rPr>
          <w:rFonts w:ascii="Arial" w:cs="Arial" w:eastAsia="Arial" w:hAnsi="Arial"/>
          <w:sz w:val="16"/>
          <w:szCs w:val="16"/>
          <w:color w:val="auto"/>
        </w:rPr>
        <w:t>, which extended the date to apply the practical expedients outlined in ASU No. 2020-04 from December 31, 2022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2024. In January 2021, the FASB issued an update that provides supplemental guidance and clarification of the reference rate reform. We have elected to apply certain practical expedients in the past. We continue to evaluate the impact of the guidance and may apply other elections prior to December 31, 2024, as applicable, as additional changes in the market occur. Currently, borrowings under our Senior Facilities use LIBOR as a benchmark for establishing the applicable interest rate, but the First Lien Credit Agreement includes provisions relating to the future discontinuance of LIBOR and sets forth mechanics for establishing the replacement of LIBOR with an alternative benchmark rate.</w:t>
      </w:r>
    </w:p>
    <w:p>
      <w:pPr>
        <w:spacing w:after="0" w:line="200" w:lineRule="exact"/>
        <w:rPr>
          <w:rFonts w:ascii="Arial" w:cs="Arial" w:eastAsia="Arial" w:hAnsi="Arial"/>
          <w:sz w:val="16"/>
          <w:szCs w:val="16"/>
          <w:i w:val="1"/>
          <w:iCs w:val="1"/>
          <w:color w:val="auto"/>
        </w:rPr>
      </w:pPr>
    </w:p>
    <w:p>
      <w:pPr>
        <w:spacing w:after="0" w:line="350" w:lineRule="exact"/>
        <w:rPr>
          <w:rFonts w:ascii="Arial" w:cs="Arial" w:eastAsia="Arial" w:hAnsi="Arial"/>
          <w:sz w:val="16"/>
          <w:szCs w:val="16"/>
          <w:i w:val="1"/>
          <w:iCs w:val="1"/>
          <w:color w:val="auto"/>
        </w:rPr>
      </w:pPr>
    </w:p>
    <w:p>
      <w:pPr>
        <w:ind w:left="5540" w:hanging="108"/>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760" w:type="dxa"/>
            <w:vAlign w:val="bottom"/>
            <w:gridSpan w:val="2"/>
          </w:tcPr>
          <w:p>
            <w:pPr>
              <w:ind w:left="540"/>
              <w:spacing w:after="0"/>
              <w:rPr>
                <w:sz w:val="20"/>
                <w:szCs w:val="20"/>
                <w:color w:val="auto"/>
              </w:rPr>
            </w:pPr>
            <w:r>
              <w:rPr>
                <w:rFonts w:ascii="Arial" w:cs="Arial" w:eastAsia="Arial" w:hAnsi="Arial"/>
                <w:sz w:val="16"/>
                <w:szCs w:val="16"/>
                <w:b w:val="1"/>
                <w:bCs w:val="1"/>
                <w:color w:val="auto"/>
              </w:rPr>
              <w:t>Consolidated Balance Sheets Account</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tcPr>
          <w:p>
            <w:pPr>
              <w:spacing w:after="0"/>
              <w:rPr>
                <w:sz w:val="18"/>
                <w:szCs w:val="18"/>
                <w:color w:val="auto"/>
              </w:rPr>
            </w:pPr>
          </w:p>
        </w:tc>
        <w:tc>
          <w:tcPr>
            <w:tcW w:w="154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 2023</w:t>
            </w:r>
          </w:p>
        </w:tc>
      </w:tr>
      <w:tr>
        <w:trPr>
          <w:trHeight w:val="21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66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571.6</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101.3</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credit losses and accrued customer credits was $24.6 million and $22.3 million as of December 31, 2022 and March 31, 2023, respectively.</w:t>
      </w:r>
    </w:p>
    <w:p>
      <w:pPr>
        <w:spacing w:after="0" w:line="257"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We identified an immaterial correction in the disclosure of the amount previously reported as recognized in revenue for the three months ended March 31, 2022, which was included in deferred revenue as of the beginning of the period and have updated this amount to $46.2 million. The amount recognized in revenue for the three months ended March 31, 2023, which was included in deferred revenue as of the beginning of the period totaled $39.1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Incurred to Obtain and Fulfill a Contract</w:t>
      </w:r>
    </w:p>
    <w:p>
      <w:pPr>
        <w:spacing w:after="0" w:line="239"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As of December 31, 2022 and March 31, 2023, the balances of capitalized costs to obtain a contract were $55.8 million and $50.7 million, respectively, and the balances of capitalized costs to fulfill a contract were $17.7 million and $16.5 million, respectively. These capitalized costs are included in “Other non-current assets” on the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capitalized sales commissions and implementation costs was as follows:</w:t>
      </w:r>
    </w:p>
    <w:p>
      <w:pPr>
        <w:spacing w:after="0" w:line="5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As of March 31, 2023, the aggregate amount of transaction price allocated to remaining performance obligations was $564.2 million, of which approximately 57% is expected to be recognized as revenue during the remainder of 2023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Basic net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40" w:type="dxa"/>
            <w:vAlign w:val="bottom"/>
          </w:tcPr>
          <w:p>
            <w:pPr>
              <w:ind w:left="480"/>
              <w:spacing w:after="0"/>
              <w:rPr>
                <w:sz w:val="20"/>
                <w:szCs w:val="20"/>
                <w:color w:val="auto"/>
              </w:rPr>
            </w:pPr>
            <w:r>
              <w:rPr>
                <w:rFonts w:ascii="Arial" w:cs="Arial" w:eastAsia="Arial" w:hAnsi="Arial"/>
                <w:sz w:val="16"/>
                <w:szCs w:val="16"/>
                <w:color w:val="auto"/>
              </w:rPr>
              <w:t>Net loss attributable to common stockholders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(612.0)</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r>
      <w:tr>
        <w:trPr>
          <w:trHeight w:val="209"/>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Number of shares used in per share computations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r>
      <w:tr>
        <w:trPr>
          <w:trHeight w:val="212"/>
        </w:trPr>
        <w:tc>
          <w:tcPr>
            <w:tcW w:w="7940" w:type="dxa"/>
            <w:vAlign w:val="bottom"/>
          </w:tcPr>
          <w:p>
            <w:pPr>
              <w:ind w:left="680"/>
              <w:spacing w:after="0"/>
              <w:rPr>
                <w:sz w:val="20"/>
                <w:szCs w:val="20"/>
                <w:color w:val="auto"/>
              </w:rPr>
            </w:pPr>
            <w:r>
              <w:rPr>
                <w:rFonts w:ascii="Arial" w:cs="Arial" w:eastAsia="Arial" w:hAnsi="Arial"/>
                <w:sz w:val="16"/>
                <w:szCs w:val="16"/>
                <w:color w:val="auto"/>
              </w:rPr>
              <w:t>Net loss per share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firstLine="486"/>
        <w:spacing w:after="0" w:line="296" w:lineRule="auto"/>
        <w:rPr>
          <w:sz w:val="20"/>
          <w:szCs w:val="20"/>
          <w:color w:val="auto"/>
        </w:rPr>
      </w:pPr>
      <w:r>
        <w:rPr>
          <w:rFonts w:ascii="Arial" w:cs="Arial" w:eastAsia="Arial" w:hAnsi="Arial"/>
          <w:sz w:val="16"/>
          <w:szCs w:val="16"/>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both periods presented, basic net loss per share is the same as diluted net loss per share for both periods as the inclusion of all potential common shares outstanding would have been anti-dilutive. We excluded 24.8 million and 41.1 million potential common shares from the computation of dilutive loss per share for the three months ended March 31, 2022 and 2023, respectively, because the effect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458.8</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w:t>
            </w:r>
          </w:p>
        </w:tc>
      </w:tr>
      <w:tr>
        <w:trPr>
          <w:trHeight w:val="213"/>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2,050.3</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(1,414.3)</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651.1</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right="860" w:firstLine="486"/>
        <w:spacing w:after="0" w:line="311" w:lineRule="auto"/>
        <w:rPr>
          <w:sz w:val="20"/>
          <w:szCs w:val="20"/>
          <w:color w:val="auto"/>
        </w:rPr>
      </w:pPr>
      <w:r>
        <w:rPr>
          <w:rFonts w:ascii="Arial" w:cs="Arial" w:eastAsia="Arial" w:hAnsi="Arial"/>
          <w:sz w:val="16"/>
          <w:szCs w:val="16"/>
          <w:color w:val="auto"/>
        </w:rPr>
        <w:t>The following table sets forth the changes in the carrying amounts of goodwill by reportable segment. As a result of the January 1, 2023 reorganization, we changed our segment reporting to reflect this reorganization under two reportable segments: Public Cloud and Private Cloud. Accordingly, we reallocated the total consolidated net balance of goodwill as of January 1, 2023 under the new segments,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Public Cloud</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3"/>
              </w:rPr>
              <w:t>Private Cloud</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Multicloud</w:t>
            </w:r>
          </w:p>
        </w:tc>
        <w:tc>
          <w:tcPr>
            <w:tcW w:w="1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Apps &amp; Cross</w:t>
            </w:r>
          </w:p>
        </w:tc>
        <w:tc>
          <w:tcPr>
            <w:tcW w:w="14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OpenStack</w:t>
            </w:r>
          </w:p>
        </w:tc>
        <w:tc>
          <w:tcPr>
            <w:tcW w:w="140" w:type="dxa"/>
            <w:vAlign w:val="bottom"/>
          </w:tcPr>
          <w:p>
            <w:pPr>
              <w:spacing w:after="0"/>
              <w:rPr>
                <w:sz w:val="16"/>
                <w:szCs w:val="16"/>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Services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Platform</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Public Cloud</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goodwill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3,037.0</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impairment charges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(881.9)</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16"/>
        </w:trPr>
        <w:tc>
          <w:tcPr>
            <w:tcW w:w="336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Reallocation adjustment </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of goodwill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goodwill as of 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2,157.9</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impairment charges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(543.1)</w:t>
            </w: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420" w:hanging="492"/>
        <w:spacing w:after="0" w:line="275" w:lineRule="auto"/>
        <w:tabs>
          <w:tab w:leader="none" w:pos="40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adjustment to reallocate goodwill of the former Multicloud Services and Apps &amp; Cross Platform reportable segments to Public Cloud and Private Cloud reportable segments, using the relative fair value basis, as a result of the January 1, 2023 reorganization.</w:t>
      </w:r>
    </w:p>
    <w:p>
      <w:pPr>
        <w:spacing w:after="0" w:line="195"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See Note 1, "Company Overview, Basis of Presentation, and Summary of Significant Accounting Policies," for discussion of the goodwill impairment charges recorded during the three months ended March 31, 2023.</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8"/>
              </w:rPr>
              <w:t>December 31, 2022</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2023</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0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974.9</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7"/>
              </w:rPr>
              <w:t>Total definite-lived intangible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213"/>
        </w:trPr>
        <w:tc>
          <w:tcPr>
            <w:tcW w:w="2740" w:type="dxa"/>
            <w:vAlign w:val="bottom"/>
          </w:tcPr>
          <w:p>
            <w:pPr>
              <w:ind w:left="260"/>
              <w:spacing w:after="0"/>
              <w:rPr>
                <w:sz w:val="20"/>
                <w:szCs w:val="20"/>
                <w:color w:val="auto"/>
              </w:rPr>
            </w:pPr>
            <w:r>
              <w:rPr>
                <w:rFonts w:ascii="Arial" w:cs="Arial" w:eastAsia="Arial" w:hAnsi="Arial"/>
                <w:sz w:val="16"/>
                <w:szCs w:val="16"/>
                <w:color w:val="auto"/>
              </w:rPr>
              <w:t>Trade name (indefinite-lived)</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149"/>
        </w:trPr>
        <w:tc>
          <w:tcPr>
            <w:tcW w:w="2740" w:type="dxa"/>
            <w:vAlign w:val="bottom"/>
            <w:tcBorders>
              <w:top w:val="single" w:sz="8" w:color="CCEEFF"/>
            </w:tcBorders>
            <w:shd w:val="clear" w:color="auto" w:fill="CCEEFF"/>
          </w:tcPr>
          <w:p>
            <w:pPr>
              <w:ind w:left="340"/>
              <w:spacing w:after="0" w:line="148" w:lineRule="exact"/>
              <w:rPr>
                <w:sz w:val="20"/>
                <w:szCs w:val="20"/>
                <w:color w:val="auto"/>
              </w:rPr>
            </w:pPr>
            <w:r>
              <w:rPr>
                <w:rFonts w:ascii="Arial" w:cs="Arial" w:eastAsia="Arial" w:hAnsi="Arial"/>
                <w:sz w:val="16"/>
                <w:szCs w:val="16"/>
                <w:color w:val="auto"/>
              </w:rPr>
              <w:t>Total intangible assets other than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2,173.2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1,236.0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2,174.7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(979.2)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1,195.5</w:t>
            </w:r>
          </w:p>
        </w:tc>
        <w:tc>
          <w:tcPr>
            <w:tcW w:w="0" w:type="dxa"/>
            <w:vAlign w:val="bottom"/>
          </w:tcPr>
          <w:p>
            <w:pPr>
              <w:spacing w:after="0"/>
              <w:rPr>
                <w:sz w:val="1"/>
                <w:szCs w:val="1"/>
                <w:color w:val="auto"/>
              </w:rPr>
            </w:pPr>
          </w:p>
        </w:tc>
      </w:tr>
      <w:tr>
        <w:trPr>
          <w:trHeight w:val="205"/>
        </w:trPr>
        <w:tc>
          <w:tcPr>
            <w:tcW w:w="2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March 31, 2023</w:t>
            </w:r>
          </w:p>
        </w:tc>
      </w:tr>
      <w:tr>
        <w:trPr>
          <w:trHeight w:val="215"/>
        </w:trPr>
        <w:tc>
          <w:tcPr>
            <w:tcW w:w="336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Debt Instrument</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22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20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 Facility</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2,259.8</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7.60%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2,254.0</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7, 2025</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3.50% Senior Secured Notes</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1, 2028</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5.375%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5.375%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527.3</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3,292.0</w:t>
            </w: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38"/>
        </w:trPr>
        <w:tc>
          <w:tcPr>
            <w:tcW w:w="3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Interest rates are as of each respective balance sheet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senior secured credit facilities include the Term Loan Facility and the Revolving Credit Facility (together, the "Senior Facilities").</w:t>
      </w:r>
    </w:p>
    <w:p>
      <w:pPr>
        <w:spacing w:after="0" w:line="252"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On February 9, 2021, we amended and restated the credit agreement governing our Senior Facilities (the "First Lien Credit Agreement"), which included a new seven-year $2,300.0 million senior secured first lien term loan facility due on February 15, 2028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our prior term loan facility (the "Prior Term Loan Facility"), to pay related fees and expenses and for general corporate purposes.</w:t>
      </w:r>
    </w:p>
    <w:p>
      <w:pPr>
        <w:spacing w:after="0" w:line="20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in the case of the Term Loan Facility, and a 1.00% floor, in the case of the Revolving Credit Facility, or (b) a base rate determined by reference to the highest of (i) the federal funds rate plus 0.50%, (ii) the prime rate of Citibank, N.A.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0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1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As of March 31, 2023, the interest rate on the Term Loan Facility was 7.60%. We are required to make quarterly principal payments of $5.8 million, which began on June 30, 2021. See Note 11, "Derivatives," for information on interest rate swap agreements we utilize to manage the interest rate risk on the Term Loan Facility.</w:t>
      </w:r>
    </w:p>
    <w:p>
      <w:pPr>
        <w:spacing w:after="0" w:line="211"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fair value of the Term Loan Facility as of March 31, 2023 was $1,194.6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we were in compliance with all covenants under the Senior Facilities.</w:t>
      </w:r>
    </w:p>
    <w:p>
      <w:pPr>
        <w:spacing w:after="0" w:line="25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Revolving Credit Facility matures on August 7, 2025. As of March 31, 2023, we had total commitments of $375.0 million, no outstanding borrowings under the Revolving Credit Facility, and $3.5 million of letters of credit issued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3.50% Senior Secured Notes due 2028</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February 9, 2021, Rackspace Technology Global issued $550.0 million aggregate principal amount of the 3.50% Senior Secured Notes.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3.50% Senior Secured Notes will mature on February 15, 2028 and bear interest at an annual fixed rate of 3.50%. Interest is payable semiannually on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15 and August 15, commencing on August 15, 2021. The 3.50% Senior Secured Notes are not subject to registration rights. As noted above,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the net proceeds from the issuance of the 3.50% Senior Secured Notes, together with borrowings under the Term Loan Facility described above,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repay all borrowings outstanding under the Prior Term Loan Facility, to pay related fees and expenses and for general corporate purposes.</w:t>
      </w:r>
    </w:p>
    <w:p>
      <w:pPr>
        <w:spacing w:after="0" w:line="23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indenture governing the 3.50% Senior Secured Notes (the "3.50% Notes Indenture") describes certain terms and conditions under which other current and future domestic subsidiaries are required to become guarantors of the 3.50% Senior Secured Notes.</w:t>
      </w:r>
    </w:p>
    <w:p>
      <w:pPr>
        <w:spacing w:after="0" w:line="2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Rackspace Technology Global was in compliance with all covenants under the 3.50% Notes Indenture.</w:t>
      </w:r>
    </w:p>
    <w:p>
      <w:pPr>
        <w:spacing w:after="0" w:line="252"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fair value of the 3.50% Senior Secured Notes as of March 31, 2023 was $280.5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Senior Notes due 2028</w:t>
      </w:r>
    </w:p>
    <w:p>
      <w:pPr>
        <w:spacing w:after="0" w:line="252"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On December 1, 2020, Rackspace Technology Global issued $550.0 million aggregate principal amount of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19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indenture governing the 5.375% Senior Notes (the "5.375% Notes Indenture") describes certain terms and conditions under which other current and future domestic subsidiaries are required to become guarantors of the 5.375% Senior Notes.</w:t>
      </w:r>
    </w:p>
    <w:p>
      <w:pPr>
        <w:spacing w:after="0" w:line="21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12"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During the three months ended March 31, 2023, Rackspace Technology Global repurchased and surrendered for cancellation $22.7 million principal amount of 5.375% Senior Notes for $10.0 million, including accrued interest of $0.3 million. In connection with these repurchases, we recorded a "Gain on debt extinguishment" of $12.8 million in our Consolidated Statements of Comprehensive Income (Loss) for the three months ended March 31, 2023.</w:t>
      </w:r>
    </w:p>
    <w:p>
      <w:pPr>
        <w:spacing w:after="0" w:line="176" w:lineRule="exact"/>
        <w:rPr>
          <w:sz w:val="20"/>
          <w:szCs w:val="20"/>
          <w:color w:val="auto"/>
        </w:rPr>
      </w:pPr>
    </w:p>
    <w:p>
      <w:pPr>
        <w:ind w:right="320" w:firstLine="486"/>
        <w:spacing w:after="0" w:line="255" w:lineRule="auto"/>
        <w:rPr>
          <w:sz w:val="20"/>
          <w:szCs w:val="20"/>
          <w:color w:val="auto"/>
        </w:rPr>
      </w:pPr>
      <w:r>
        <w:rPr>
          <w:rFonts w:ascii="Arial" w:cs="Arial" w:eastAsia="Arial" w:hAnsi="Arial"/>
          <w:sz w:val="18"/>
          <w:szCs w:val="18"/>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Rackspace Technology Global was in compliance with all covenants under the 5.375% Notes Indenture.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fair value of the 5.375% Senior Notes as of March 31, 2023 was $158.2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0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Hosted Exchange Incident</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are named in several lawsuits in connection with the December 2022 ransomware incident which caused service disruptions on our Hosted Exchange email business. The pending lawsuits seek, among other things, equitable and compensatory relief. We are vigorously defending these matters. We do not expect any of these claims, individually or in the aggregate, to have a material adverse effect on our consolidated financial position or results of operations. However, at this early stage in the proceedings, we are not able to determine the probability of the outcome of these matters or a range of reasonably expected losses, if any. We maintain insurance, including coverage for cyber-attacks, subject to certain deductibles and policy limitations, in an amount that we believe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Repurchase Program</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March 3, 2022, our board of directors authorized a program to repurchase up to $75.0 million of shares of our common stock from time to time through open-market transactions, privately negotiated transactions, accelerated share repurchases and other transactions in accordance with applicable security laws. The program expires on September 30, 2023 and can be discontinued at any time. During the three months ended March 31, 2022, we repurchased $4.1 million, or 0.4 million shares, of our common stock on the open market under this program. No shares were repurchased during the three months ended March 31, 2023. Shares purchased pursuant to the program are recorded as treasury stock at cost in the Consolidated Balance Sheets. As of March 31, 2023, approximately $44.0 million of the amount authorized by the board under the current program remained available for additional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25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During the three months ended March 31, 2023, we granted 22.4 million restricted stock units ("RSUs") under the 2020 Incentive Plan with a weighted-average grant date fair value of $2.36. The majority of the RSUs were granted as part of our annual compensation award process and vest ratably over a three-year period, subject to continued service.</w:t>
      </w:r>
    </w:p>
    <w:p>
      <w:pPr>
        <w:spacing w:after="0" w:line="211"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In addition, during the three months ended March 31, 2023, 2.5 million performance stock units ("PSUs") were granted under the 2020 Incentive Plan with a weighted-average grant date fair value of $2.08, and 4.9 million long-term incentive cash units ("LTIC units") were granted under the 2020 Incentive Plan with a weighted-average fair value as of March 31, 2023 of $0.73. Both the PSUs and LTIC units represent the target amount of grants, and the actual number of shares or units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 The LTIC units are classified as a liability within "Other current liabilities" and "Other non-current liabilities" in the Consolidated Balance Sheets.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share-based compensation expense is comprised of the following equity and liability classified award amounts:</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classified awards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Liability classified awards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7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share-based compensation expense recognized was as follows:</w:t>
      </w:r>
    </w:p>
    <w:p>
      <w:pPr>
        <w:spacing w:after="0" w:line="5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38"/>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of March 31, 2023, there was $133.3 million of total unrecognized compensation cost related to stock options, RSUs, PSUs, and the ESPP, which will be recognized using the service period or over our best estimate of the period over which the performance condition will be met, as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Taxes</w:t>
      </w:r>
    </w:p>
    <w:p>
      <w:pPr>
        <w:spacing w:after="0" w:line="22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March 31, 2023, our effective tax rate is lower than the U.S. federal statutory rate of 21% primarily due to the tax impact associated with the goodwill impairment recorded in the first quarter, the majority of which was nondeductible for income tax purposes, executive compensation that is nondeductible under Internal Revenue Code ("IRC") Section 162(m), the net impact of the geographic distribution of our earnings, tax effects from nondeductible share-based compensation as well as changes in our valuation allowance. During the quarter, we determined that certain deferred tax assets no longer meet the more likely than not recognition criteria. As such, we have provided a valuation allowance for these assets, which is incorporated into our annual effective tax rate. On August 16, 2022, the Inflation Reduction Act of 2022 (“IRA”) was enacted into law. The IRA introduces a new corporate minimum tax of 15% on global adjusted financial statement income. We do not expect there will be a material impact to our consolidated financial statements from the IRA.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Derivatives</w:t>
      </w:r>
    </w:p>
    <w:p>
      <w:pPr>
        <w:spacing w:after="0" w:line="256"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right="50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On a quarterly basis, we net settle with the counterparty for the difference between the fixed rate specified in each swap agreement and the variable rate based upon the three-month LIBOR as applied to the notional amount of the swap.</w:t>
      </w:r>
    </w:p>
    <w:p>
      <w:pPr>
        <w:spacing w:after="0" w:line="197"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(provision) for income taxes” under the portfolio approach.</w:t>
      </w:r>
    </w:p>
    <w:p>
      <w:pPr>
        <w:spacing w:after="0" w:line="19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the remaining two December 2016 swaps, and (iii) on February 12, 2021, we terminated all December 2018 swaps and entered into a</w:t>
      </w:r>
    </w:p>
    <w:p>
      <w:pPr>
        <w:spacing w:after="0" w:line="1"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$1.35 billion pay-fixed interest rate swap, effectively blending the liability position of our existing interest rate swap agreements into the new swap and extending the term of our hedged position to February 2026.</w:t>
      </w:r>
    </w:p>
    <w:p>
      <w:pPr>
        <w:spacing w:after="0" w:line="212"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The amount remaining in “Accumulated other comprehensive income" for the de-designated December 2016 and December 2018 swaps at the de-designation date was approximately $51.6 million, and will be amortized as an increase to "Interest expense" over the effective period of the original swap agreements.</w:t>
      </w:r>
    </w:p>
    <w:p>
      <w:pPr>
        <w:spacing w:after="0" w:line="211"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 xml:space="preserve">The new receive-fixed interest rate swap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derivative for which the fair value option has been elected. This $900.0 million swap will remain undesignated to economically offset the now undesignated December 2016 swaps. This new swap and the December 2016 swaps matured on February 3, 2022. Cash settlements related to this receive-fixed interest rate swap will offset and are classified as operating activities in the Consolidated Statements of Cash Flows.</w:t>
      </w:r>
    </w:p>
    <w:p>
      <w:pPr>
        <w:spacing w:after="0" w:line="18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The new pay-fixed interest rate swap also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This new $1.35 billion swap is indexed to three-month LIBOR and will be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Consolidated Statements of Cash Flows while the portion treated as an at-market derivative will be classified as operating activities.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and March 31, 2023, the cash flow hedge was highly effective.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interest rate swaps are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Effective Date</w:t>
            </w:r>
          </w:p>
        </w:tc>
        <w:tc>
          <w:tcPr>
            <w:tcW w:w="12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2"/>
              </w:rPr>
              <w:t>Fixed Rate Paid</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Notional Amount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5"/>
              </w:rPr>
              <w:t>Status</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8"/>
              </w:rPr>
              <w:t>Notional Amount (in</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5"/>
              </w:rPr>
              <w:t>Status</w:t>
            </w: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22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(Received)</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2"/>
              </w:rPr>
              <w:t>Entered into December 2018:</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2019</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2.7490%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2020</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2.7350%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2.7360%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2022</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2.7800%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Entered into February 2021:</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February 9, 2021</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1"/>
              </w:rPr>
              <w:t>2.3820%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6"/>
              </w:rPr>
              <w:t>Active</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1"/>
              </w:rPr>
              <w:t>February 9, 2026</w:t>
            </w:r>
          </w:p>
        </w:tc>
        <w:tc>
          <w:tcPr>
            <w:tcW w:w="0" w:type="dxa"/>
            <w:vAlign w:val="bottom"/>
          </w:tcPr>
          <w:p>
            <w:pPr>
              <w:spacing w:after="0"/>
              <w:rPr>
                <w:sz w:val="1"/>
                <w:szCs w:val="1"/>
                <w:color w:val="auto"/>
              </w:rPr>
            </w:pPr>
          </w:p>
        </w:tc>
      </w:tr>
      <w:tr>
        <w:trPr>
          <w:trHeight w:val="238"/>
        </w:trPr>
        <w:tc>
          <w:tcPr>
            <w:tcW w:w="2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Total</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Our interest rate swap agreements,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Consolidated Balance Sheets</w:t>
      </w:r>
    </w:p>
    <w:p>
      <w:pPr>
        <w:spacing w:after="0" w:line="25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fair values of our derivatives and their location on the Consolidated Balance Sheets as of December 31, 2022 and March 31, 2023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2022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March 31, 2023</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2"/>
              </w:rPr>
              <w:t>Derivatives designated as hedging</w:t>
            </w:r>
          </w:p>
        </w:tc>
        <w:tc>
          <w:tcPr>
            <w:tcW w:w="2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9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6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rPr>
                <w:sz w:val="20"/>
                <w:szCs w:val="20"/>
                <w:color w:val="auto"/>
              </w:rPr>
            </w:pPr>
            <w:r>
              <w:rPr>
                <w:rFonts w:ascii="Arial" w:cs="Arial" w:eastAsia="Arial" w:hAnsi="Arial"/>
                <w:sz w:val="16"/>
                <w:szCs w:val="16"/>
                <w:color w:val="auto"/>
              </w:rPr>
              <w:t>Other non-current assets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1"/>
                <w:szCs w:val="21"/>
                <w:color w:val="auto"/>
                <w:vertAlign w:val="superscript"/>
              </w:rPr>
              <w:t>(1)</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entire balance is comprised of the financing component of the pay-fixed interest rate swap.</w:t>
      </w:r>
    </w:p>
    <w:p>
      <w:pPr>
        <w:spacing w:after="0" w:line="24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December 31, 2022</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7"/>
              </w:rPr>
              <w:t>Effects of</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7"/>
              </w:rPr>
              <w:t>Effects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1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Balance Sheet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Consolidated Statements of Comprehensive Income (Loss)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effect of our derivatives and their location on the Consolidated Statements of Comprehensive Income (Loss)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2023 was as follows:</w:t>
      </w:r>
    </w:p>
    <w:p>
      <w:pPr>
        <w:spacing w:after="0" w:line="13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198"/>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3640" w:type="dxa"/>
            <w:vAlign w:val="bottom"/>
          </w:tcPr>
          <w:p>
            <w:pPr>
              <w:ind w:left="780"/>
              <w:spacing w:after="0"/>
              <w:rPr>
                <w:sz w:val="20"/>
                <w:szCs w:val="20"/>
                <w:color w:val="auto"/>
              </w:rPr>
            </w:pPr>
            <w:r>
              <w:rPr>
                <w:rFonts w:ascii="Arial" w:cs="Arial" w:eastAsia="Arial" w:hAnsi="Arial"/>
                <w:sz w:val="16"/>
                <w:szCs w:val="16"/>
                <w:b w:val="1"/>
                <w:bCs w:val="1"/>
                <w:color w:val="auto"/>
              </w:rPr>
              <w:t>Location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6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Interest income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7"/>
              </w:rPr>
              <w:t>(4.6)</w:t>
            </w:r>
          </w:p>
        </w:tc>
      </w:tr>
      <w:tr>
        <w:trPr>
          <w:trHeight w:val="307"/>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640" w:type="dxa"/>
            <w:vAlign w:val="bottom"/>
          </w:tcPr>
          <w:p>
            <w:pPr>
              <w:ind w:left="780"/>
              <w:spacing w:after="0"/>
              <w:rPr>
                <w:sz w:val="20"/>
                <w:szCs w:val="20"/>
                <w:color w:val="auto"/>
              </w:rPr>
            </w:pPr>
            <w:r>
              <w:rPr>
                <w:rFonts w:ascii="Arial" w:cs="Arial" w:eastAsia="Arial" w:hAnsi="Arial"/>
                <w:sz w:val="16"/>
                <w:szCs w:val="16"/>
                <w:b w:val="1"/>
                <w:bCs w:val="1"/>
                <w:color w:val="auto"/>
              </w:rPr>
              <w:t>Location</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6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Interest income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12.2</w:t>
            </w:r>
          </w:p>
        </w:tc>
      </w:tr>
    </w:tbl>
    <w:p>
      <w:pPr>
        <w:spacing w:after="0" w:line="31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Interest expense was $50.1 million and $56.9 million for the three months ended March 31, 2022 and 2023, respectively. As of March 31, 2023, the amount of cash flow hedge gain included within "Accumulated other comprehensive income" that is expected to be reclassified as a reduction to "Interest expense" over the next 12 months is approximately $38.4 million. See Note 12, "Accumulated Other Comprehensive Income (Loss)," for information regarding changes in fair value of our derivatives designated as hedging instruments.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March 31, 2023, our outstanding interest rate swap agreement was in a net asset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Accumulated Gain (Loss)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$0.7</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Unrealized gain on derivative contracts, net of tax expense of $14.6</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(loss) into earnings, net of tax benefit of $1.5</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160" w:hanging="492"/>
        <w:spacing w:after="0" w:line="275"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interest expense recognized of $1.2 million and amortization of off-market swap value and accumulated loss at hedge de-designation of $4.6 million for the three months ended March 31, 2022.</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2"/>
              </w:rPr>
              <w:t>Foreign currency translation adjustments, net of tax expense of $0.4</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Unrealized loss on derivative contracts, net of tax benefit of $1.9</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(loss) into earnings, net of tax expense of $2.0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100" w:hanging="492"/>
        <w:spacing w:after="0" w:line="310" w:lineRule="auto"/>
        <w:tabs>
          <w:tab w:leader="none" w:pos="365"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a reduction to interest expense recognized of $12.2 million related to the cash flow hedge gain for the three months ended March 31, 2023, partially offset by an increase to interest expense for the amortization of off-market swap value and accumulated loss at hedge de-designation of $4.6 million.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56"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Affiliates of ABRY Partners, LLC and ABRY Partners II, LLC (collectively, “ABRY”), are Term Loan Facility lenders under the First Lien Credit Agreement. As of March 31, 2023, the outstanding principal amount of the Term Loan Facility was $2,254.0 million, of which $58.8 million, or 2.6%, is due to ABRY affiliates. Investment funds affiliated with ABRY are also co-investors in Rackspace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25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Effective on January 1, 2023, we reorganized around a two-business unit operating model, Public Cloud and Private Cloud. This two-business unit operating model ensures increased focus, delivery, and service quality for our customers. We have changed our segment reporting to reflect this reorganization under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p>
    <w:p>
      <w:pPr>
        <w:spacing w:after="0" w:line="219"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Our prior Multicloud segment has been separated into its public and private cloud components and the offerings previously reported in our Apps &amp; Cross Platform segment have been reassigned to either the Public Cloud or Private Cloud segment based on the nature of the offering.</w:t>
      </w:r>
    </w:p>
    <w:p>
      <w:pPr>
        <w:spacing w:after="0" w:line="173"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operating profit.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w:t>
      </w:r>
    </w:p>
    <w:p>
      <w:pPr>
        <w:spacing w:after="0" w:line="20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consolidated segment operating profit to consolidated loss before income taxes for the three months ended March 31, 2022 and 2023.</w:t>
      </w:r>
    </w:p>
    <w:p>
      <w:pPr>
        <w:spacing w:after="0" w:line="90"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19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Public Cloud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444.6</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Cloud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w:t>
            </w:r>
          </w:p>
        </w:tc>
      </w:tr>
      <w:tr>
        <w:trPr>
          <w:trHeight w:val="213"/>
        </w:trPr>
        <w:tc>
          <w:tcPr>
            <w:tcW w:w="7920" w:type="dxa"/>
            <w:vAlign w:val="bottom"/>
          </w:tcPr>
          <w:p>
            <w:pPr>
              <w:ind w:left="180"/>
              <w:spacing w:after="0"/>
              <w:rPr>
                <w:sz w:val="20"/>
                <w:szCs w:val="20"/>
                <w:color w:val="auto"/>
              </w:rPr>
            </w:pPr>
            <w:r>
              <w:rPr>
                <w:rFonts w:ascii="Arial" w:cs="Arial" w:eastAsia="Arial" w:hAnsi="Arial"/>
                <w:sz w:val="16"/>
                <w:szCs w:val="16"/>
                <w:color w:val="auto"/>
              </w:rPr>
              <w:t>Total consolidated revenue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758.7</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i w:val="1"/>
                <w:iCs w:val="1"/>
                <w:color w:val="auto"/>
              </w:rPr>
              <w:t>Segment operating profit: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r>
      <w:tr>
        <w:trPr>
          <w:trHeight w:val="21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segment operating profit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13"/>
        </w:trPr>
        <w:tc>
          <w:tcPr>
            <w:tcW w:w="7920" w:type="dxa"/>
            <w:vAlign w:val="bottom"/>
          </w:tcPr>
          <w:p>
            <w:pPr>
              <w:ind w:left="140"/>
              <w:spacing w:after="0"/>
              <w:rPr>
                <w:sz w:val="20"/>
                <w:szCs w:val="20"/>
                <w:color w:val="auto"/>
              </w:rPr>
            </w:pPr>
            <w:r>
              <w:rPr>
                <w:rFonts w:ascii="Arial" w:cs="Arial" w:eastAsia="Arial" w:hAnsi="Arial"/>
                <w:sz w:val="16"/>
                <w:szCs w:val="16"/>
                <w:color w:val="auto"/>
              </w:rPr>
              <w:t>Corporate functions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19"/>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79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9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9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6"/>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Exchange incident expenses</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79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16"/>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goodwill</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r>
      <w:tr>
        <w:trPr>
          <w:trHeight w:val="213"/>
        </w:trPr>
        <w:tc>
          <w:tcPr>
            <w:tcW w:w="79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19"/>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920" w:type="dxa"/>
            <w:vAlign w:val="bottom"/>
          </w:tcPr>
          <w:p>
            <w:pPr>
              <w:ind w:left="140"/>
              <w:spacing w:after="0"/>
              <w:rPr>
                <w:sz w:val="20"/>
                <w:szCs w:val="20"/>
                <w:color w:val="auto"/>
              </w:rPr>
            </w:pPr>
            <w:r>
              <w:rPr>
                <w:rFonts w:ascii="Arial" w:cs="Arial" w:eastAsia="Arial" w:hAnsi="Arial"/>
                <w:sz w:val="16"/>
                <w:szCs w:val="16"/>
                <w:color w:val="auto"/>
              </w:rPr>
              <w:t>Gain on debt extinguishment</w:t>
            </w: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6"/>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920" w:type="dxa"/>
            <w:vAlign w:val="bottom"/>
          </w:tcPr>
          <w:p>
            <w:pPr>
              <w:ind w:left="240"/>
              <w:spacing w:after="0"/>
              <w:rPr>
                <w:sz w:val="20"/>
                <w:szCs w:val="20"/>
                <w:color w:val="auto"/>
              </w:rPr>
            </w:pPr>
            <w:r>
              <w:rPr>
                <w:rFonts w:ascii="Arial" w:cs="Arial" w:eastAsia="Arial" w:hAnsi="Arial"/>
                <w:sz w:val="16"/>
                <w:szCs w:val="16"/>
                <w:color w:val="auto"/>
              </w:rPr>
              <w:t>Total consolidated loss before income taxes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(622.9)</w:t>
            </w:r>
          </w:p>
        </w:tc>
      </w:tr>
      <w:tr>
        <w:trPr>
          <w:trHeight w:val="20"/>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0" w:right="140" w:hanging="344"/>
        <w:spacing w:after="0" w:line="275"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right="120" w:hanging="344"/>
        <w:spacing w:after="0" w:line="281" w:lineRule="auto"/>
        <w:tabs>
          <w:tab w:leader="none" w:pos="4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legal, professional, accounting and other advisory fees related to acquisitions, certain one-time costs related to being a newly public company as a result of the IPO in August 2020,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1" w:lineRule="exact"/>
        <w:rPr>
          <w:rFonts w:ascii="Arial" w:cs="Arial" w:eastAsia="Arial" w:hAnsi="Arial"/>
          <w:sz w:val="15"/>
          <w:szCs w:val="15"/>
          <w:color w:val="auto"/>
        </w:rPr>
      </w:pPr>
    </w:p>
    <w:p>
      <w:pPr>
        <w:ind w:left="480" w:hanging="344"/>
        <w:spacing w:after="0" w:line="250"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total charges of $3.2 million for the three months ended March 31, 2022 related to the July 2021 Restructuring Plan which are not accounted for as exit and disposal costs under ASC 420, including one-time offshore build out costs.</w:t>
      </w:r>
    </w:p>
    <w:p>
      <w:pPr>
        <w:spacing w:after="0" w:line="29" w:lineRule="exact"/>
        <w:rPr>
          <w:rFonts w:ascii="Arial" w:cs="Arial" w:eastAsia="Arial" w:hAnsi="Arial"/>
          <w:sz w:val="16"/>
          <w:szCs w:val="16"/>
          <w:color w:val="auto"/>
        </w:rPr>
      </w:pPr>
    </w:p>
    <w:p>
      <w:pPr>
        <w:ind w:left="480" w:hanging="344"/>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3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presents depreciation expense included in segment operating profit above for the three months ended March 31, 2022 and 2023.</w:t>
      </w:r>
    </w:p>
    <w:p>
      <w:pPr>
        <w:spacing w:after="0" w:line="316"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functions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7600" w:type="dxa"/>
            <w:vAlign w:val="bottom"/>
          </w:tcPr>
          <w:p>
            <w:pPr>
              <w:ind w:left="180"/>
              <w:spacing w:after="0"/>
              <w:rPr>
                <w:sz w:val="20"/>
                <w:szCs w:val="20"/>
                <w:color w:val="auto"/>
              </w:rPr>
            </w:pPr>
            <w:r>
              <w:rPr>
                <w:rFonts w:ascii="Arial" w:cs="Arial" w:eastAsia="Arial" w:hAnsi="Arial"/>
                <w:sz w:val="16"/>
                <w:szCs w:val="16"/>
                <w:color w:val="auto"/>
              </w:rPr>
              <w:t>Total depreciation expense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2 - MANAGEMENT’S DISCUSSION AND ANALYSIS OF FINANCIAL CONDITION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consolidated financial statements and the related notes included elsewhere in this Quarterly Report on Form 10-Q (this "Quarterly Report") and with the audited consolidated financial statements and the related notes included in our Annual Report. References to “Rackspace Technology,” “we,” “our company,” “the company,” “us,” or “our” refer to Rackspace Technology, Inc. and its consolidated subsidiaries.</w:t>
      </w:r>
    </w:p>
    <w:p>
      <w:pPr>
        <w:spacing w:after="0" w:line="215"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i w:val="1"/>
          <w:iCs w:val="1"/>
          <w:color w:val="auto"/>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1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On July 21, 2021, we committed to an internal restructuring plan (the "July 2021 Restructuring Plan"), to drive a change in the type and location of certain positions that was expected to result in the termination of approximately 10% of our workforce. We recorded total charges of $3.2 million for the three months ended March 31, 2022 related to this restructuring plan which are not accounted for as exit and disposal costs under ASC 420, consisting primarily of one-time offshore build out costs.</w:t>
      </w:r>
    </w:p>
    <w:p>
      <w:pPr>
        <w:spacing w:after="0" w:line="21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December 2022, we experienced a ransomware incident which caused service disruptions for our Hosted Exchange customers. The Hosted Exchange email business is a managed email solution provided to small and medium businesses and represented approximately 1% of our total annual revenue. Following discovery of the incident, we engaged an industry-leading global cybersecurity firm to help investigate the incident and remediate as necessary. The firm confirmed that the incident was quickly contained and limited solely to the Hosted Exchange email business. We have sunset the on-premises Hosted Exchange platform and have transitioned many customers from the Hosted Exchange platform to Microsoft 365 through our reseller agreement with Microsoft. During the three months ended March 31, 2023, we recorded $3.2 million of expenses related to the Hosted Exchange incident, including costs to investigate and remediate, legal and other professional services, and supplemental staff resources that were deployed to provide support to customers. We expect to continue to incur legal and other professional services costs in future periods and will expense those costs as incurred. We maintain cybersecurity insurance commensurate with the size of our business, and expect that a significant portion of the incremental costs related to the Hosted Exchange incident will be covered by insurance. However, the timing of insurance reimbursements may differ from the timing of recognition of the related expenses.</w:t>
      </w:r>
    </w:p>
    <w:p>
      <w:pPr>
        <w:spacing w:after="0" w:line="20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We have reflected this change in all historical comparative periods presented within this MD&amp;A.</w:t>
      </w:r>
    </w:p>
    <w:p>
      <w:pPr>
        <w:spacing w:after="0" w:line="214"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Our Public Cloud segment is a services-centric, capital-light model providing value-added cloud solutions through managed services, Elastic Engineering and professional services offerings for customer environments hosted on the Amazon Web Services ("AWS"), Microsoft Azure and Google Cloud public cloud platforms. Our Private Cloud segment is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See Item 1 of Part I, Financial Statements - Note 14, "Segment Reporting," for additional information about our segments.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For a description of subsequent events, see "Subsequent Events" in Item 1 of Part I, Financial Statements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Mix Shift</w:t>
      </w:r>
    </w:p>
    <w:p>
      <w:pPr>
        <w:spacing w:after="0" w:line="252"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the focus in Public Cloud is on expanding segment operating margins by driving cost efficiencies and growing services revenue, which are expected to come at higher margins than infrastructure resale.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recent years, the mix of our consolidated revenues has shifted from high capital intensity service offerings to low capital intensity service offerings and we expect this mix shift to continue. Historically, we primarily offered managed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managed public cloud services, application services and professional services, which have significantly lower success-based capital requirements because they allow us to leverage our partners’ infrastructure or technology to make our capital expenditures more efficient. As a result, we have recently experienced and expect to continue to experience changes in our capital expenditures requirements.</w:t>
      </w:r>
    </w:p>
    <w:p>
      <w:pPr>
        <w:spacing w:after="0" w:line="219"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capital expenditures equaled 4% and 9% of our revenue for the three months ended March 31, 2022 and 2023, respectively. While we saw an increase in capital expenditures for the three months ended March 31, 2023, we expect to return to our historical capital intensity levels over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income tax benefit (provision) and deferred tax assets and liabilities reflect management’s best assessment of estimated current and future taxes to be paid.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2023</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7.2 %</w:t>
            </w:r>
          </w:p>
        </w:tc>
      </w:tr>
      <w:tr>
        <w:trPr>
          <w:trHeight w:val="212"/>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Income (loss) from operations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(601.9)</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13.6 %</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Gain on debt extinguishment</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(22.1)%</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3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39" w:lineRule="exact"/>
        <w:rPr>
          <w:sz w:val="20"/>
          <w:szCs w:val="20"/>
          <w:color w:val="auto"/>
        </w:rPr>
      </w:pPr>
    </w:p>
    <w:p>
      <w:pPr>
        <w:ind w:right="260" w:firstLine="486"/>
        <w:spacing w:after="0" w:line="291" w:lineRule="auto"/>
        <w:rPr>
          <w:sz w:val="20"/>
          <w:szCs w:val="20"/>
          <w:color w:val="auto"/>
        </w:rPr>
      </w:pPr>
      <w:r>
        <w:rPr>
          <w:rFonts w:ascii="Arial" w:cs="Arial" w:eastAsia="Arial" w:hAnsi="Arial"/>
          <w:sz w:val="17"/>
          <w:szCs w:val="17"/>
          <w:color w:val="auto"/>
        </w:rPr>
        <w:t>Revenue decreased $17 million, or 2.2%, to $759 million in the three months ended March 31, 2023 from $776 million in the three months ended March 31, 2022. Revenue declined primarily due to Private Cloud, partially offset by growth in Public Cloud, as discussed below.</w:t>
      </w:r>
    </w:p>
    <w:p>
      <w:pPr>
        <w:spacing w:after="0" w:line="18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After removing the impact of foreign currency fluctuations, on a constant currency basis, revenue decreased 1.1% year-over-year. The following table presents revenue growth by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(a)</w:t>
            </w: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(10.8)%</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ind w:left="5540" w:hanging="111"/>
        <w:spacing w:after="0"/>
        <w:tabs>
          <w:tab w:leader="none" w:pos="5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Public Cloud revenue in the three months ended March 31, 2023 increased 7% on an actual and constant currency basis, from the three months ended March 31, 2022. Underlying growth was driven by both the acquisition of new customers and increased spend by existing customers, partially offset by cancellations by existing customers. Offerings in this segment with the strongest growth include infrastructure resale on AWS, Microsoft Azure and Google Cloud.</w:t>
      </w:r>
    </w:p>
    <w:p>
      <w:pPr>
        <w:spacing w:after="0" w:line="21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Private Cloud revenue in the three months ended March 31, 2023 decreased 12% on an actual basis, and 11% on a constant currency basis, from the three months ended March 31, 2022, from declines in our private cloud offerings and legacy OpenStack business and the impact from the Hosted Exchange incident.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Cost of revenue increased $40 million, or 7%, to $589 million in the three months ended March 31, 2023 from $550 million in the three months ended March 31, 2022, primarily due to an increase in usage charges for third-party infrastructure associated with growth in these offerings. In addition, personnel costs increased between periods primarily due to higher severance expense in the three months ended March 31, 2023.</w:t>
      </w:r>
    </w:p>
    <w:p>
      <w:pPr>
        <w:spacing w:after="0" w:line="176"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As a percentage of revenue, cost of revenue increased 670 basis points in the three months ended March 31, 2023 to 77.6% from 70.9% in the three months ended March 31, 2022, primarily driven by a 480 basis point increase in usage charges for third-party infrastructure. Higher personnel costs also contributed to the increase in basis points between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39"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gross profit was $170 million in the three months ended March 31, 2023, a decrease of $56 million from $226 million in the three months ended March 31, 2022. Our consolidated gross margin was 22.4% in the three months ended March 31, 2023, a decrease of 670 basis points from 29.1% in the three months ended 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Selling, general and administrative expenses increased $2 million, or 1%, to $208 million in the three months ended March 31, 2023 from $205 million in the three months ended March 31, 2022. Contributing to this increase were costs incurred in the current period related to the December 2022 Hosted Exchange incident. In addition, severance expense increased between periods. These expense increases were partially offset by lower share-based compensation, marketing spend, and depreciation and amortization expense.</w:t>
      </w:r>
    </w:p>
    <w:p>
      <w:pPr>
        <w:spacing w:after="0" w:line="21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a percentage of revenue, selling, general and administrative expenses increased 100 basis points, to 27.4% in the three months ended March 31, 2023 from 26.4% in the three months ended March 31, 2022, for the reasons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Operations, Segment Operating Profit, and Non-GAAP Operating Profit</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loss from operations was $581 million in the three months ended March 31, 2023, a decrease of $602 million from $21 million income from operations in the three months ended March 31, 2022. Our Non-GAAP Operating Profit was $51 million in the three months ended March 31, 2023, a decrease of $62 million from $112 million in the three months ended March 31, 2022. Non-GAAP Operating Profit is a non-GAAP financial measure. See “Non-GAAP Financial Measures” below for more information.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a reconciliation of income (loss) from operations to Non-GAAP Operating Profit.</w:t>
      </w:r>
    </w:p>
    <w:p>
      <w:pPr>
        <w:spacing w:after="0" w:line="388"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r>
      <w:tr>
        <w:trPr>
          <w:trHeight w:val="235"/>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Operating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80" w:right="160" w:hanging="339"/>
        <w:spacing w:after="0" w:line="275"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right="140" w:hanging="344"/>
        <w:spacing w:after="0" w:line="277" w:lineRule="auto"/>
        <w:tabs>
          <w:tab w:leader="none" w:pos="4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legal, professional, accounting and other advisory fees related to acquisitions, certain one-time costs related to being a newly public company as a result of the IPO in August 2020,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10" w:lineRule="exact"/>
        <w:rPr>
          <w:rFonts w:ascii="Arial" w:cs="Arial" w:eastAsia="Arial" w:hAnsi="Arial"/>
          <w:sz w:val="15"/>
          <w:szCs w:val="15"/>
          <w:color w:val="auto"/>
        </w:rPr>
      </w:pPr>
    </w:p>
    <w:p>
      <w:pPr>
        <w:ind w:left="480" w:right="20" w:hanging="339"/>
        <w:spacing w:after="0" w:line="250"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total charges of $3.2 million for the three months ended March 31, 2022 related to the July 2021 Restructuring Plan which are not accounted for as exit and disposal costs under ASC 420, including one-time offshore build out costs.</w:t>
      </w:r>
    </w:p>
    <w:p>
      <w:pPr>
        <w:spacing w:after="0" w:line="29" w:lineRule="exact"/>
        <w:rPr>
          <w:rFonts w:ascii="Arial" w:cs="Arial" w:eastAsia="Arial" w:hAnsi="Arial"/>
          <w:sz w:val="16"/>
          <w:szCs w:val="16"/>
          <w:color w:val="auto"/>
        </w:rPr>
      </w:pPr>
    </w:p>
    <w:p>
      <w:pPr>
        <w:ind w:left="480" w:hanging="34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3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segment operating profit and segment operating margin for the periods indicated, and the change between periods is shown in the table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w w:val="96"/>
              </w:rPr>
              <w:t>Three Months Ended March 31,</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84"/>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operating profit:</w:t>
            </w:r>
          </w:p>
        </w:tc>
        <w:tc>
          <w:tcPr>
            <w:tcW w:w="180" w:type="dxa"/>
            <w:vAlign w:val="bottom"/>
          </w:tcPr>
          <w:p>
            <w:pPr>
              <w:spacing w:after="0"/>
              <w:rPr>
                <w:sz w:val="13"/>
                <w:szCs w:val="13"/>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8"/>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136.8</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38.2 %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consolidated segment operating profit</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Corporate functions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Non-GAAP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Public Cloud operating profit decreased 29% in the three months ended March 31, 2023 from the three months ended March 31, 2022. Segment operating profit as a percentage of segment revenue decreased by 280 basis points, reflecting a 10% increase in segment operating expenses, partially offset by a 7% increase in segment revenue. The increase in costs was mainly driven by higher third-party infrastructure costs due to the increase in revenue with additional increases in customer licenses.</w:t>
      </w:r>
    </w:p>
    <w:p>
      <w:pPr>
        <w:spacing w:after="0" w:line="228"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Private Cloud operating profit decreased 32% in the three months ended March 31, 2023 from the three months ended March 31, 2022. Segment operating profit as a percentage of segment revenue decreased by 860 basis points, due to a 12% decrease in segment revenue, while segment operating expenses remained flat.</w:t>
      </w:r>
    </w:p>
    <w:p>
      <w:pPr>
        <w:spacing w:after="0" w:line="211" w:lineRule="exact"/>
        <w:rPr>
          <w:sz w:val="20"/>
          <w:szCs w:val="20"/>
          <w:color w:val="auto"/>
        </w:rPr>
      </w:pPr>
    </w:p>
    <w:p>
      <w:pPr>
        <w:ind w:right="300" w:firstLine="486"/>
        <w:spacing w:after="0" w:line="311" w:lineRule="auto"/>
        <w:rPr>
          <w:sz w:val="20"/>
          <w:szCs w:val="20"/>
          <w:color w:val="auto"/>
        </w:rPr>
      </w:pPr>
      <w:r>
        <w:rPr>
          <w:rFonts w:ascii="Arial" w:cs="Arial" w:eastAsia="Arial" w:hAnsi="Arial"/>
          <w:sz w:val="16"/>
          <w:szCs w:val="16"/>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increased 13% in the three months ended March 31, 2023 from the three months ended March 31, 2022 primarily due to increases in payroll costs.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more information about our segment operating profit, see Item 1 of Part I, Financial Statements - Note 14, "Segment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3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We recorded a total of $543 million in non-cash goodwill impairment charges in the three months ended March 31, 2023. There was no such impairment in the three months ended March 31, 2022.</w:t>
      </w:r>
    </w:p>
    <w:p>
      <w:pPr>
        <w:spacing w:after="0" w:line="19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 million in the fourth quarter of 2022 as described in our Annual Report.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0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See "Critical Accounting Policies and Estimates" in this section and Item 1 of Part I, Financial Statements - Note 5, "Goodwill and Intangible Assets" 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Interest expense increased $7 million, or 14%, to $57 million in the three months ended March 31, 2023 from 50 million in the three months ended March 31, 2022, due primarily to rising interest rates and the impact on our variable-rate Term Loan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Extinguishment</w:t>
      </w:r>
    </w:p>
    <w:p>
      <w:pPr>
        <w:spacing w:after="0" w:line="23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recorded a $13 million gain on debt extinguishment in the three months ended March 31, 2023 related to repurchases of $23 million principal amount of 5.375% Senior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had $2 million of other income and $4 million of other expense in the three months ended March 31, 2023 and March 31, 2022, respectively, primarily due to foreign currency transaction gains and losses between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9"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had an $11 million income tax benefit in the three months ended March 31, 2023 compared to a $6 million income tax expense in the three months ended March 31, 2022. Our effective tax rate increased to 1.7% in the three months ended March 31, 2023 from (17.2)% in the three months ended March 31, 2022. The increase in the effective tax rate year-over-year is primarily due to the tax impact associated with geographic distribution of profits, executive compensation that is nondeductible under Internal Revenue Code ("IRC") Section 162(m) and the tax effects from nondeductible share-based compensation. The difference between the effective tax rate and the statutory rate for the three months ended March 31, 2023 is primarily due to the tax impact associated with the goodwill impairments recorded in the first quarter of 2023, executive compensation that is nondeductible under IRC Section 162(m), the geographic distribution of profits, tax effects from nondeductible share-based compensation as well as an increase in the valuation allowance. The majority of the goodwill impairment recorded in the first quarter of 2023 was nondeductible for income tax purposes.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 presents,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4140" w:type="dxa"/>
            <w:vAlign w:val="bottom"/>
            <w:gridSpan w:val="7"/>
            <w:vMerge w:val="restart"/>
          </w:tcPr>
          <w:p>
            <w:pPr>
              <w:jc w:val="center"/>
              <w:ind w:right="159"/>
              <w:spacing w:after="0"/>
              <w:rPr>
                <w:sz w:val="20"/>
                <w:szCs w:val="20"/>
                <w:color w:val="auto"/>
              </w:rPr>
            </w:pPr>
            <w:r>
              <w:rPr>
                <w:rFonts w:ascii="Arial" w:cs="Arial" w:eastAsia="Arial" w:hAnsi="Arial"/>
                <w:sz w:val="16"/>
                <w:szCs w:val="16"/>
                <w:b w:val="1"/>
                <w:bCs w:val="1"/>
                <w:color w:val="auto"/>
                <w:w w:val="93"/>
              </w:rPr>
              <w:t>Three Months Ended March 31, 2023</w:t>
            </w:r>
          </w:p>
        </w:tc>
        <w:tc>
          <w:tcPr>
            <w:tcW w:w="100" w:type="dxa"/>
            <w:vAlign w:val="bottom"/>
          </w:tcPr>
          <w:p>
            <w:pPr>
              <w:spacing w:after="0"/>
              <w:rPr>
                <w:sz w:val="16"/>
                <w:szCs w:val="16"/>
                <w:color w:val="auto"/>
              </w:rPr>
            </w:pPr>
          </w:p>
        </w:tc>
        <w:tc>
          <w:tcPr>
            <w:tcW w:w="1800" w:type="dxa"/>
            <w:vAlign w:val="bottom"/>
            <w:gridSpan w:val="3"/>
            <w:vMerge w:val="restart"/>
          </w:tcPr>
          <w:p>
            <w:pPr>
              <w:ind w:left="1040"/>
              <w:spacing w:after="0"/>
              <w:rPr>
                <w:sz w:val="20"/>
                <w:szCs w:val="20"/>
                <w:color w:val="auto"/>
              </w:rPr>
            </w:pPr>
            <w:r>
              <w:rPr>
                <w:rFonts w:ascii="Arial" w:cs="Arial" w:eastAsia="Arial" w:hAnsi="Arial"/>
                <w:sz w:val="16"/>
                <w:szCs w:val="16"/>
                <w:b w:val="1"/>
                <w:bCs w:val="1"/>
                <w:color w:val="auto"/>
                <w:w w:val="95"/>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March 31, 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200" w:type="dxa"/>
            <w:vAlign w:val="bottom"/>
          </w:tcPr>
          <w:p>
            <w:pPr>
              <w:spacing w:after="0"/>
              <w:rPr>
                <w:sz w:val="13"/>
                <w:szCs w:val="13"/>
                <w:color w:val="auto"/>
              </w:rPr>
            </w:pPr>
          </w:p>
        </w:tc>
        <w:tc>
          <w:tcPr>
            <w:tcW w:w="120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rPr>
              <w:t>Revenue in</w:t>
            </w:r>
          </w:p>
        </w:tc>
        <w:tc>
          <w:tcPr>
            <w:tcW w:w="100" w:type="dxa"/>
            <w:vAlign w:val="bottom"/>
          </w:tcPr>
          <w:p>
            <w:pPr>
              <w:spacing w:after="0"/>
              <w:rPr>
                <w:sz w:val="13"/>
                <w:szCs w:val="13"/>
                <w:color w:val="auto"/>
              </w:rPr>
            </w:pP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340" w:type="dxa"/>
            <w:vAlign w:val="bottom"/>
            <w:vMerge w:val="restart"/>
          </w:tcPr>
          <w:p>
            <w:pPr>
              <w:spacing w:after="0"/>
              <w:rPr>
                <w:sz w:val="13"/>
                <w:szCs w:val="13"/>
                <w:color w:val="auto"/>
              </w:rPr>
            </w:pPr>
          </w:p>
        </w:tc>
        <w:tc>
          <w:tcPr>
            <w:tcW w:w="1020" w:type="dxa"/>
            <w:vAlign w:val="bottom"/>
          </w:tcPr>
          <w:p>
            <w:pPr>
              <w:jc w:val="right"/>
              <w:ind w:right="279"/>
              <w:spacing w:after="0" w:line="158" w:lineRule="exact"/>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Constant Currency</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1"/>
              </w:rPr>
              <w:t>Currency</w:t>
            </w: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8"/>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480" w:hanging="339"/>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present Non-GAAP Gross Profit in this MD&amp;A because we believe the measure is useful in analyzing trends in our underlying, recurring gross margins. We define Non-GAAP Gross Profit as gross profit, adjusted to exclude the impact of share-based compensation expense and other non-recurring or unusual compensation items, purchase accounting-related effects, certain business transformation-related costs, and costs related to the Hosted Exchange incident.</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a reconciliation of gross profit to Non-GAAP Gross Profit:</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38"/>
        </w:trPr>
        <w:tc>
          <w:tcPr>
            <w:tcW w:w="7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Non-GAAP Gross Profit</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480" w:right="80" w:hanging="45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hanging="45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59" w:lineRule="exact"/>
        <w:rPr>
          <w:rFonts w:ascii="Arial" w:cs="Arial" w:eastAsia="Arial" w:hAnsi="Arial"/>
          <w:sz w:val="16"/>
          <w:szCs w:val="16"/>
          <w:color w:val="auto"/>
        </w:rPr>
      </w:pPr>
    </w:p>
    <w:p>
      <w:pPr>
        <w:ind w:left="480" w:right="80" w:hanging="454"/>
        <w:spacing w:after="0" w:line="230"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 Non-GAAP Operating Profit and Adjusted EBITDA</w:t>
      </w:r>
    </w:p>
    <w:p>
      <w:pPr>
        <w:spacing w:after="0" w:line="25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195" w:lineRule="exact"/>
        <w:rPr>
          <w:sz w:val="20"/>
          <w:szCs w:val="20"/>
          <w:color w:val="auto"/>
        </w:rPr>
      </w:pPr>
    </w:p>
    <w:p>
      <w:pPr>
        <w:jc w:val="both"/>
        <w:ind w:right="240" w:firstLine="486"/>
        <w:spacing w:after="0" w:line="279" w:lineRule="auto"/>
        <w:rPr>
          <w:sz w:val="20"/>
          <w:szCs w:val="20"/>
          <w:color w:val="auto"/>
        </w:rPr>
      </w:pPr>
      <w:r>
        <w:rPr>
          <w:rFonts w:ascii="Arial" w:cs="Arial" w:eastAsia="Arial" w:hAnsi="Arial"/>
          <w:sz w:val="17"/>
          <w:szCs w:val="17"/>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and certain other non-operating, non-recurring or non-core gains and losses, as well as the tax effects of these non-GAAP adjustments.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and certain other non-operating, non-recurring or non-core gains and losses.</w:t>
      </w:r>
    </w:p>
    <w:p>
      <w:pPr>
        <w:spacing w:after="0" w:line="21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define Adjusted EBITDA as net income (loss) adjusted to exclude the impact of non-cash charges for share-based compensation, special bonuses and other compensation expense, transaction-related costs and adjustments, restructuring and transformation charges, costs related to the Hosted Exchange incident, certain other non-operating, non-recurring or non-core gains and losses, interest expense, income taxes, depreciation and amortization, and goodwill and asset impairment charges.</w:t>
      </w:r>
    </w:p>
    <w:p>
      <w:pPr>
        <w:spacing w:after="0" w:line="214"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19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08" w:lineRule="exact"/>
        <w:rPr>
          <w:sz w:val="20"/>
          <w:szCs w:val="20"/>
          <w:color w:val="auto"/>
        </w:rPr>
      </w:pPr>
    </w:p>
    <w:p>
      <w:pPr>
        <w:ind w:right="280" w:firstLine="486"/>
        <w:spacing w:after="0" w:line="270" w:lineRule="auto"/>
        <w:rPr>
          <w:sz w:val="20"/>
          <w:szCs w:val="20"/>
          <w:color w:val="auto"/>
        </w:rPr>
      </w:pPr>
      <w:r>
        <w:rPr>
          <w:rFonts w:ascii="Arial" w:cs="Arial" w:eastAsia="Arial" w:hAnsi="Arial"/>
          <w:sz w:val="17"/>
          <w:szCs w:val="17"/>
          <w:color w:val="auto"/>
        </w:rPr>
        <w:t>The following tables present a reconciliation of Non-GAAP Net Income (Loss) and Adjusted EBITDA to the most directly comparable GAAP financial measures. For a reconciliation of income (loss) from operations to Non-GAAP Operating Profit, see “</w:t>
      </w:r>
      <w:r>
        <w:rPr>
          <w:rFonts w:ascii="Arial" w:cs="Arial" w:eastAsia="Arial" w:hAnsi="Arial"/>
          <w:sz w:val="17"/>
          <w:szCs w:val="17"/>
          <w:i w:val="1"/>
          <w:iCs w:val="1"/>
          <w:color w:val="auto"/>
        </w:rPr>
        <w:t>Income (Loss) from Operations, Segment</w:t>
      </w:r>
      <w:r>
        <w:rPr>
          <w:rFonts w:ascii="Arial" w:cs="Arial" w:eastAsia="Arial" w:hAnsi="Arial"/>
          <w:sz w:val="17"/>
          <w:szCs w:val="17"/>
          <w:color w:val="auto"/>
        </w:rPr>
        <w:t xml:space="preserve"> </w:t>
      </w:r>
      <w:r>
        <w:rPr>
          <w:rFonts w:ascii="Arial" w:cs="Arial" w:eastAsia="Arial" w:hAnsi="Arial"/>
          <w:sz w:val="17"/>
          <w:szCs w:val="17"/>
          <w:i w:val="1"/>
          <w:iCs w:val="1"/>
          <w:color w:val="auto"/>
        </w:rPr>
        <w:t>Operating Profit, and Non-GAAP Operating Profit</w:t>
      </w:r>
      <w:r>
        <w:rPr>
          <w:rFonts w:ascii="Arial" w:cs="Arial" w:eastAsia="Arial" w:hAnsi="Arial"/>
          <w:sz w:val="17"/>
          <w:szCs w:val="17"/>
          <w:color w:val="auto"/>
        </w:rPr>
        <w:t>” in the year-over-year comparison under "Results of Operations"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Non-GAAP Net Income (Loss)</w:t>
      </w:r>
    </w:p>
    <w:p>
      <w:pPr>
        <w:spacing w:after="0" w:line="13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on debt extinguishment </w:t>
            </w:r>
            <w:r>
              <w:rPr>
                <w:rFonts w:ascii="Arial" w:cs="Arial" w:eastAsia="Arial" w:hAnsi="Arial"/>
                <w:sz w:val="21"/>
                <w:szCs w:val="21"/>
                <w:color w:val="auto"/>
                <w:vertAlign w:val="superscript"/>
              </w:rPr>
              <w:t>(e)</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(f)</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(g)</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35"/>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Net Income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Adjusted EBITDA</w:t>
      </w:r>
    </w:p>
    <w:p>
      <w:pPr>
        <w:spacing w:after="0" w:line="13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Hosted Exchange incident expenses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on debt extinguishment </w:t>
            </w:r>
            <w:r>
              <w:rPr>
                <w:rFonts w:ascii="Arial" w:cs="Arial" w:eastAsia="Arial" w:hAnsi="Arial"/>
                <w:sz w:val="21"/>
                <w:szCs w:val="21"/>
                <w:color w:val="auto"/>
                <w:vertAlign w:val="superscript"/>
              </w:rPr>
              <w:t>(e)</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(f)</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(i)</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r>
      <w:tr>
        <w:trPr>
          <w:trHeight w:val="209"/>
        </w:trPr>
        <w:tc>
          <w:tcPr>
            <w:tcW w:w="794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160" w:hanging="339"/>
        <w:spacing w:after="0" w:line="275"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right="140" w:hanging="344"/>
        <w:spacing w:after="0" w:line="281" w:lineRule="auto"/>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legal, professional, accounting and other advisory fees related to acquisitions, certain one-time costs related to being a newly public company as a result of the IPO in August 2020,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1" w:lineRule="exact"/>
        <w:rPr>
          <w:rFonts w:ascii="Arial" w:cs="Arial" w:eastAsia="Arial" w:hAnsi="Arial"/>
          <w:sz w:val="15"/>
          <w:szCs w:val="15"/>
          <w:color w:val="auto"/>
        </w:rPr>
      </w:pPr>
    </w:p>
    <w:p>
      <w:pPr>
        <w:ind w:left="480" w:right="20" w:hanging="339"/>
        <w:spacing w:after="0" w:line="256"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total charges of $3.2 million for the three months ended March 31, 2022 related to the July 2021 Restructuring Plan which are not accounted for as exit and disposal costs under ASC 420, including one-time offshore build out costs.</w:t>
      </w:r>
    </w:p>
    <w:p>
      <w:pPr>
        <w:spacing w:after="0" w:line="11" w:lineRule="exact"/>
        <w:rPr>
          <w:rFonts w:ascii="Arial" w:cs="Arial" w:eastAsia="Arial" w:hAnsi="Arial"/>
          <w:sz w:val="16"/>
          <w:szCs w:val="16"/>
          <w:color w:val="auto"/>
        </w:rPr>
      </w:pPr>
    </w:p>
    <w:p>
      <w:pPr>
        <w:ind w:left="480" w:hanging="344"/>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w:t>
      </w:r>
    </w:p>
    <w:p>
      <w:pPr>
        <w:spacing w:after="0" w:line="59" w:lineRule="exact"/>
        <w:rPr>
          <w:rFonts w:ascii="Arial" w:cs="Arial" w:eastAsia="Arial" w:hAnsi="Arial"/>
          <w:sz w:val="16"/>
          <w:szCs w:val="16"/>
          <w:color w:val="auto"/>
        </w:rPr>
      </w:pPr>
    </w:p>
    <w:p>
      <w:pPr>
        <w:ind w:left="480" w:hanging="339"/>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gains related to repurchases of 5.375% Senior Notes.</w:t>
      </w:r>
    </w:p>
    <w:p>
      <w:pPr>
        <w:spacing w:after="0" w:line="59" w:lineRule="exact"/>
        <w:rPr>
          <w:rFonts w:ascii="Arial" w:cs="Arial" w:eastAsia="Arial" w:hAnsi="Arial"/>
          <w:sz w:val="16"/>
          <w:szCs w:val="16"/>
          <w:color w:val="auto"/>
        </w:rPr>
      </w:pPr>
    </w:p>
    <w:p>
      <w:pPr>
        <w:ind w:left="480" w:hanging="330"/>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Primarily consists of foreign currency gains and losses.</w:t>
      </w:r>
    </w:p>
    <w:p>
      <w:pPr>
        <w:spacing w:after="0" w:line="59" w:lineRule="exact"/>
        <w:rPr>
          <w:rFonts w:ascii="Arial" w:cs="Arial" w:eastAsia="Arial" w:hAnsi="Arial"/>
          <w:sz w:val="16"/>
          <w:szCs w:val="16"/>
          <w:color w:val="auto"/>
        </w:rPr>
      </w:pPr>
    </w:p>
    <w:p>
      <w:pPr>
        <w:ind w:left="480" w:hanging="344"/>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59" w:lineRule="exact"/>
        <w:rPr>
          <w:rFonts w:ascii="Arial" w:cs="Arial" w:eastAsia="Arial" w:hAnsi="Arial"/>
          <w:sz w:val="16"/>
          <w:szCs w:val="16"/>
          <w:color w:val="auto"/>
        </w:rPr>
      </w:pPr>
    </w:p>
    <w:p>
      <w:pPr>
        <w:ind w:left="480" w:right="60" w:hanging="344"/>
        <w:spacing w:after="0" w:line="267" w:lineRule="auto"/>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2022 and 2023 interim periods, we based it on an average of the 2021 and estimated 2022 tax rates and 2022 and estimated 2023 tax rates, respectively, recomputed to remove the tax effect of non-GAAP pre-tax adjustments and non-recurring tax adjustments, resulting in a structural non-GAAP tax rate of 26% for both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4" w:lineRule="exact"/>
        <w:rPr>
          <w:sz w:val="20"/>
          <w:szCs w:val="20"/>
          <w:color w:val="auto"/>
        </w:rPr>
      </w:pPr>
    </w:p>
    <w:p>
      <w:pPr>
        <w:ind w:left="480" w:hanging="326"/>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Earnings (Loss) Per Share</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Earnings (Loss) Per Share to our GAAP net loss per share on a diluted basis:</w:t>
      </w:r>
    </w:p>
    <w:p>
      <w:pPr>
        <w:spacing w:after="0" w:line="35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Non-GAAP Net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7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213.2</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794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(b)</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30"/>
        </w:trPr>
        <w:tc>
          <w:tcPr>
            <w:tcW w:w="7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1"/>
                <w:szCs w:val="21"/>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34"/>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Earnings (Loss) Per Share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60" w:hanging="339"/>
        <w:spacing w:after="0" w:line="251"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impact of awards that would have been anti-dilutive to net loss per share, and therefore not included in the calculation, but would be dilutive to Non-GAAP Earnings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Arial" w:cs="Arial" w:eastAsia="Arial" w:hAnsi="Arial"/>
          <w:sz w:val="17"/>
          <w:szCs w:val="17"/>
          <w:color w:val="auto"/>
        </w:rPr>
        <w:t>C")</w:t>
      </w:r>
      <w:r>
        <w:rPr>
          <w:rFonts w:ascii="Arial" w:cs="Arial" w:eastAsia="Arial" w:hAnsi="Arial"/>
          <w:sz w:val="16"/>
          <w:szCs w:val="16"/>
          <w:color w:val="auto"/>
        </w:rPr>
        <w:t>, which are included in the denominator for the entire period if such shares would be issuable as of the end of the reporting period assuming the end of the reporting period was the end of the contingency period.</w:t>
      </w:r>
    </w:p>
    <w:p>
      <w:pPr>
        <w:spacing w:after="0" w:line="31" w:lineRule="exact"/>
        <w:rPr>
          <w:rFonts w:ascii="Arial" w:cs="Arial" w:eastAsia="Arial" w:hAnsi="Arial"/>
          <w:sz w:val="16"/>
          <w:szCs w:val="16"/>
          <w:color w:val="auto"/>
        </w:rPr>
      </w:pPr>
    </w:p>
    <w:p>
      <w:pPr>
        <w:ind w:left="480" w:right="520" w:hanging="344"/>
        <w:spacing w:after="0" w:line="275"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(Loss)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3" w:lineRule="exact"/>
        <w:rPr>
          <w:rFonts w:ascii="Arial" w:cs="Arial" w:eastAsia="Arial" w:hAnsi="Arial"/>
          <w:sz w:val="16"/>
          <w:szCs w:val="16"/>
          <w:color w:val="auto"/>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the Revolving Credit Facility. As of March 31, 2023, the Revolving Credit Facility provided for up to $375 million of borrowings, none of which was drawn as of March 31, 2023. Our primary uses of cash are working capital requirements, debt service requirements and capital expenditures. Based on our current level of operations and available cash, we believe our sources will provide sufficient liquidity over at least the next twelve months.</w:t>
      </w:r>
    </w:p>
    <w:p>
      <w:pPr>
        <w:spacing w:after="0" w:line="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0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5.375% Senior Notes (the "5.375% Notes Indenture") or the indenture governing the 3.50% Senior Secured Notes (the "3.50% Notes Indenture" and, together with the 5.375% Notes Indenture, the "Indentures"), if applicable), for cash or other consideration.</w:t>
      </w:r>
    </w:p>
    <w:p>
      <w:pPr>
        <w:spacing w:after="0" w:line="18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On March 3, 2022, our board of directors authorized a program to repurchase up to $75 million of shares of our common stock from time to time through open-market transactions, privately negotiated transactions, accelerated share repurchases and other transactions in accordance with applicable security laws. During the three months ended March 31, 2022, we repurchased $4 million, or 0.4 million shares, of our common stock on the open market under this program. No shares were repurchased during the three months ended March 31, 2023. As of March 31, 2023, approximately $44 million of the amount authorized by the board under the current program remained available for additional purchases.</w:t>
      </w:r>
    </w:p>
    <w:p>
      <w:pPr>
        <w:spacing w:after="0" w:line="20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At March 31, 2023, we held $174 million in cash and cash equivalents (not including $3 million in restricted cash, which is included in "Other non-current assets"), of which $102 million was held by foreign entities.</w:t>
      </w:r>
    </w:p>
    <w:p>
      <w:pPr>
        <w:spacing w:after="0" w:line="197"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We have entered into installment payment arrangements with certain equipment and software vendors, along with sale-leaseback arrangements for equipment and certain property leases that are considered financing obligations. We had $61 million outstanding with respect to these arrangements as of March 31, 2023. We may choose to utilize these various sources of funding in future periods.</w:t>
      </w:r>
    </w:p>
    <w:p>
      <w:pPr>
        <w:spacing w:after="0" w:line="211"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We also lease certain equipment and real estate under operating and finance lease agreements. We had $535 million outstanding with respect to operating and finance lease agreements as of March 31, 2023. We may choose to utilize such leasing arrangements in future periods.</w:t>
      </w:r>
    </w:p>
    <w:p>
      <w:pPr>
        <w:spacing w:after="0" w:line="151"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As of March 31, 2023, we had $3,331 million aggregate principal amount outstanding under our Term Loan Facility, 5.375% Senior Notes, and 3.50% Senior Secured Notes, with $375 million of borrowing capacity available under the Revolving Credit Facility.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w:t>
      </w:r>
      <w:r>
        <w:rPr>
          <w:rFonts w:ascii="Arial" w:cs="Arial" w:eastAsia="Arial" w:hAnsi="Arial"/>
          <w:sz w:val="18"/>
          <w:szCs w:val="18"/>
          <w:b w:val="1"/>
          <w:bCs w:val="1"/>
          <w:i w:val="1"/>
          <w:iCs w:val="1"/>
          <w:color w:val="auto"/>
        </w:rPr>
        <w:t>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February 9, 2021, we amended and restated the credit agreement governing our senior secured credit facilities (the "First Lien Credit Agreement"), which included a new seven-year $2,300 million senior secured first lien term loan facility (the "Term Loan Facility") and the Revolving Credit Facility (together, the "Senior Facilities"). We used the borrowings under the Term Loan Facility, together with the proceeds from the issuance of the 3.50% Senior Secured Notes described below (together, the "February 2021 Refinancing Transaction"), to repay all borrowings under the prior term loan facility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0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Interest on the Term Loan Facility is due at the end of each interest period elected, not exceeding 90 days, for LIBOR loans and at the end of every calendar quarter for base rate loans. As of March 31, 2023, the interest rate on the Term Loan Facility was 7.60%. We are required to make quarterly amortization payments of $5.8 million, which began on June 30, 2021. The Revolving Credit Facility includes a commitment fee equal to 0.50% per annum in respect of the unused commitments that is due quarterly. This fee is subject to one step-down based on the net first lien leverage ratio. The Senior Facilities require us to make certain mandatory prepayments under certain conditions defined in the credit agreement.</w:t>
      </w: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As of March 31, 2023, $2,254 million aggregate principal amount of the Term Loan Facility remained outstanding. See Item 1 of Part I, Financial Statements - Note 6, "Debt," for more information regarding our Senior Facilities.</w:t>
      </w:r>
    </w:p>
    <w:p>
      <w:pPr>
        <w:spacing w:after="0" w:line="19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the LIBOR rate. See Item 1 of Part I, Financial Statements - Note 11, "Derivatives," for more information on the interest rate swap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Senior Secured Notes due 2028</w:t>
      </w:r>
    </w:p>
    <w:p>
      <w:pPr>
        <w:spacing w:after="0" w:line="252"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We may redeem some or all of the 3.50% Senior Secured Notes at our option prior to February 15, 2024 subject to certain limitations and conditions outlined in the 3.50% Notes Indenture.</w:t>
      </w:r>
    </w:p>
    <w:p>
      <w:pPr>
        <w:spacing w:after="0" w:line="198"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3.50% Senior Secured Notes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$550 million aggregate principal amount of the 3.50% Senior Secured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2028</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guaranteed on a senior unsecured basis by all of Rackspace Technology Global’s wholly-owned domestic restricted subsidiaries that guarantee the Senior Facilities.</w:t>
      </w:r>
    </w:p>
    <w:p>
      <w:pPr>
        <w:spacing w:after="0" w:line="21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During the three months ended March 31, 2023, we repurchased and surrendered for cancellation $23 million aggregate principal amount of 5.375% Senior Notes for $10 million, including accrued interest of $0.3 million and excluding related fees and expenses.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$527 million aggregate principal amount of the 5.375% Senior Notes remained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Our Term Loan Facility is not subject to a financial maintenance covenant. The Revolving Credit Facility includes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respectively, at a price in cash equal to 101.000% of the aggregate principal amount, plus accrued and unpaid interest, if any, to, but not including the purchase date.</w:t>
      </w:r>
    </w:p>
    <w:p>
      <w:pPr>
        <w:spacing w:after="0" w:line="219"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we were in compliance with all covenants under the Senior Facilities and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12"/>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Data center build outs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build outs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Capital expenditures were $72 million in the three months ended March 31, 2023, compared to $31 million in the three months ended March 31, 2022, an increase of $41 million. The increase in capital expenditures was driven by purchases of customer gear originally intended to support a specific new customer. This new customer did not materialize as expected; however, the gear is fungible and will be redeployed to support other business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45"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12"/>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89"/>
              </w:rPr>
              <w:t>64.5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859"/>
              <w:spacing w:after="0"/>
              <w:rPr>
                <w:sz w:val="20"/>
                <w:szCs w:val="20"/>
                <w:color w:val="auto"/>
              </w:rPr>
            </w:pPr>
            <w:r>
              <w:rPr>
                <w:rFonts w:ascii="Arial" w:cs="Arial" w:eastAsia="Arial" w:hAnsi="Arial"/>
                <w:sz w:val="16"/>
                <w:szCs w:val="16"/>
                <w:color w:val="auto"/>
                <w:w w:val="95"/>
              </w:rPr>
              <w:t>(25.9)</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w w:val="95"/>
              </w:rPr>
              <w:t>(40.8)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52"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Net cash provided by (used in)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7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Net cash used in operating activities was $2 million in the three months ended March 31, 2023 compared to cash provided by operating activities of $65 million in the three months ended March 31, 2022. The reduction in operating cash was primarily driven by a $94 million increase in operating expense payments, largely for third-party infrastructure costs, and a $10 million increase in interest payments on debt. Partially offsetting the cash used in operating activities was a $48 million increase in cash collections, primarily as a result of increased focus on collection efforts with customers, and to a lesser extent, timing of collections.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211"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color w:val="auto"/>
        </w:rPr>
        <w:t>Net cash used in investing activities decreased $14 million, or 55%, in the three months ended March 31, 2023 compared to the three months ended March 31, 2022. The decrease was driven by a $7 million reduction in cash purchases of property, equipment, and software year-over-year. In addition, we made an $8 million cash payment in connection with the acquisition of Just Analytics Pte. Ltd. during the three months ended March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Net cash used in financing activities increased $1 million, or 1%, in the three months ended March 31, 2023 compared to the three months ended March 31, 2022. The change was primarily driven by a $10 million increase in payments related to long-term debt between periods as the current period includes $10 million of 5.375% Senior Note repurchases, while the prior period only includes quarterly principal payments on our Term Loan Facility. The remaining variance includes a $3 million increase in finance lease principal payments between periods. These drivers were partially offset by $4 million in common stock share repurchases during the three months ended March 31, 2022 as part of the program authorized in March 2022 and an $8 million reduction in principal payments of financing obligations.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critical accounting policies and estimates have not changed from those described in our Annual Report under "Management's Discussion and Analysis of Financial Condition and Results of Operations - Critical Accounting Policies and Estimates." For a description of recent accounting pronouncements, see Item 1 of Part I, Financial Statements - Note 1, "Company Overview, Basis of Presentation, and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52"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15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1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two reporting units with goodwill: Public Cloud and Private Cloud. Goodwill allocated to our third reporting unit, OpenStack Public Cloud, was fully impaired during the fourth quarter of 2021.</w:t>
      </w:r>
    </w:p>
    <w:p>
      <w:pPr>
        <w:spacing w:after="0" w:line="205"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and projected margins, which are dependent on internal cash flow forecasts; (iii) estimation of the terminal growth rates and capital spending; and</w:t>
      </w:r>
    </w:p>
    <w:p>
      <w:pPr>
        <w:spacing w:after="0" w:line="2" w:lineRule="exact"/>
        <w:rPr>
          <w:sz w:val="20"/>
          <w:szCs w:val="20"/>
          <w:color w:val="auto"/>
        </w:rPr>
      </w:pPr>
    </w:p>
    <w:p>
      <w:pPr>
        <w:ind w:right="200" w:firstLine="8"/>
        <w:spacing w:after="0" w:line="292" w:lineRule="auto"/>
        <w:tabs>
          <w:tab w:leader="none" w:pos="3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determination of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3" w:lineRule="exact"/>
        <w:rPr>
          <w:rFonts w:ascii="Arial" w:cs="Arial" w:eastAsia="Arial" w:hAnsi="Arial"/>
          <w:sz w:val="16"/>
          <w:szCs w:val="16"/>
          <w:color w:val="auto"/>
        </w:rPr>
      </w:pPr>
    </w:p>
    <w:p>
      <w:pPr>
        <w:ind w:left="5540" w:hanging="111"/>
        <w:spacing w:after="0"/>
        <w:tabs>
          <w:tab w:leader="none" w:pos="5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For the quantitative goodwill impairment analysis, we utilize the income approach to determine the fair value of our reporting units. The income approach utilizes a discounted cash flow method which is based on the present value of projected cash flows. The discounted cash flow models reflect our assumptions regarding revenue growth rates, projected gross profit margins, risk-adjusted discount rate, terminal period growth rate, economic and market trends and other expectations about the anticipated operating results of our reporting units. The terminal period growth rate is selected based on economic conditions and consideration of growth rates used in the forecast period and historical performance of the reporting unit.</w:t>
      </w:r>
    </w:p>
    <w:p>
      <w:pPr>
        <w:spacing w:after="0" w:line="18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 million in the fourth quarter of 2022 as described in our Annual Report.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22"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For the quantitative goodwill impairment analysis performed as of January 1, 2023, we utilized a range of our weighted-average cost of capital of 10.5% to 12%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which is included in "Impairment of goodwill" in our Consolidated Statements of Comprehensive Loss for the three months ended March 31, 2023. The impairment primarily resulted from reduced growth rates as compared to the former Multicloud Services reporting unit and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p>
    <w:p>
      <w:pPr>
        <w:spacing w:after="0" w:line="19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w:t>
      </w:r>
    </w:p>
    <w:p>
      <w:pPr>
        <w:spacing w:after="0" w:line="215"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0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which is included in "Impairment of goodwill" in our Consolidated Statements of Comprehensive Loss for the three months ended March 31, 2023.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spacing w:after="0" w:line="21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As of both January 1, 2023 and March 31, 2023,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and a discount rate of 11%. We completed the quantitative assessments of our indefinite-lived intangible asset prior to testing our goodwill for impairment as of January 1, 2023 and March 31, 2023 which did not indicate any impairment of the Rackspace trade name.</w:t>
      </w:r>
    </w:p>
    <w:p>
      <w:pPr>
        <w:spacing w:after="0" w:line="21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fair value determination of our reporting units and our indefinite-lived intangible asset is judgmental in nature and requires the use of estimates and assumptions that are sensitive to changes. Assumptions include estimation of the royalty rate,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We also performed recoverability tests of our long-lived assets in conjunction with the goodwill impairment analyses as of January 1, 2023 and March 31, 2023 which did not result in any impairment charges.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We are exposed to interest rate risk associated with fluctuations in interest rates on our floating-rate debt under our Senior Facilities, which includes our $375 million Revolving Credit Facility and $2,254 million outstanding under the Term Loan Facility. As of March 31, 2023, there were no outstanding borrowings under the Revolving Credit Facility and therefore our only variable-rate debt outstanding was the $2,254 million outstanding under the Term Loan Facility. As of March 31, 2023, assuming the Revolving Credit Facility was fully drawn, each 0.125% change in assumed blended interest rates would result in a $3 million change in annual interest expense on indebtedness under the Senior Facilities.</w:t>
      </w:r>
    </w:p>
    <w:p>
      <w:pPr>
        <w:spacing w:after="0" w:line="20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Term Loan Facility bears interest at an annual rate equal to an applicable margin plus three-month LIBOR, subject to a 0.75% floor. We have entered into interest rate swap agreements indexed to three-month LIBOR in order to manage our risk from fluctuations in three-month LIBOR above the 0.75% floor. During 2022, three of these swap agreements matured. The fixed rate for the remaining swap agreement is presented in the table below. As of March 31, 2023, the interest rate on the Term Loan Facility was 7.60%, equal to an applicable margin of 2.75% plus three-month LIBOR for the interest period of 4.85%.</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the swap outstanding as of March 31, 2023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120" w:type="dxa"/>
            <w:vAlign w:val="bottom"/>
            <w:vMerge w:val="restart"/>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Effective Date</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Notional Amount (in</w:t>
            </w: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Fixed Rate Paid</w:t>
            </w:r>
          </w:p>
        </w:tc>
        <w:tc>
          <w:tcPr>
            <w:tcW w:w="100" w:type="dxa"/>
            <w:vAlign w:val="bottom"/>
            <w:vMerge w:val="restart"/>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millions)</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February 2021</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9,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2.3820%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9, 2026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1 of Part I, Financial Statements - Note 11, "Derivatives," for more information on interest rate swaps.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7"/>
          <w:szCs w:val="17"/>
          <w:i w:val="1"/>
          <w:iCs w:val="1"/>
          <w:color w:val="auto"/>
        </w:rPr>
        <w:t>Constant Currency Revenue</w:t>
      </w:r>
      <w:r>
        <w:rPr>
          <w:rFonts w:ascii="Arial" w:cs="Arial" w:eastAsia="Arial" w:hAnsi="Arial"/>
          <w:sz w:val="17"/>
          <w:szCs w:val="17"/>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three months ended March 31, 2023, we recognized foreign currency transaction gains of $2 million within “Other income (expense), net” in our Consolidated Statements of Comprehensive Income (Loss). As we grow our international operations, our exposure to foreign currency translation and transaction risk could become more significant.</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in the past and may in the future enter into foreign currency hedging instruments to limit our exposure to foreign currency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39"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We are a large consumer of power. In the three months ended March 31, 2023, we expensed approximately $10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LEGAL PROCEEDINGS</w:t>
      </w:r>
    </w:p>
    <w:p>
      <w:pPr>
        <w:spacing w:after="0" w:line="256" w:lineRule="exact"/>
        <w:rPr>
          <w:sz w:val="20"/>
          <w:szCs w:val="20"/>
          <w:color w:val="auto"/>
        </w:rPr>
      </w:pPr>
    </w:p>
    <w:p>
      <w:pPr>
        <w:jc w:val="both"/>
        <w:ind w:right="60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Hosted Exchange Incident</w:t>
      </w:r>
    </w:p>
    <w:p>
      <w:pPr>
        <w:spacing w:after="0" w:line="252"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We are named in several lawsuits in connection with our previously disclosed ransomware incident. The pending lawsuits seek, among other things, equitable and compensatory relief. We are vigorously defending these matters. We do not expect any of these claims, individually or in the aggregate, to have a material adverse effect on our consolidated financial position or results of operations. However, at this early stage in the proceedings, we are not able to determine the probability of the outcome of these matters or a range of reasonably expected losses, if any. We maintain insurance, including coverage for cyber-attacks, subject to certain deductibles and policy limitations, in an amount that we believe appropriate.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56"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99"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March 31, 2023, we did not repurchase any of our common stock.</w:t>
      </w:r>
    </w:p>
    <w:p>
      <w:pPr>
        <w:spacing w:after="0" w:line="252"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On March 3, 2022, our board of directors authorized a program to repurchase up to $75.0 million of shares of our common stock. The authorization was effective immediately, expires on September 30, 2023 and can be discontinued at any time. Under the program, shares may be repurchased from time to time through open-market transactions (including pre-set trading plans), privately negotiated transactions, accelerated share repurchases and other transactions in accordance with applicable security laws. As of March 31, 2023, $44.0 million remains available to be purchased under this program.</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ITEM 5 –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0000FF"/>
                <w:w w:val="90"/>
              </w:rPr>
              <w:t>Table of Contents</w:t>
            </w:r>
          </w:p>
        </w:tc>
        <w:tc>
          <w:tcPr>
            <w:tcW w:w="19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831"/>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960" w:type="dxa"/>
            <w:vAlign w:val="bottom"/>
            <w:gridSpan w:val="8"/>
          </w:tcPr>
          <w:p>
            <w:pPr>
              <w:ind w:left="1520"/>
              <w:spacing w:after="0"/>
              <w:rPr>
                <w:sz w:val="20"/>
                <w:szCs w:val="20"/>
                <w:color w:val="auto"/>
              </w:rPr>
            </w:pPr>
            <w:r>
              <w:rPr>
                <w:rFonts w:ascii="Arial" w:cs="Arial" w:eastAsia="Arial" w:hAnsi="Arial"/>
                <w:sz w:val="18"/>
                <w:szCs w:val="18"/>
                <w:b w:val="1"/>
                <w:bCs w:val="1"/>
                <w:color w:val="auto"/>
              </w:rPr>
              <w:t>ITEM 6 – EXHIBITS</w:t>
            </w:r>
          </w:p>
        </w:tc>
      </w:tr>
      <w:tr>
        <w:trPr>
          <w:trHeight w:val="445"/>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9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gridSpan w:val="2"/>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7960" w:type="dxa"/>
            <w:vAlign w:val="bottom"/>
            <w:tcBorders>
              <w:bottom w:val="single" w:sz="8" w:color="auto"/>
            </w:tcBorders>
            <w:gridSpan w:val="8"/>
          </w:tcPr>
          <w:p>
            <w:pPr>
              <w:ind w:left="2240"/>
              <w:spacing w:after="0"/>
              <w:rPr>
                <w:sz w:val="20"/>
                <w:szCs w:val="20"/>
                <w:color w:val="auto"/>
              </w:rPr>
            </w:pPr>
            <w:r>
              <w:rPr>
                <w:rFonts w:ascii="Arial" w:cs="Arial" w:eastAsia="Arial" w:hAnsi="Arial"/>
                <w:sz w:val="18"/>
                <w:szCs w:val="18"/>
                <w:b w:val="1"/>
                <w:bCs w:val="1"/>
                <w:color w:val="auto"/>
              </w:rPr>
              <w:t>Exhibit Description</w:t>
            </w:r>
          </w:p>
        </w:tc>
      </w:tr>
      <w:tr>
        <w:trPr>
          <w:trHeight w:val="196"/>
        </w:trPr>
        <w:tc>
          <w:tcPr>
            <w:tcW w:w="130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5"/>
              </w:rPr>
              <w:t>10.1*†</w:t>
            </w:r>
          </w:p>
        </w:tc>
        <w:tc>
          <w:tcPr>
            <w:tcW w:w="9940" w:type="dxa"/>
            <w:vAlign w:val="bottom"/>
            <w:gridSpan w:val="9"/>
          </w:tcPr>
          <w:p>
            <w:pPr>
              <w:spacing w:after="0" w:line="196" w:lineRule="exact"/>
              <w:rPr>
                <w:sz w:val="20"/>
                <w:szCs w:val="20"/>
                <w:color w:val="auto"/>
              </w:rPr>
            </w:pPr>
            <w:r>
              <w:rPr>
                <w:rFonts w:ascii="Arial" w:cs="Arial" w:eastAsia="Arial" w:hAnsi="Arial"/>
                <w:sz w:val="18"/>
                <w:szCs w:val="18"/>
                <w:color w:val="0000FF"/>
                <w:w w:val="92"/>
              </w:rPr>
              <w:t>Form of Cash-Settled Performance Unit Agreement between Rackspace Technology, Inc. and certain of its executive officers under the</w:t>
            </w: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1"/>
              </w:rPr>
              <w:t>2020 Equity Incentive Plan</w:t>
            </w:r>
          </w:p>
        </w:tc>
        <w:tc>
          <w:tcPr>
            <w:tcW w:w="77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10.2</w:t>
            </w:r>
            <w:r>
              <w:rPr>
                <w:rFonts w:ascii="Arial" w:cs="Arial" w:eastAsia="Arial" w:hAnsi="Arial"/>
                <w:sz w:val="16"/>
                <w:szCs w:val="16"/>
                <w:color w:val="auto"/>
                <w:w w:val="90"/>
              </w:rPr>
              <w:t>†</w:t>
            </w:r>
          </w:p>
        </w:tc>
        <w:tc>
          <w:tcPr>
            <w:tcW w:w="9940" w:type="dxa"/>
            <w:vAlign w:val="bottom"/>
            <w:gridSpan w:val="9"/>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Transition Agreement and Release of Claims, between Rackspace Technology, Inc. and Holly Windham, effective January 16, 2023</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(incorporated by reference from Exhibit 10.29 to Rackspace Technology, Inc.’s Form 10-K for the year ended December 31, 2022)</w:t>
              </w:r>
            </w:hyperlink>
          </w:p>
        </w:tc>
        <w:tc>
          <w:tcPr>
            <w:tcW w:w="80" w:type="dxa"/>
            <w:vAlign w:val="bottom"/>
            <w:tcBorders>
              <w:top w:val="single" w:sz="8" w:color="0000FF"/>
            </w:tcBorders>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10.3</w:t>
            </w:r>
            <w:r>
              <w:rPr>
                <w:rFonts w:ascii="Arial" w:cs="Arial" w:eastAsia="Arial" w:hAnsi="Arial"/>
                <w:sz w:val="16"/>
                <w:szCs w:val="16"/>
                <w:color w:val="auto"/>
                <w:w w:val="90"/>
              </w:rPr>
              <w:t>†</w:t>
            </w:r>
          </w:p>
        </w:tc>
        <w:tc>
          <w:tcPr>
            <w:tcW w:w="9940" w:type="dxa"/>
            <w:vAlign w:val="bottom"/>
            <w:gridSpan w:val="9"/>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Second Amendment to Employment Agreement between Rackspace US, Inc. and Naushaza Molu, dated March 13, 2023 (incorporated</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by reference from Exhibit 10.35 to Rackspace Technology, Inc.’s Form 10-K for the year ended December 31, 2022)</w:t>
              </w:r>
            </w:hyperlink>
          </w:p>
        </w:tc>
        <w:tc>
          <w:tcPr>
            <w:tcW w:w="200" w:type="dxa"/>
            <w:vAlign w:val="bottom"/>
          </w:tcPr>
          <w:p>
            <w:pPr>
              <w:spacing w:after="0"/>
              <w:rPr>
                <w:sz w:val="15"/>
                <w:szCs w:val="15"/>
                <w:color w:val="auto"/>
              </w:rPr>
            </w:pPr>
          </w:p>
        </w:tc>
      </w:tr>
      <w:tr>
        <w:trPr>
          <w:trHeight w:val="250"/>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the Chief Executive Officer pursuant to Section 302 of the Sarbanes-Oxley Act of 2002</w:t>
            </w:r>
          </w:p>
        </w:tc>
        <w:tc>
          <w:tcPr>
            <w:tcW w:w="940" w:type="dxa"/>
            <w:vAlign w:val="bottom"/>
            <w:tcBorders>
              <w:top w:val="single" w:sz="8" w:color="0000FF"/>
            </w:tcBorders>
          </w:tcPr>
          <w:p>
            <w:pPr>
              <w:spacing w:after="0"/>
              <w:rPr>
                <w:sz w:val="21"/>
                <w:szCs w:val="21"/>
                <w:color w:val="auto"/>
              </w:rPr>
            </w:pPr>
          </w:p>
        </w:tc>
        <w:tc>
          <w:tcPr>
            <w:tcW w:w="1540" w:type="dxa"/>
            <w:vAlign w:val="bottom"/>
            <w:gridSpan w:val="5"/>
          </w:tcPr>
          <w:p>
            <w:pPr>
              <w:spacing w:after="0"/>
              <w:rPr>
                <w:sz w:val="21"/>
                <w:szCs w:val="2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the Chief Executive Officer pursuant to Section 906 of the Sarbanes-Oxley Act of 2002</w:t>
            </w:r>
          </w:p>
        </w:tc>
        <w:tc>
          <w:tcPr>
            <w:tcW w:w="2480" w:type="dxa"/>
            <w:vAlign w:val="bottom"/>
            <w:gridSpan w:val="6"/>
          </w:tcPr>
          <w:p>
            <w:pPr>
              <w:spacing w:after="0"/>
              <w:rPr>
                <w:sz w:val="20"/>
                <w:szCs w:val="20"/>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0000FF"/>
              </w:rPr>
              <w:t>Certification of the Chief Financial Officer pursuant to Section 906 of the Sarbanes-Oxley Act of 2002</w:t>
            </w:r>
          </w:p>
        </w:tc>
      </w:tr>
      <w:tr>
        <w:trPr>
          <w:trHeight w:val="20"/>
        </w:trPr>
        <w:tc>
          <w:tcPr>
            <w:tcW w:w="1300" w:type="dxa"/>
            <w:vAlign w:val="bottom"/>
            <w:gridSpan w:val="3"/>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r>
      <w:tr>
        <w:trPr>
          <w:trHeight w:val="249"/>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101.INS*</w:t>
            </w:r>
          </w:p>
        </w:tc>
        <w:tc>
          <w:tcPr>
            <w:tcW w:w="9940" w:type="dxa"/>
            <w:vAlign w:val="bottom"/>
            <w:gridSpan w:val="9"/>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101.SCH*</w:t>
            </w:r>
          </w:p>
        </w:tc>
        <w:tc>
          <w:tcPr>
            <w:tcW w:w="99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101.CAL*</w:t>
            </w:r>
          </w:p>
        </w:tc>
        <w:tc>
          <w:tcPr>
            <w:tcW w:w="99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6"/>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101.DEF*</w:t>
            </w:r>
          </w:p>
        </w:tc>
        <w:tc>
          <w:tcPr>
            <w:tcW w:w="99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101.LAB*</w:t>
            </w:r>
          </w:p>
        </w:tc>
        <w:tc>
          <w:tcPr>
            <w:tcW w:w="99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101.PRE*</w:t>
            </w:r>
          </w:p>
        </w:tc>
        <w:tc>
          <w:tcPr>
            <w:tcW w:w="994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4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8" w:lineRule="exact"/>
        <w:rPr>
          <w:sz w:val="20"/>
          <w:szCs w:val="20"/>
          <w:color w:val="auto"/>
        </w:rPr>
      </w:pPr>
    </w:p>
    <w:p>
      <w:pPr>
        <w:ind w:left="420" w:hanging="250"/>
        <w:spacing w:after="0"/>
        <w:tabs>
          <w:tab w:leader="none" w:pos="42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2023</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Bobby Molu</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Bobby Molu</w:t>
            </w:r>
          </w:p>
        </w:tc>
      </w:tr>
      <w:tr>
        <w:trPr>
          <w:trHeight w:val="229"/>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r>
        <w:trPr>
          <w:trHeight w:val="905"/>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Arial" w:cs="Arial" w:eastAsia="Arial" w:hAnsi="Arial"/>
                <w:sz w:val="18"/>
                <w:szCs w:val="18"/>
                <w:color w:val="auto"/>
              </w:rPr>
              <w:t>- 52 -</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RACKSPACE TECHNOLOGY, INC.</w:t>
      </w:r>
    </w:p>
    <w:p>
      <w:pPr>
        <w:jc w:val="center"/>
        <w:spacing w:after="0" w:line="204" w:lineRule="auto"/>
        <w:rPr>
          <w:sz w:val="20"/>
          <w:szCs w:val="20"/>
          <w:color w:val="auto"/>
        </w:rPr>
      </w:pPr>
      <w:r>
        <w:rPr>
          <w:rFonts w:ascii="Arial" w:cs="Arial" w:eastAsia="Arial" w:hAnsi="Arial"/>
          <w:sz w:val="22"/>
          <w:szCs w:val="22"/>
          <w:b w:val="1"/>
          <w:bCs w:val="1"/>
          <w:color w:val="auto"/>
        </w:rPr>
        <w:t>2020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CASH-SETTLED PERFORMANCE UNITS</w:t>
      </w:r>
    </w:p>
    <w:p>
      <w:pPr>
        <w:spacing w:after="0" w:line="2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Unless otherwise defined herein, the terms defined in the 2020 Rackspace Technology, Inc.’s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shall have the same defined meanings in this Notice of Grant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of Cash-Settled Performance Units (“</w:t>
      </w:r>
      <w:r>
        <w:rPr>
          <w:rFonts w:ascii="Arial" w:cs="Arial" w:eastAsia="Arial" w:hAnsi="Arial"/>
          <w:sz w:val="19"/>
          <w:szCs w:val="19"/>
          <w:u w:val="single" w:color="auto"/>
          <w:color w:val="auto"/>
        </w:rPr>
        <w:t>Performance Units</w:t>
      </w:r>
      <w:r>
        <w:rPr>
          <w:rFonts w:ascii="Arial" w:cs="Arial" w:eastAsia="Arial" w:hAnsi="Arial"/>
          <w:sz w:val="19"/>
          <w:szCs w:val="19"/>
          <w:color w:val="auto"/>
        </w:rPr>
        <w:t>” or “</w:t>
      </w:r>
      <w:r>
        <w:rPr>
          <w:rFonts w:ascii="Arial" w:cs="Arial" w:eastAsia="Arial" w:hAnsi="Arial"/>
          <w:sz w:val="19"/>
          <w:szCs w:val="19"/>
          <w:u w:val="single" w:color="auto"/>
          <w:color w:val="auto"/>
        </w:rPr>
        <w:t>Units</w:t>
      </w:r>
      <w:r>
        <w:rPr>
          <w:rFonts w:ascii="Arial" w:cs="Arial" w:eastAsia="Arial" w:hAnsi="Arial"/>
          <w:sz w:val="19"/>
          <w:szCs w:val="19"/>
          <w:color w:val="auto"/>
        </w:rPr>
        <w:t>”) and in the Cash-Settled Performance Unit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20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color w:val="auto"/>
        </w:rPr>
        <w:t>[name]</w:t>
      </w:r>
    </w:p>
    <w:p>
      <w:pPr>
        <w:spacing w:after="0" w:line="33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Participant has been granted an Other Stock or Cash-Based Award under the Plan in the form of this grant of Performance Units with respect to Common Stock of Rackspace Technology, Inc., to be settled in cash, subject to the terms and conditions of the Plan and this Agreement, as follows: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9"/>
          <w:szCs w:val="19"/>
          <w:color w:val="auto"/>
        </w:rPr>
        <w:t>Grant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center"/>
        <w:ind w:right="4860"/>
        <w:spacing w:after="0"/>
        <w:rPr>
          <w:sz w:val="20"/>
          <w:szCs w:val="20"/>
          <w:color w:val="auto"/>
        </w:rPr>
      </w:pPr>
      <w:r>
        <w:rPr>
          <w:rFonts w:ascii="Arial" w:cs="Arial" w:eastAsia="Arial" w:hAnsi="Arial"/>
          <w:sz w:val="19"/>
          <w:szCs w:val="19"/>
          <w:color w:val="auto"/>
        </w:rPr>
        <w:t>[insert]</w:t>
      </w:r>
    </w:p>
    <w:p>
      <w:pPr>
        <w:spacing w:after="0" w:line="56" w:lineRule="exact"/>
        <w:rPr>
          <w:sz w:val="20"/>
          <w:szCs w:val="20"/>
          <w:color w:val="auto"/>
        </w:rPr>
      </w:pPr>
    </w:p>
    <w:p>
      <w:pPr>
        <w:sectPr>
          <w:pgSz w:w="11900" w:h="16838" w:orient="portrait"/>
          <w:cols w:equalWidth="0" w:num="2">
            <w:col w:w="5040" w:space="720"/>
            <w:col w:w="548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9"/>
          <w:szCs w:val="19"/>
          <w:color w:val="auto"/>
        </w:rPr>
        <w:t>[insert] 2023</w:t>
      </w:r>
    </w:p>
    <w:p>
      <w:pPr>
        <w:spacing w:after="0" w:line="52" w:lineRule="exact"/>
        <w:rPr>
          <w:sz w:val="20"/>
          <w:szCs w:val="20"/>
          <w:color w:val="auto"/>
        </w:rPr>
      </w:pPr>
    </w:p>
    <w:p>
      <w:pPr>
        <w:sectPr>
          <w:pgSz w:w="11900" w:h="16838" w:orient="portrait"/>
          <w:cols w:equalWidth="0" w:num="2">
            <w:col w:w="5040" w:space="720"/>
            <w:col w:w="548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Number of Units Granted at Target: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[insert number]</w:t>
      </w:r>
    </w:p>
    <w:p>
      <w:pPr>
        <w:spacing w:after="0" w:line="52" w:lineRule="exact"/>
        <w:rPr>
          <w:sz w:val="20"/>
          <w:szCs w:val="20"/>
          <w:color w:val="auto"/>
        </w:rPr>
      </w:pPr>
    </w:p>
    <w:p>
      <w:pPr>
        <w:sectPr>
          <w:pgSz w:w="11900" w:h="16838" w:orient="portrait"/>
          <w:cols w:equalWidth="0" w:num="2">
            <w:col w:w="5040" w:space="720"/>
            <w:col w:w="548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[insert] 2023</w:t>
      </w:r>
    </w:p>
    <w:p>
      <w:pPr>
        <w:spacing w:after="0" w:line="200" w:lineRule="exact"/>
        <w:rPr>
          <w:sz w:val="20"/>
          <w:szCs w:val="20"/>
          <w:color w:val="auto"/>
        </w:rPr>
      </w:pPr>
    </w:p>
    <w:p>
      <w:pPr>
        <w:sectPr>
          <w:pgSz w:w="11900" w:h="16838" w:orient="portrait"/>
          <w:cols w:equalWidth="0" w:num="2">
            <w:col w:w="5040" w:space="720"/>
            <w:col w:w="5480"/>
          </w:cols>
          <w:pgMar w:left="320" w:top="108" w:right="3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Vesting Schedule</w:t>
      </w:r>
      <w:r>
        <w:rPr>
          <w:rFonts w:ascii="Arial" w:cs="Arial" w:eastAsia="Arial" w:hAnsi="Arial"/>
          <w:sz w:val="22"/>
          <w:szCs w:val="22"/>
          <w:b w:val="1"/>
          <w:bCs w:val="1"/>
          <w:color w:val="auto"/>
        </w:rPr>
        <w:t>:</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Vesting is subject to the satisfaction of the performance goals and continued employment through the applicable Measurement Date as set forth in the Agreement.</w:t>
      </w:r>
    </w:p>
    <w:p>
      <w:pPr>
        <w:sectPr>
          <w:pgSz w:w="11900" w:h="16838" w:orient="portrait"/>
          <w:cols w:equalWidth="0" w:num="1">
            <w:col w:w="11240"/>
          </w:cols>
          <w:pgMar w:left="320" w:top="108" w:right="3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RACKSPACE TECHNOLOGY, INC.</w:t>
      </w:r>
    </w:p>
    <w:p>
      <w:pPr>
        <w:jc w:val="center"/>
        <w:spacing w:after="0" w:line="204" w:lineRule="auto"/>
        <w:rPr>
          <w:sz w:val="20"/>
          <w:szCs w:val="20"/>
          <w:color w:val="auto"/>
        </w:rPr>
      </w:pPr>
      <w:r>
        <w:rPr>
          <w:rFonts w:ascii="Arial" w:cs="Arial" w:eastAsia="Arial" w:hAnsi="Arial"/>
          <w:sz w:val="22"/>
          <w:szCs w:val="22"/>
          <w:b w:val="1"/>
          <w:bCs w:val="1"/>
          <w:color w:val="auto"/>
        </w:rPr>
        <w:t>2020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CASH-SETTLED PERFORMANCE UNIT AGREEMENT</w:t>
      </w:r>
    </w:p>
    <w:p>
      <w:pPr>
        <w:spacing w:after="0" w:line="39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CASH-SETTLED PERFORMANCE UNIT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March 16, 2023 (the “</w:t>
      </w:r>
      <w:r>
        <w:rPr>
          <w:rFonts w:ascii="Arial" w:cs="Arial" w:eastAsia="Arial" w:hAnsi="Arial"/>
          <w:sz w:val="22"/>
          <w:szCs w:val="22"/>
          <w:u w:val="single" w:color="auto"/>
          <w:color w:val="auto"/>
        </w:rPr>
        <w:t>Grant Date</w:t>
      </w:r>
      <w:r>
        <w:rPr>
          <w:rFonts w:ascii="Arial" w:cs="Arial" w:eastAsia="Arial" w:hAnsi="Arial"/>
          <w:sz w:val="22"/>
          <w:szCs w:val="22"/>
          <w:color w:val="auto"/>
        </w:rPr>
        <w:t xml:space="preserve">”), by and among </w:t>
      </w:r>
      <w:r>
        <w:rPr>
          <w:rFonts w:ascii="Arial" w:cs="Arial" w:eastAsia="Arial" w:hAnsi="Arial"/>
          <w:sz w:val="22"/>
          <w:szCs w:val="22"/>
          <w:b w:val="1"/>
          <w:bCs w:val="1"/>
          <w:color w:val="auto"/>
        </w:rPr>
        <w:t>RACKSPACE TECHNOLOGY, INC</w:t>
      </w:r>
      <w:r>
        <w:rPr>
          <w:rFonts w:ascii="Arial" w:cs="Arial" w:eastAsia="Arial" w:hAnsi="Arial"/>
          <w:sz w:val="22"/>
          <w:szCs w:val="22"/>
          <w:color w:val="auto"/>
        </w:rPr>
        <w:t>.,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[name of Participant]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9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Participant is employed as the [title] of the Company [pursuant to the terms of a written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[date], as amended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acting through a Committee (as defined in the Company’s 2020 Equity Incentive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has granted to the Participant, effective as of the date of this Agreement, an Other Stock or Cash-Based Award under the Plan in the form of this grant of Performance Units (which, for the avoidance of doubt, shall be credited to a separate account maintained for the Participant on the books of the Company where the value of each Unit will equal the Grant Value of one share of Common Stock, the “</w:t>
      </w:r>
      <w:r>
        <w:rPr>
          <w:rFonts w:ascii="Arial" w:cs="Arial" w:eastAsia="Arial" w:hAnsi="Arial"/>
          <w:sz w:val="21"/>
          <w:szCs w:val="21"/>
          <w:u w:val="single" w:color="auto"/>
          <w:color w:val="auto"/>
        </w:rPr>
        <w:t>Account</w:t>
      </w:r>
      <w:r>
        <w:rPr>
          <w:rFonts w:ascii="Arial" w:cs="Arial" w:eastAsia="Arial" w:hAnsi="Arial"/>
          <w:sz w:val="21"/>
          <w:szCs w:val="21"/>
          <w:color w:val="auto"/>
        </w:rPr>
        <w:t>”) to be settled in cash as described in Sections 2 and 3 of this Agreement. The Units are subject to the conditions set forth in this Agreement and the Plan;</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promises and of the mutual agreements contained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agree as follows: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The Plan</w:t>
      </w:r>
      <w:r>
        <w:rPr>
          <w:rFonts w:ascii="Arial" w:cs="Arial" w:eastAsia="Arial" w:hAnsi="Arial"/>
          <w:sz w:val="19"/>
          <w:szCs w:val="19"/>
          <w:color w:val="auto"/>
        </w:rPr>
        <w:t xml:space="preserve">. The terms and provisions of the Plan are hereby incorporated into this Agreement as if set forth herein in their entirety (including, without limitation, the provisions of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12</w:t>
      </w:r>
      <w:r>
        <w:rPr>
          <w:rFonts w:ascii="Arial" w:cs="Arial" w:eastAsia="Arial" w:hAnsi="Arial"/>
          <w:sz w:val="19"/>
          <w:szCs w:val="19"/>
          <w:color w:val="auto"/>
        </w:rPr>
        <w:t>). In the event of a conflict between any provision of this Agreement and the Plan, the provisions of the Plan shall control. A copy of the Plan may be obtained from the Company by the Participant upon request. Capitalized terms used herein and not otherwise defined shall have the meanings ascribed thereto in the Plan or in the Notice of Grant. As a condition to the grant of the Performance Units, the Participant agrees that this Agreement, together with the grant of Units, satisfies all obligations and liabilities of the Company in connection with any “annual equity award” contemplated by the Employment Agreement for calendar year 2023.</w:t>
      </w:r>
    </w:p>
    <w:p>
      <w:pPr>
        <w:spacing w:after="0" w:line="15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Vesting</w:t>
      </w:r>
      <w:r>
        <w:rPr>
          <w:rFonts w:ascii="Arial" w:cs="Arial" w:eastAsia="Arial" w:hAnsi="Arial"/>
          <w:sz w:val="21"/>
          <w:szCs w:val="21"/>
          <w:color w:val="auto"/>
        </w:rPr>
        <w:t>. Subject to the Participant’s continued employment or other service relationship with the Company or one of its Subsidiaries (such applicable entity, the “</w:t>
      </w:r>
      <w:r>
        <w:rPr>
          <w:rFonts w:ascii="Arial" w:cs="Arial" w:eastAsia="Arial" w:hAnsi="Arial"/>
          <w:sz w:val="21"/>
          <w:szCs w:val="21"/>
          <w:u w:val="single" w:color="auto"/>
          <w:color w:val="auto"/>
        </w:rPr>
        <w:t>Employer</w:t>
      </w:r>
      <w:r>
        <w:rPr>
          <w:rFonts w:ascii="Arial" w:cs="Arial" w:eastAsia="Arial" w:hAnsi="Arial"/>
          <w:sz w:val="21"/>
          <w:szCs w:val="21"/>
          <w:color w:val="auto"/>
        </w:rPr>
        <w:t>”) through each applicable Measurement Date, the Units of each Tranche shall become non-forfeitable and shall vest based on the Company’s TSR Performance (as defined below) for the Measurement Period for such Tranche, as described below (the “</w:t>
      </w:r>
      <w:r>
        <w:rPr>
          <w:rFonts w:ascii="Arial" w:cs="Arial" w:eastAsia="Arial" w:hAnsi="Arial"/>
          <w:sz w:val="21"/>
          <w:szCs w:val="21"/>
          <w:u w:val="single" w:color="auto"/>
          <w:color w:val="auto"/>
        </w:rPr>
        <w:t>Performance Goal</w:t>
      </w:r>
      <w:r>
        <w:rPr>
          <w:rFonts w:ascii="Arial" w:cs="Arial" w:eastAsia="Arial" w:hAnsi="Arial"/>
          <w:sz w:val="21"/>
          <w:szCs w:val="21"/>
          <w:color w:val="auto"/>
        </w:rPr>
        <w:t>”).</w:t>
      </w:r>
    </w:p>
    <w:p>
      <w:pPr>
        <w:spacing w:after="0" w:line="158" w:lineRule="exact"/>
        <w:rPr>
          <w:sz w:val="20"/>
          <w:szCs w:val="20"/>
          <w:color w:val="auto"/>
        </w:rPr>
      </w:pPr>
    </w:p>
    <w:p>
      <w:pPr>
        <w:jc w:val="both"/>
        <w:ind w:firstLine="656"/>
        <w:spacing w:after="0"/>
        <w:tabs>
          <w:tab w:leader="none" w:pos="1293" w:val="left"/>
        </w:tabs>
        <w:numPr>
          <w:ilvl w:val="1"/>
          <w:numId w:val="19"/>
        </w:numPr>
        <w:rPr>
          <w:rFonts w:ascii="Arial" w:cs="Arial" w:eastAsia="Arial" w:hAnsi="Arial"/>
          <w:sz w:val="19"/>
          <w:szCs w:val="19"/>
          <w:color w:val="auto"/>
        </w:rPr>
      </w:pPr>
      <w:r>
        <w:rPr>
          <w:rFonts w:ascii="Arial" w:cs="Arial" w:eastAsia="Arial" w:hAnsi="Arial"/>
          <w:sz w:val="19"/>
          <w:szCs w:val="19"/>
          <w:color w:val="auto"/>
        </w:rPr>
        <w:t>For each Tranche, the Annualized TSR for the Company and the Annualized TSR for each company in the Comparator Group shall be calculated for the Measurement Period for such Tranche. Based on such calculation, a percentile rank for the Company’s Annualized TSR relative to the Annualized TSR of each company in the Comparator Group (“</w:t>
      </w:r>
      <w:r>
        <w:rPr>
          <w:rFonts w:ascii="Arial" w:cs="Arial" w:eastAsia="Arial" w:hAnsi="Arial"/>
          <w:sz w:val="19"/>
          <w:szCs w:val="19"/>
          <w:u w:val="single" w:color="auto"/>
          <w:color w:val="auto"/>
        </w:rPr>
        <w:t>TSR</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w:t>
      </w:r>
      <w:r>
        <w:rPr>
          <w:rFonts w:ascii="Arial" w:cs="Arial" w:eastAsia="Arial" w:hAnsi="Arial"/>
          <w:sz w:val="19"/>
          <w:szCs w:val="19"/>
          <w:color w:val="auto"/>
        </w:rPr>
        <w:t>”) shall be calculated, and the “</w:t>
      </w:r>
      <w:r>
        <w:rPr>
          <w:rFonts w:ascii="Arial" w:cs="Arial" w:eastAsia="Arial" w:hAnsi="Arial"/>
          <w:sz w:val="19"/>
          <w:szCs w:val="19"/>
          <w:u w:val="single" w:color="auto"/>
          <w:color w:val="auto"/>
        </w:rPr>
        <w:t>Vesting Percentage</w:t>
      </w:r>
      <w:r>
        <w:rPr>
          <w:rFonts w:ascii="Arial" w:cs="Arial" w:eastAsia="Arial" w:hAnsi="Arial"/>
          <w:sz w:val="19"/>
          <w:szCs w:val="19"/>
          <w:color w:val="auto"/>
        </w:rPr>
        <w:t>” for such Tranche shall be determined based on such percentile rank according to the table below, but subject to the caps provided in Section 2(b). Such determination shall be made as soon as reasonably practicable after, but in no event later than 20 days after, the end of the applicable Measurement Period. On the Vesting Date for such Tranche, a number of Units equal to the product of (A) the number of Units in such Tranche multiplied by</w:t>
      </w:r>
    </w:p>
    <w:p>
      <w:pPr>
        <w:ind w:left="360" w:hanging="352"/>
        <w:spacing w:after="0"/>
        <w:tabs>
          <w:tab w:leader="none" w:pos="3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Vesting Percentage for such Tranche, shall become non-forfeitable and shall vest.</w:t>
      </w:r>
    </w:p>
    <w:p>
      <w:pPr>
        <w:sectPr>
          <w:pgSz w:w="11900" w:h="16838" w:orient="portrait"/>
          <w:cols w:equalWidth="0" w:num="1">
            <w:col w:w="11240"/>
          </w:cols>
          <w:pgMar w:left="320" w:top="1382" w:right="339" w:bottom="1440" w:gutter="0" w:footer="0" w:header="0"/>
        </w:sectPr>
      </w:pPr>
    </w:p>
    <w:bookmarkStart w:id="56" w:name="page57"/>
    <w:bookmarkEnd w:id="5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640" w:type="dxa"/>
            <w:vAlign w:val="bottom"/>
            <w:tcBorders>
              <w:top w:val="single" w:sz="8" w:color="auto"/>
              <w:left w:val="single" w:sz="8" w:color="auto"/>
              <w:right w:val="single" w:sz="8" w:color="auto"/>
            </w:tcBorders>
            <w:shd w:val="clear" w:color="auto" w:fill="262626"/>
          </w:tcPr>
          <w:p>
            <w:pPr>
              <w:ind w:left="280"/>
              <w:spacing w:after="0" w:line="222" w:lineRule="exact"/>
              <w:rPr>
                <w:sz w:val="20"/>
                <w:szCs w:val="20"/>
                <w:color w:val="auto"/>
              </w:rPr>
            </w:pPr>
            <w:r>
              <w:rPr>
                <w:rFonts w:ascii="Arial" w:cs="Arial" w:eastAsia="Arial" w:hAnsi="Arial"/>
                <w:sz w:val="22"/>
                <w:szCs w:val="22"/>
                <w:color w:val="FFFFFF"/>
                <w:w w:val="94"/>
              </w:rPr>
              <w:t>Percentile Rank of Company’s Annualized TSR relative to</w:t>
            </w:r>
          </w:p>
        </w:tc>
        <w:tc>
          <w:tcPr>
            <w:tcW w:w="5620" w:type="dxa"/>
            <w:vAlign w:val="bottom"/>
            <w:tcBorders>
              <w:top w:val="single" w:sz="8" w:color="auto"/>
              <w:right w:val="single" w:sz="8" w:color="auto"/>
            </w:tcBorders>
            <w:vMerge w:val="restart"/>
            <w:shd w:val="clear" w:color="auto" w:fill="262626"/>
          </w:tcPr>
          <w:p>
            <w:pPr>
              <w:ind w:left="1980"/>
              <w:spacing w:after="0"/>
              <w:rPr>
                <w:sz w:val="20"/>
                <w:szCs w:val="20"/>
                <w:color w:val="auto"/>
              </w:rPr>
            </w:pPr>
            <w:r>
              <w:rPr>
                <w:rFonts w:ascii="Arial" w:cs="Arial" w:eastAsia="Arial" w:hAnsi="Arial"/>
                <w:sz w:val="22"/>
                <w:szCs w:val="22"/>
                <w:color w:val="FFFFFF"/>
              </w:rPr>
              <w:t>Vesting Percentage</w:t>
            </w:r>
          </w:p>
        </w:tc>
        <w:tc>
          <w:tcPr>
            <w:tcW w:w="0" w:type="dxa"/>
            <w:vAlign w:val="bottom"/>
          </w:tcPr>
          <w:p>
            <w:pPr>
              <w:spacing w:after="0"/>
              <w:rPr>
                <w:sz w:val="1"/>
                <w:szCs w:val="1"/>
                <w:color w:val="auto"/>
              </w:rPr>
            </w:pPr>
          </w:p>
        </w:tc>
      </w:tr>
      <w:tr>
        <w:trPr>
          <w:trHeight w:val="276"/>
        </w:trPr>
        <w:tc>
          <w:tcPr>
            <w:tcW w:w="5640" w:type="dxa"/>
            <w:vAlign w:val="bottom"/>
            <w:tcBorders>
              <w:left w:val="single" w:sz="8" w:color="auto"/>
              <w:bottom w:val="single" w:sz="8" w:color="auto"/>
              <w:right w:val="single" w:sz="8" w:color="auto"/>
            </w:tcBorders>
            <w:shd w:val="clear" w:color="auto" w:fill="262626"/>
          </w:tcPr>
          <w:p>
            <w:pPr>
              <w:ind w:left="1140"/>
              <w:spacing w:after="0"/>
              <w:rPr>
                <w:sz w:val="20"/>
                <w:szCs w:val="20"/>
                <w:color w:val="auto"/>
              </w:rPr>
            </w:pPr>
            <w:r>
              <w:rPr>
                <w:rFonts w:ascii="Arial" w:cs="Arial" w:eastAsia="Arial" w:hAnsi="Arial"/>
                <w:sz w:val="22"/>
                <w:szCs w:val="22"/>
                <w:color w:val="FFFFFF"/>
              </w:rPr>
              <w:t>Annualized TSR of Comparator Group</w:t>
            </w:r>
          </w:p>
        </w:tc>
        <w:tc>
          <w:tcPr>
            <w:tcW w:w="5620" w:type="dxa"/>
            <w:vAlign w:val="bottom"/>
            <w:tcBorders>
              <w:bottom w:val="single" w:sz="8" w:color="auto"/>
              <w:right w:val="single" w:sz="8" w:color="auto"/>
            </w:tcBorders>
            <w:vMerge w:val="continue"/>
            <w:shd w:val="clear" w:color="auto" w:fill="262626"/>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less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ind w:left="80"/>
              <w:spacing w:after="0" w:line="304" w:lineRule="exact"/>
              <w:rPr>
                <w:sz w:val="20"/>
                <w:szCs w:val="20"/>
                <w:color w:val="auto"/>
              </w:rPr>
            </w:pPr>
            <w:r>
              <w:rPr>
                <w:rFonts w:ascii="Arial" w:cs="Arial" w:eastAsia="Arial" w:hAnsi="Arial"/>
                <w:sz w:val="22"/>
                <w:szCs w:val="22"/>
                <w:color w:val="auto"/>
              </w:rPr>
              <w:t>Greater than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and up to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1"/>
              </w:rPr>
              <w:t>Determined by linear interpolation between 0% and 100%. For</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example, the Vesting Percentage for the 35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shall be</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33⅓% and the Vesting Percentage for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shall</w:t>
            </w:r>
          </w:p>
        </w:tc>
        <w:tc>
          <w:tcPr>
            <w:tcW w:w="0" w:type="dxa"/>
            <w:vAlign w:val="bottom"/>
          </w:tcPr>
          <w:p>
            <w:pPr>
              <w:spacing w:after="0"/>
              <w:rPr>
                <w:sz w:val="1"/>
                <w:szCs w:val="1"/>
                <w:color w:val="auto"/>
              </w:rPr>
            </w:pPr>
          </w:p>
        </w:tc>
      </w:tr>
      <w:tr>
        <w:trPr>
          <w:trHeight w:val="338"/>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be 66⅔%.</w:t>
            </w:r>
          </w:p>
        </w:tc>
        <w:tc>
          <w:tcPr>
            <w:tcW w:w="0" w:type="dxa"/>
            <w:vAlign w:val="bottom"/>
          </w:tcPr>
          <w:p>
            <w:pPr>
              <w:spacing w:after="0"/>
              <w:rPr>
                <w:sz w:val="1"/>
                <w:szCs w:val="1"/>
                <w:color w:val="auto"/>
              </w:rPr>
            </w:pPr>
          </w:p>
        </w:tc>
      </w:tr>
      <w:tr>
        <w:trPr>
          <w:trHeight w:val="53"/>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ind w:left="80"/>
              <w:spacing w:after="0" w:line="304" w:lineRule="exact"/>
              <w:rPr>
                <w:sz w:val="20"/>
                <w:szCs w:val="20"/>
                <w:color w:val="auto"/>
              </w:rPr>
            </w:pPr>
            <w:r>
              <w:rPr>
                <w:rFonts w:ascii="Arial" w:cs="Arial" w:eastAsia="Arial" w:hAnsi="Arial"/>
                <w:sz w:val="22"/>
                <w:szCs w:val="22"/>
                <w:color w:val="auto"/>
              </w:rPr>
              <w:t>Greater than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and up to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Determined by linear interpolation between 100% and 200%.</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For example, the Vesting Percentage for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w:t>
            </w:r>
          </w:p>
        </w:tc>
        <w:tc>
          <w:tcPr>
            <w:tcW w:w="0" w:type="dxa"/>
            <w:vAlign w:val="bottom"/>
          </w:tcPr>
          <w:p>
            <w:pPr>
              <w:spacing w:after="0"/>
              <w:rPr>
                <w:sz w:val="1"/>
                <w:szCs w:val="1"/>
                <w:color w:val="auto"/>
              </w:rPr>
            </w:pPr>
          </w:p>
        </w:tc>
      </w:tr>
      <w:tr>
        <w:trPr>
          <w:trHeight w:val="222"/>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60"/>
              <w:spacing w:after="0" w:line="221" w:lineRule="exact"/>
              <w:rPr>
                <w:sz w:val="20"/>
                <w:szCs w:val="20"/>
                <w:color w:val="auto"/>
              </w:rPr>
            </w:pPr>
            <w:r>
              <w:rPr>
                <w:rFonts w:ascii="Arial" w:cs="Arial" w:eastAsia="Arial" w:hAnsi="Arial"/>
                <w:sz w:val="19"/>
                <w:szCs w:val="19"/>
                <w:color w:val="auto"/>
              </w:rPr>
              <w:t>shall  be  125%  and  the  Vesting  Percentage  for  the  70</w:t>
            </w:r>
            <w:r>
              <w:rPr>
                <w:rFonts w:ascii="Arial" w:cs="Arial" w:eastAsia="Arial" w:hAnsi="Arial"/>
                <w:sz w:val="25"/>
                <w:szCs w:val="25"/>
                <w:color w:val="auto"/>
                <w:vertAlign w:val="superscript"/>
              </w:rPr>
              <w:t>th</w:t>
            </w:r>
          </w:p>
        </w:tc>
        <w:tc>
          <w:tcPr>
            <w:tcW w:w="0" w:type="dxa"/>
            <w:vAlign w:val="bottom"/>
          </w:tcPr>
          <w:p>
            <w:pPr>
              <w:spacing w:after="0"/>
              <w:rPr>
                <w:sz w:val="1"/>
                <w:szCs w:val="1"/>
                <w:color w:val="auto"/>
              </w:rPr>
            </w:pPr>
          </w:p>
        </w:tc>
      </w:tr>
      <w:tr>
        <w:trPr>
          <w:trHeight w:val="274"/>
        </w:trPr>
        <w:tc>
          <w:tcPr>
            <w:tcW w:w="5640" w:type="dxa"/>
            <w:vAlign w:val="bottom"/>
            <w:tcBorders>
              <w:left w:val="single" w:sz="8" w:color="auto"/>
              <w:right w:val="single" w:sz="8" w:color="auto"/>
            </w:tcBorders>
          </w:tcPr>
          <w:p>
            <w:pPr>
              <w:spacing w:after="0"/>
              <w:rPr>
                <w:sz w:val="23"/>
                <w:szCs w:val="23"/>
                <w:color w:val="auto"/>
              </w:rPr>
            </w:pP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percentile shall be 175%.</w:t>
            </w:r>
          </w:p>
        </w:tc>
        <w:tc>
          <w:tcPr>
            <w:tcW w:w="0" w:type="dxa"/>
            <w:vAlign w:val="bottom"/>
          </w:tcPr>
          <w:p>
            <w:pPr>
              <w:spacing w:after="0"/>
              <w:rPr>
                <w:sz w:val="1"/>
                <w:szCs w:val="1"/>
                <w:color w:val="auto"/>
              </w:rPr>
            </w:pPr>
          </w:p>
        </w:tc>
      </w:tr>
      <w:tr>
        <w:trPr>
          <w:trHeight w:val="112"/>
        </w:trPr>
        <w:tc>
          <w:tcPr>
            <w:tcW w:w="5640" w:type="dxa"/>
            <w:vAlign w:val="bottom"/>
            <w:tcBorders>
              <w:left w:val="single" w:sz="8" w:color="auto"/>
              <w:bottom w:val="single" w:sz="8" w:color="auto"/>
              <w:right w:val="single" w:sz="8" w:color="auto"/>
            </w:tcBorders>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greater</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right="20"/>
        <w:spacing w:after="0" w:line="216" w:lineRule="auto"/>
        <w:rPr>
          <w:sz w:val="20"/>
          <w:szCs w:val="20"/>
          <w:color w:val="auto"/>
        </w:rPr>
      </w:pPr>
      <w:r>
        <w:rPr>
          <w:rFonts w:ascii="Arial" w:cs="Arial" w:eastAsia="Arial" w:hAnsi="Arial"/>
          <w:sz w:val="22"/>
          <w:szCs w:val="22"/>
          <w:color w:val="auto"/>
        </w:rPr>
        <w:t>Solely for purposes of illustration, the table directly below serves to provide an example calculation for the number of Units that would vest in respect of a given Tranche if the Comparator Group for a Measurement Period consisted of ten companies, with the middle column showing a hypothetical Annualized TSR performance of the Company and each other company in the Comparator Group and the rightmost column showing the percentile rank of the Company and each other company in the Comparator Group:</w:t>
      </w:r>
    </w:p>
    <w:p>
      <w:pPr>
        <w:spacing w:after="0" w:line="220" w:lineRule="exact"/>
        <w:rPr>
          <w:sz w:val="20"/>
          <w:szCs w:val="20"/>
          <w:color w:val="auto"/>
        </w:rPr>
      </w:pPr>
    </w:p>
    <w:tbl>
      <w:tblPr>
        <w:tblLayout w:type="fixed"/>
        <w:tblInd w:w="1930" w:type="dxa"/>
        <w:tblCellMar>
          <w:top w:w="0" w:type="dxa"/>
          <w:left w:w="0" w:type="dxa"/>
          <w:bottom w:w="0" w:type="dxa"/>
          <w:right w:w="0" w:type="dxa"/>
        </w:tblCellMar>
      </w:tblPr>
      <w:tr>
        <w:trPr>
          <w:trHeight w:val="257"/>
        </w:trPr>
        <w:tc>
          <w:tcPr>
            <w:tcW w:w="2420" w:type="dxa"/>
            <w:vAlign w:val="bottom"/>
            <w:tcBorders>
              <w:left w:val="single" w:sz="8" w:color="auto"/>
              <w:right w:val="single" w:sz="8" w:color="auto"/>
            </w:tcBorders>
            <w:shd w:val="clear" w:color="auto" w:fill="000000"/>
          </w:tcPr>
          <w:p>
            <w:pPr>
              <w:spacing w:after="0"/>
              <w:rPr>
                <w:sz w:val="22"/>
                <w:szCs w:val="22"/>
                <w:color w:val="auto"/>
              </w:rPr>
            </w:pPr>
          </w:p>
        </w:tc>
        <w:tc>
          <w:tcPr>
            <w:tcW w:w="23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8"/>
                <w:szCs w:val="18"/>
                <w:color w:val="FFFFFF"/>
                <w:w w:val="93"/>
              </w:rPr>
              <w:t>Annualized TSR (%)</w:t>
            </w:r>
          </w:p>
        </w:tc>
        <w:tc>
          <w:tcPr>
            <w:tcW w:w="2380" w:type="dxa"/>
            <w:vAlign w:val="bottom"/>
            <w:tcBorders>
              <w:right w:val="single" w:sz="8" w:color="auto"/>
            </w:tcBorders>
            <w:shd w:val="clear" w:color="auto" w:fill="000000"/>
          </w:tcPr>
          <w:p>
            <w:pPr>
              <w:ind w:left="600"/>
              <w:spacing w:after="0"/>
              <w:rPr>
                <w:sz w:val="20"/>
                <w:szCs w:val="20"/>
                <w:color w:val="auto"/>
              </w:rPr>
            </w:pPr>
            <w:r>
              <w:rPr>
                <w:rFonts w:ascii="Arial" w:cs="Arial" w:eastAsia="Arial" w:hAnsi="Arial"/>
                <w:sz w:val="18"/>
                <w:szCs w:val="18"/>
                <w:color w:val="FFFFFF"/>
              </w:rPr>
              <w:t>Percentile Rank</w:t>
            </w:r>
          </w:p>
        </w:tc>
      </w:tr>
      <w:tr>
        <w:trPr>
          <w:trHeight w:val="229"/>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A</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9.09</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B</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18.18</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C</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27.27</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D</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36.36</w:t>
            </w:r>
          </w:p>
        </w:tc>
      </w:tr>
      <w:tr>
        <w:trPr>
          <w:trHeight w:val="223"/>
        </w:trPr>
        <w:tc>
          <w:tcPr>
            <w:tcW w:w="2420" w:type="dxa"/>
            <w:vAlign w:val="bottom"/>
            <w:tcBorders>
              <w:left w:val="single" w:sz="8" w:color="auto"/>
              <w:bottom w:val="single" w:sz="8" w:color="auto"/>
              <w:right w:val="single" w:sz="8" w:color="auto"/>
            </w:tcBorders>
            <w:shd w:val="clear" w:color="auto" w:fill="D0CECE"/>
          </w:tcPr>
          <w:p>
            <w:pPr>
              <w:ind w:left="40"/>
              <w:spacing w:after="0"/>
              <w:rPr>
                <w:sz w:val="20"/>
                <w:szCs w:val="20"/>
                <w:color w:val="auto"/>
              </w:rPr>
            </w:pPr>
            <w:r>
              <w:rPr>
                <w:rFonts w:ascii="Arial" w:cs="Arial" w:eastAsia="Arial" w:hAnsi="Arial"/>
                <w:sz w:val="18"/>
                <w:szCs w:val="18"/>
                <w:color w:val="auto"/>
              </w:rPr>
              <w:t>Company</w:t>
            </w:r>
          </w:p>
        </w:tc>
        <w:tc>
          <w:tcPr>
            <w:tcW w:w="23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color w:val="auto"/>
                <w:w w:val="89"/>
              </w:rPr>
              <w:t>25</w:t>
            </w:r>
          </w:p>
        </w:tc>
        <w:tc>
          <w:tcPr>
            <w:tcW w:w="23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color w:val="auto"/>
                <w:w w:val="88"/>
              </w:rPr>
              <w:t>45.45</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54.54</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F</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63.63</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G</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72.72</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H</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82.82</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I</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91.91</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J</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100</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In this example, the Vesting Percentage corresponding to the percentile rank of 45.45 would be calculated as: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(45.45 – 25) / (55 – 25)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or approximately 68.16667%.</w:t>
      </w:r>
    </w:p>
    <w:p>
      <w:pPr>
        <w:sectPr>
          <w:pgSz w:w="11900" w:h="16838" w:orient="portrait"/>
          <w:cols w:equalWidth="0" w:num="1">
            <w:col w:w="11260"/>
          </w:cols>
          <w:pgMar w:left="320" w:top="1440" w:right="319" w:bottom="1440" w:gutter="0" w:footer="0" w:header="0"/>
        </w:sectPr>
      </w:pPr>
    </w:p>
    <w:bookmarkStart w:id="57" w:name="page58"/>
    <w:bookmarkEnd w:id="57"/>
    <w:p>
      <w:pPr>
        <w:jc w:val="both"/>
        <w:ind w:left="-8" w:right="20" w:firstLine="656"/>
        <w:spacing w:after="0" w:line="247" w:lineRule="auto"/>
        <w:tabs>
          <w:tab w:leader="none" w:pos="1283"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Vesting Percentage shall be subject to the following caps: (i) if the Company’s Annualized TSR for the Measurement Period for any Tranche is negative, then the Vesting Percentage for such Tranche shall be capped at 100% and</w:t>
      </w:r>
    </w:p>
    <w:p>
      <w:pPr>
        <w:ind w:left="312" w:hanging="312"/>
        <w:spacing w:after="0"/>
        <w:tabs>
          <w:tab w:leader="none" w:pos="312"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Vesting Percentage for any Tranche shall not exceed 200%.</w:t>
      </w:r>
    </w:p>
    <w:p>
      <w:pPr>
        <w:spacing w:after="0" w:line="161" w:lineRule="exact"/>
        <w:rPr>
          <w:rFonts w:ascii="Arial" w:cs="Arial" w:eastAsia="Arial" w:hAnsi="Arial"/>
          <w:sz w:val="22"/>
          <w:szCs w:val="22"/>
          <w:color w:val="auto"/>
        </w:rPr>
      </w:pPr>
    </w:p>
    <w:p>
      <w:pPr>
        <w:jc w:val="both"/>
        <w:ind w:left="-8" w:firstLine="656"/>
        <w:spacing w:after="0" w:line="221" w:lineRule="auto"/>
        <w:tabs>
          <w:tab w:leader="none" w:pos="1285" w:val="left"/>
        </w:tabs>
        <w:numPr>
          <w:ilvl w:val="1"/>
          <w:numId w:val="22"/>
        </w:numPr>
        <w:rPr>
          <w:rFonts w:ascii="Arial" w:cs="Arial" w:eastAsia="Arial" w:hAnsi="Arial"/>
          <w:sz w:val="21"/>
          <w:szCs w:val="21"/>
          <w:color w:val="auto"/>
        </w:rPr>
      </w:pPr>
      <w:r>
        <w:rPr>
          <w:rFonts w:ascii="Arial" w:cs="Arial" w:eastAsia="Arial" w:hAnsi="Arial"/>
          <w:sz w:val="21"/>
          <w:szCs w:val="21"/>
          <w:color w:val="auto"/>
        </w:rPr>
        <w:t>If the Company has a Change in Control during the Performance Period, then, subject to Section 2(b)(ii) but notwithstanding any other provision herein to the contrary, (i) each Measurement Period that has not ended before the effective date of such Change in Control will end as of the effective date of such Change in Control, (ii) each Measurement Date that has not occurred prior to the effective date of such Change in Control shall be deemed to be the effective date of such Change in Control, (iii) the Performance Period shall end as of the effective date of such Change in Control; (iv) the Vesting Percentage for each Tranche that has not already vested shall be determined as soon as reasonably practicable after, but in no event later than 20 days after, the effective date of such Change in Control and the Vesting Date for each such Tranche shall occur as soon as reasonably practicable after such determination; and (v) the Vesting Percentage for each such Tranche shall be not less than 100%.</w:t>
      </w:r>
    </w:p>
    <w:p>
      <w:pPr>
        <w:spacing w:after="0" w:line="158" w:lineRule="exact"/>
        <w:rPr>
          <w:rFonts w:ascii="Arial" w:cs="Arial" w:eastAsia="Arial" w:hAnsi="Arial"/>
          <w:sz w:val="21"/>
          <w:szCs w:val="21"/>
          <w:color w:val="auto"/>
        </w:rPr>
      </w:pPr>
    </w:p>
    <w:p>
      <w:pPr>
        <w:ind w:left="1292" w:hanging="644"/>
        <w:spacing w:after="0"/>
        <w:tabs>
          <w:tab w:leader="none" w:pos="1292"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w:t>
      </w:r>
    </w:p>
    <w:p>
      <w:pPr>
        <w:spacing w:after="0" w:line="179" w:lineRule="exact"/>
        <w:rPr>
          <w:rFonts w:ascii="Arial" w:cs="Arial" w:eastAsia="Arial" w:hAnsi="Arial"/>
          <w:sz w:val="22"/>
          <w:szCs w:val="22"/>
          <w:color w:val="auto"/>
        </w:rPr>
      </w:pPr>
    </w:p>
    <w:p>
      <w:pPr>
        <w:jc w:val="both"/>
        <w:ind w:left="652" w:firstLine="278"/>
        <w:spacing w:after="0" w:line="242" w:lineRule="auto"/>
        <w:tabs>
          <w:tab w:leader="none" w:pos="1300" w:val="left"/>
        </w:tabs>
        <w:numPr>
          <w:ilvl w:val="2"/>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Annualized TSR</w:t>
      </w:r>
      <w:r>
        <w:rPr>
          <w:rFonts w:ascii="Arial" w:cs="Arial" w:eastAsia="Arial" w:hAnsi="Arial"/>
          <w:sz w:val="19"/>
          <w:szCs w:val="19"/>
          <w:color w:val="auto"/>
        </w:rPr>
        <w:t>” means total shareholder return (assuming reinvestment of all dividends), computed on an annualized basis for any Measurement Period (or applicable portion thereof, in the case of a company that is added to the Comparator Group after a Measurement Period has begun). The Annualized TSR for the Company for any Measurement Period shall be determined using (A) the VWAP for the Common Stock for the 30 days ended December 31, [2022] and</w:t>
      </w:r>
    </w:p>
    <w:p>
      <w:pPr>
        <w:jc w:val="both"/>
        <w:ind w:left="652"/>
        <w:spacing w:after="0" w:line="237" w:lineRule="auto"/>
        <w:rPr>
          <w:rFonts w:ascii="Arial" w:cs="Arial" w:eastAsia="Arial" w:hAnsi="Arial"/>
          <w:sz w:val="19"/>
          <w:szCs w:val="19"/>
          <w:color w:val="auto"/>
        </w:rPr>
      </w:pPr>
      <w:r>
        <w:rPr>
          <w:rFonts w:ascii="Arial" w:cs="Arial" w:eastAsia="Arial" w:hAnsi="Arial"/>
          <w:sz w:val="19"/>
          <w:szCs w:val="19"/>
          <w:color w:val="auto"/>
        </w:rPr>
        <w:t>(B) the VWAP for the Common Stock for the 30 days ending on the last day of such Measurement Period. The Annualized TSR of each company in the Comparator Group for any Measurement Period shall be determined using</w:t>
      </w:r>
    </w:p>
    <w:p>
      <w:pPr>
        <w:jc w:val="both"/>
        <w:ind w:left="652"/>
        <w:spacing w:after="0" w:line="220" w:lineRule="auto"/>
        <w:rPr>
          <w:rFonts w:ascii="Arial" w:cs="Arial" w:eastAsia="Arial" w:hAnsi="Arial"/>
          <w:sz w:val="19"/>
          <w:szCs w:val="19"/>
          <w:color w:val="auto"/>
        </w:rPr>
      </w:pPr>
      <w:r>
        <w:rPr>
          <w:rFonts w:ascii="Arial" w:cs="Arial" w:eastAsia="Arial" w:hAnsi="Arial"/>
          <w:sz w:val="21"/>
          <w:szCs w:val="21"/>
          <w:color w:val="auto"/>
        </w:rPr>
        <w:t xml:space="preserve">(A) the VWAP of such company for the 30 days ended December 31, [2022] (or, for any newly public company that is added to the Comparator Group, for the 30 days ended December 31 of the year immediately preceding the year in which such company is added) and (B) the VWAP of such company for the 30 days ending on the last day of such Measurement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this clause (B), if such VWAP cannot be calculated within 20 days after the end of any Measurement Period, then the average of closing stock prices for such company for the 30 days ending on the last day of such Measurement Period shall be used instead of the VWAP for such company. Each Comparator Group company in the Index shall be weighted equally.</w:t>
      </w:r>
    </w:p>
    <w:p>
      <w:pPr>
        <w:spacing w:after="0" w:line="160" w:lineRule="exact"/>
        <w:rPr>
          <w:rFonts w:ascii="Arial" w:cs="Arial" w:eastAsia="Arial" w:hAnsi="Arial"/>
          <w:sz w:val="19"/>
          <w:szCs w:val="19"/>
          <w:color w:val="auto"/>
        </w:rPr>
      </w:pPr>
    </w:p>
    <w:p>
      <w:pPr>
        <w:ind w:left="652" w:right="20" w:firstLine="218"/>
        <w:spacing w:after="0" w:line="232" w:lineRule="auto"/>
        <w:tabs>
          <w:tab w:leader="none" w:pos="1300" w:val="left"/>
        </w:tabs>
        <w:numPr>
          <w:ilvl w:val="2"/>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Comparator Group</w:t>
      </w:r>
      <w:r>
        <w:rPr>
          <w:rFonts w:ascii="Arial" w:cs="Arial" w:eastAsia="Arial" w:hAnsi="Arial"/>
          <w:sz w:val="22"/>
          <w:szCs w:val="22"/>
          <w:color w:val="auto"/>
        </w:rPr>
        <w:t>” means a group of publicly traded IT / cloud services companies which shall initially consist of the following companies:</w:t>
      </w:r>
    </w:p>
    <w:p>
      <w:pPr>
        <w:spacing w:after="0" w:line="274" w:lineRule="exact"/>
        <w:rPr>
          <w:sz w:val="20"/>
          <w:szCs w:val="20"/>
          <w:color w:val="auto"/>
        </w:rPr>
      </w:pPr>
    </w:p>
    <w:tbl>
      <w:tblPr>
        <w:tblLayout w:type="fixed"/>
        <w:tblInd w:w="1112"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Infosys Limited</w:t>
            </w:r>
          </w:p>
        </w:tc>
        <w:tc>
          <w:tcPr>
            <w:tcW w:w="2800" w:type="dxa"/>
            <w:vAlign w:val="bottom"/>
          </w:tcPr>
          <w:p>
            <w:pPr>
              <w:ind w:left="180"/>
              <w:spacing w:after="0"/>
              <w:rPr>
                <w:sz w:val="20"/>
                <w:szCs w:val="20"/>
                <w:color w:val="auto"/>
              </w:rPr>
            </w:pPr>
            <w:r>
              <w:rPr>
                <w:rFonts w:ascii="Arial" w:cs="Arial" w:eastAsia="Arial" w:hAnsi="Arial"/>
                <w:sz w:val="18"/>
                <w:szCs w:val="18"/>
                <w:color w:val="auto"/>
                <w:w w:val="93"/>
              </w:rPr>
              <w:t>Tata Consultancy Services Limited</w:t>
            </w:r>
          </w:p>
        </w:tc>
        <w:tc>
          <w:tcPr>
            <w:tcW w:w="1120" w:type="dxa"/>
            <w:vAlign w:val="bottom"/>
          </w:tcPr>
          <w:p>
            <w:pPr>
              <w:ind w:left="120"/>
              <w:spacing w:after="0"/>
              <w:rPr>
                <w:sz w:val="20"/>
                <w:szCs w:val="20"/>
                <w:color w:val="auto"/>
              </w:rPr>
            </w:pPr>
            <w:r>
              <w:rPr>
                <w:rFonts w:ascii="Arial" w:cs="Arial" w:eastAsia="Arial" w:hAnsi="Arial"/>
                <w:sz w:val="18"/>
                <w:szCs w:val="18"/>
                <w:color w:val="auto"/>
                <w:w w:val="95"/>
              </w:rPr>
              <w:t>Mphasis Ltd.</w:t>
            </w:r>
          </w:p>
        </w:tc>
        <w:tc>
          <w:tcPr>
            <w:tcW w:w="0" w:type="dxa"/>
            <w:vAlign w:val="bottom"/>
          </w:tcPr>
          <w:p>
            <w:pPr>
              <w:spacing w:after="0"/>
              <w:rPr>
                <w:sz w:val="1"/>
                <w:szCs w:val="1"/>
                <w:color w:val="auto"/>
              </w:rPr>
            </w:pPr>
          </w:p>
        </w:tc>
      </w:tr>
      <w:tr>
        <w:trPr>
          <w:trHeight w:val="229"/>
        </w:trPr>
        <w:tc>
          <w:tcPr>
            <w:tcW w:w="2540" w:type="dxa"/>
            <w:vAlign w:val="bottom"/>
            <w:vMerge w:val="restart"/>
          </w:tcPr>
          <w:p>
            <w:pPr>
              <w:spacing w:after="0"/>
              <w:rPr>
                <w:sz w:val="20"/>
                <w:szCs w:val="20"/>
                <w:color w:val="auto"/>
              </w:rPr>
            </w:pPr>
            <w:r>
              <w:rPr>
                <w:rFonts w:ascii="Arial" w:cs="Arial" w:eastAsia="Arial" w:hAnsi="Arial"/>
                <w:sz w:val="18"/>
                <w:szCs w:val="18"/>
                <w:color w:val="auto"/>
              </w:rPr>
              <w:t>Wipro Limited</w:t>
            </w:r>
          </w:p>
        </w:tc>
        <w:tc>
          <w:tcPr>
            <w:tcW w:w="2800" w:type="dxa"/>
            <w:vAlign w:val="bottom"/>
          </w:tcPr>
          <w:p>
            <w:pPr>
              <w:ind w:left="180"/>
              <w:spacing w:after="0"/>
              <w:rPr>
                <w:sz w:val="20"/>
                <w:szCs w:val="20"/>
                <w:color w:val="auto"/>
              </w:rPr>
            </w:pPr>
            <w:r>
              <w:rPr>
                <w:rFonts w:ascii="Arial" w:cs="Arial" w:eastAsia="Arial" w:hAnsi="Arial"/>
                <w:sz w:val="18"/>
                <w:szCs w:val="18"/>
                <w:color w:val="auto"/>
              </w:rPr>
              <w:t>International Business Machines</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auto"/>
                <w:w w:val="91"/>
              </w:rPr>
              <w:t>Globant S. A.</w:t>
            </w:r>
          </w:p>
        </w:tc>
        <w:tc>
          <w:tcPr>
            <w:tcW w:w="0" w:type="dxa"/>
            <w:vAlign w:val="bottom"/>
          </w:tcPr>
          <w:p>
            <w:pPr>
              <w:spacing w:after="0"/>
              <w:rPr>
                <w:sz w:val="1"/>
                <w:szCs w:val="1"/>
                <w:color w:val="auto"/>
              </w:rPr>
            </w:pPr>
          </w:p>
        </w:tc>
      </w:tr>
      <w:tr>
        <w:trPr>
          <w:trHeight w:val="149"/>
        </w:trPr>
        <w:tc>
          <w:tcPr>
            <w:tcW w:w="2540" w:type="dxa"/>
            <w:vAlign w:val="bottom"/>
            <w:vMerge w:val="continue"/>
          </w:tcPr>
          <w:p>
            <w:pPr>
              <w:spacing w:after="0"/>
              <w:rPr>
                <w:sz w:val="12"/>
                <w:szCs w:val="12"/>
                <w:color w:val="auto"/>
              </w:rPr>
            </w:pPr>
          </w:p>
        </w:tc>
        <w:tc>
          <w:tcPr>
            <w:tcW w:w="2800" w:type="dxa"/>
            <w:vAlign w:val="bottom"/>
            <w:vMerge w:val="restart"/>
          </w:tcPr>
          <w:p>
            <w:pPr>
              <w:ind w:left="420"/>
              <w:spacing w:after="0"/>
              <w:rPr>
                <w:sz w:val="20"/>
                <w:szCs w:val="20"/>
                <w:color w:val="auto"/>
              </w:rPr>
            </w:pPr>
            <w:r>
              <w:rPr>
                <w:rFonts w:ascii="Arial" w:cs="Arial" w:eastAsia="Arial" w:hAnsi="Arial"/>
                <w:sz w:val="18"/>
                <w:szCs w:val="18"/>
                <w:color w:val="auto"/>
              </w:rPr>
              <w:t>Corporation</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54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0"/>
                <w:szCs w:val="20"/>
                <w:color w:val="auto"/>
              </w:rPr>
            </w:pPr>
            <w:r>
              <w:rPr>
                <w:rFonts w:ascii="Arial" w:cs="Arial" w:eastAsia="Arial" w:hAnsi="Arial"/>
                <w:sz w:val="18"/>
                <w:szCs w:val="18"/>
                <w:color w:val="auto"/>
                <w:w w:val="97"/>
              </w:rPr>
              <w:t>Cognizant Technology Solutions</w:t>
            </w:r>
          </w:p>
        </w:tc>
        <w:tc>
          <w:tcPr>
            <w:tcW w:w="2800" w:type="dxa"/>
            <w:vAlign w:val="bottom"/>
            <w:vMerge w:val="restart"/>
          </w:tcPr>
          <w:p>
            <w:pPr>
              <w:ind w:left="180"/>
              <w:spacing w:after="0"/>
              <w:rPr>
                <w:sz w:val="20"/>
                <w:szCs w:val="20"/>
                <w:color w:val="auto"/>
              </w:rPr>
            </w:pPr>
            <w:r>
              <w:rPr>
                <w:rFonts w:ascii="Arial" w:cs="Arial" w:eastAsia="Arial" w:hAnsi="Arial"/>
                <w:sz w:val="18"/>
                <w:szCs w:val="18"/>
                <w:color w:val="auto"/>
              </w:rPr>
              <w:t>EPAM Systems, Inc.</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auto"/>
                <w:w w:val="93"/>
              </w:rPr>
              <w:t>VMware, Inc.</w:t>
            </w:r>
          </w:p>
        </w:tc>
        <w:tc>
          <w:tcPr>
            <w:tcW w:w="0" w:type="dxa"/>
            <w:vAlign w:val="bottom"/>
          </w:tcPr>
          <w:p>
            <w:pPr>
              <w:spacing w:after="0"/>
              <w:rPr>
                <w:sz w:val="1"/>
                <w:szCs w:val="1"/>
                <w:color w:val="auto"/>
              </w:rPr>
            </w:pPr>
          </w:p>
        </w:tc>
      </w:tr>
      <w:tr>
        <w:trPr>
          <w:trHeight w:val="149"/>
        </w:trPr>
        <w:tc>
          <w:tcPr>
            <w:tcW w:w="2540" w:type="dxa"/>
            <w:vAlign w:val="bottom"/>
            <w:vMerge w:val="restart"/>
          </w:tcPr>
          <w:p>
            <w:pPr>
              <w:ind w:left="240"/>
              <w:spacing w:after="0"/>
              <w:rPr>
                <w:sz w:val="20"/>
                <w:szCs w:val="20"/>
                <w:color w:val="auto"/>
              </w:rPr>
            </w:pPr>
            <w:r>
              <w:rPr>
                <w:rFonts w:ascii="Arial" w:cs="Arial" w:eastAsia="Arial" w:hAnsi="Arial"/>
                <w:sz w:val="18"/>
                <w:szCs w:val="18"/>
                <w:color w:val="auto"/>
              </w:rPr>
              <w:t>Corporation</w:t>
            </w:r>
          </w:p>
        </w:tc>
        <w:tc>
          <w:tcPr>
            <w:tcW w:w="28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54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0"/>
                <w:szCs w:val="20"/>
                <w:color w:val="auto"/>
              </w:rPr>
            </w:pPr>
            <w:r>
              <w:rPr>
                <w:rFonts w:ascii="Arial" w:cs="Arial" w:eastAsia="Arial" w:hAnsi="Arial"/>
                <w:sz w:val="18"/>
                <w:szCs w:val="18"/>
                <w:color w:val="auto"/>
              </w:rPr>
              <w:t>Accenture plc</w:t>
            </w:r>
          </w:p>
        </w:tc>
        <w:tc>
          <w:tcPr>
            <w:tcW w:w="2800" w:type="dxa"/>
            <w:vAlign w:val="bottom"/>
          </w:tcPr>
          <w:p>
            <w:pPr>
              <w:ind w:left="180"/>
              <w:spacing w:after="0"/>
              <w:rPr>
                <w:sz w:val="20"/>
                <w:szCs w:val="20"/>
                <w:color w:val="auto"/>
              </w:rPr>
            </w:pPr>
            <w:r>
              <w:rPr>
                <w:rFonts w:ascii="Arial" w:cs="Arial" w:eastAsia="Arial" w:hAnsi="Arial"/>
                <w:sz w:val="18"/>
                <w:szCs w:val="18"/>
                <w:color w:val="auto"/>
              </w:rPr>
              <w:t>Thoughtworks Holding, Inc.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32"/>
          </w:cols>
          <w:pgMar w:left="328" w:top="1401" w:right="339" w:bottom="1440" w:gutter="0" w:footer="0" w:header="0"/>
        </w:sectPr>
      </w:pPr>
    </w:p>
    <w:bookmarkStart w:id="58" w:name="page59"/>
    <w:bookmarkEnd w:id="58"/>
    <w:p>
      <w:pPr>
        <w:jc w:val="both"/>
        <w:ind w:left="4"/>
        <w:spacing w:after="0" w:line="246" w:lineRule="auto"/>
        <w:rPr>
          <w:sz w:val="20"/>
          <w:szCs w:val="20"/>
          <w:color w:val="auto"/>
        </w:rPr>
      </w:pPr>
      <w:r>
        <w:rPr>
          <w:rFonts w:ascii="Arial" w:cs="Arial" w:eastAsia="Arial" w:hAnsi="Arial"/>
          <w:sz w:val="19"/>
          <w:szCs w:val="19"/>
          <w:color w:val="auto"/>
        </w:rPr>
        <w:t>The composition of the Comparator Group is subject to adjustment as follows: (A) the Committee may, in its sole discretion, add IT / cloud services companies that become publicly traded during the Performance Period, but any such company may be added to the Comparator Group only as January 1 of a year that commences after such company becomes publicly traded; and (B) any company in the Comparator Group that is acquired or otherwise ceases to be publicly traded during a Measurement Period shall be removed from the Comparator Group for all Measurement Periods in which the date of such acquisition or cessation occurs (for example, a company that is acquired after the end of the First Tranche Management Period but before the end of the Second Tranche Measurement Period shall be removed from the Comparator Group for the Second Tranche Measurement Period and the Third Tranche Measurement Period).</w:t>
      </w:r>
    </w:p>
    <w:p>
      <w:pPr>
        <w:spacing w:after="0" w:line="152" w:lineRule="exact"/>
        <w:rPr>
          <w:sz w:val="20"/>
          <w:szCs w:val="20"/>
          <w:color w:val="auto"/>
        </w:rPr>
      </w:pPr>
    </w:p>
    <w:p>
      <w:pPr>
        <w:ind w:left="1184" w:hanging="536"/>
        <w:spacing w:after="0"/>
        <w:tabs>
          <w:tab w:leader="none" w:pos="1184" w:val="left"/>
        </w:tabs>
        <w:numPr>
          <w:ilvl w:val="1"/>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Value</w:t>
      </w:r>
      <w:r>
        <w:rPr>
          <w:rFonts w:ascii="Arial" w:cs="Arial" w:eastAsia="Arial" w:hAnsi="Arial"/>
          <w:sz w:val="22"/>
          <w:szCs w:val="22"/>
          <w:color w:val="auto"/>
        </w:rPr>
        <w:t>” means the VWAP for the Common Stock for the 30 days ended March 16, 2023.</w:t>
      </w:r>
    </w:p>
    <w:p>
      <w:pPr>
        <w:spacing w:after="0" w:line="179" w:lineRule="exact"/>
        <w:rPr>
          <w:rFonts w:ascii="Arial" w:cs="Arial" w:eastAsia="Arial" w:hAnsi="Arial"/>
          <w:sz w:val="22"/>
          <w:szCs w:val="22"/>
          <w:color w:val="auto"/>
        </w:rPr>
      </w:pPr>
    </w:p>
    <w:p>
      <w:pPr>
        <w:ind w:left="4" w:firstLine="644"/>
        <w:spacing w:after="0" w:line="247" w:lineRule="auto"/>
        <w:tabs>
          <w:tab w:leader="none" w:pos="1315" w:val="left"/>
        </w:tabs>
        <w:numPr>
          <w:ilvl w:val="1"/>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Measurement Date</w:t>
      </w:r>
      <w:r>
        <w:rPr>
          <w:rFonts w:ascii="Arial" w:cs="Arial" w:eastAsia="Arial" w:hAnsi="Arial"/>
          <w:sz w:val="21"/>
          <w:szCs w:val="21"/>
          <w:color w:val="auto"/>
        </w:rPr>
        <w:t>” means (subject to Section 2(c)) each of (A) for the First Tranche, December 31, [2023], (B) for the Second Tranche, December 31, [2024] and (C) for the Third Tranche, December 31, [2025];</w:t>
      </w:r>
    </w:p>
    <w:p>
      <w:pPr>
        <w:spacing w:after="0" w:line="150" w:lineRule="exact"/>
        <w:rPr>
          <w:rFonts w:ascii="Arial" w:cs="Arial" w:eastAsia="Arial" w:hAnsi="Arial"/>
          <w:sz w:val="21"/>
          <w:szCs w:val="21"/>
          <w:color w:val="auto"/>
        </w:rPr>
      </w:pPr>
    </w:p>
    <w:p>
      <w:pPr>
        <w:jc w:val="both"/>
        <w:ind w:left="4" w:firstLine="644"/>
        <w:spacing w:after="0" w:line="216" w:lineRule="auto"/>
        <w:tabs>
          <w:tab w:leader="none" w:pos="1133" w:val="left"/>
        </w:tabs>
        <w:numPr>
          <w:ilvl w:val="1"/>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Period</w:t>
      </w:r>
      <w:r>
        <w:rPr>
          <w:rFonts w:ascii="Arial" w:cs="Arial" w:eastAsia="Arial" w:hAnsi="Arial"/>
          <w:sz w:val="22"/>
          <w:szCs w:val="22"/>
          <w:color w:val="auto"/>
        </w:rPr>
        <w:t>” means (subject to Section 2(c)) each of (A) for the First Tranche, the period from the January 1, [2023] through December 31, [2023] (the “</w:t>
      </w:r>
      <w:r>
        <w:rPr>
          <w:rFonts w:ascii="Arial" w:cs="Arial" w:eastAsia="Arial" w:hAnsi="Arial"/>
          <w:sz w:val="22"/>
          <w:szCs w:val="22"/>
          <w:u w:val="single" w:color="auto"/>
          <w:color w:val="auto"/>
        </w:rPr>
        <w:t>First Tranche Measurement Period</w:t>
      </w:r>
      <w:r>
        <w:rPr>
          <w:rFonts w:ascii="Arial" w:cs="Arial" w:eastAsia="Arial" w:hAnsi="Arial"/>
          <w:sz w:val="22"/>
          <w:szCs w:val="22"/>
          <w:color w:val="auto"/>
        </w:rPr>
        <w:t>”), (B) for the Second Tranche, the period from January 1, [2023] through December 31, [2024] (the “</w:t>
      </w:r>
      <w:r>
        <w:rPr>
          <w:rFonts w:ascii="Arial" w:cs="Arial" w:eastAsia="Arial" w:hAnsi="Arial"/>
          <w:sz w:val="22"/>
          <w:szCs w:val="22"/>
          <w:u w:val="single" w:color="auto"/>
          <w:color w:val="auto"/>
        </w:rPr>
        <w:t>Second Tranche Measurement Period</w:t>
      </w:r>
      <w:r>
        <w:rPr>
          <w:rFonts w:ascii="Arial" w:cs="Arial" w:eastAsia="Arial" w:hAnsi="Arial"/>
          <w:sz w:val="22"/>
          <w:szCs w:val="22"/>
          <w:color w:val="auto"/>
        </w:rPr>
        <w:t>”) and (C) for the Third Tranche, the period from January 1, [2023] through December 31, [2025] (the “</w:t>
      </w:r>
      <w:r>
        <w:rPr>
          <w:rFonts w:ascii="Arial" w:cs="Arial" w:eastAsia="Arial" w:hAnsi="Arial"/>
          <w:sz w:val="22"/>
          <w:szCs w:val="22"/>
          <w:u w:val="single" w:color="auto"/>
          <w:color w:val="auto"/>
        </w:rPr>
        <w:t>Third Tranche Measurement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4" w:firstLine="644"/>
        <w:spacing w:after="0" w:line="232" w:lineRule="auto"/>
        <w:tabs>
          <w:tab w:leader="none" w:pos="1193" w:val="left"/>
        </w:tabs>
        <w:numPr>
          <w:ilvl w:val="1"/>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(subject to Section 2(c)) the period commencing January 1, [2023] and ending on (and including ) December 31, [2025].</w:t>
      </w:r>
    </w:p>
    <w:p>
      <w:pPr>
        <w:spacing w:after="0" w:line="158" w:lineRule="exact"/>
        <w:rPr>
          <w:rFonts w:ascii="Arial" w:cs="Arial" w:eastAsia="Arial" w:hAnsi="Arial"/>
          <w:sz w:val="22"/>
          <w:szCs w:val="22"/>
          <w:color w:val="auto"/>
        </w:rPr>
      </w:pPr>
    </w:p>
    <w:p>
      <w:pPr>
        <w:jc w:val="both"/>
        <w:ind w:left="4" w:firstLine="644"/>
        <w:spacing w:after="0" w:line="257" w:lineRule="auto"/>
        <w:tabs>
          <w:tab w:leader="none" w:pos="1280" w:val="left"/>
        </w:tabs>
        <w:numPr>
          <w:ilvl w:val="1"/>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w:t>
      </w:r>
      <w:r>
        <w:rPr>
          <w:rFonts w:ascii="Arial" w:cs="Arial" w:eastAsia="Arial" w:hAnsi="Arial"/>
          <w:sz w:val="19"/>
          <w:szCs w:val="19"/>
          <w:color w:val="auto"/>
        </w:rPr>
        <w:t>” shall mean each of (A) _______ Units that shall be eligible to vest based on TSR Performance for the First Tranche Measurement Period (the “</w:t>
      </w:r>
      <w:r>
        <w:rPr>
          <w:rFonts w:ascii="Arial" w:cs="Arial" w:eastAsia="Arial" w:hAnsi="Arial"/>
          <w:sz w:val="19"/>
          <w:szCs w:val="19"/>
          <w:u w:val="single" w:color="auto"/>
          <w:color w:val="auto"/>
        </w:rPr>
        <w:t>First Tranche</w:t>
      </w:r>
      <w:r>
        <w:rPr>
          <w:rFonts w:ascii="Arial" w:cs="Arial" w:eastAsia="Arial" w:hAnsi="Arial"/>
          <w:sz w:val="19"/>
          <w:szCs w:val="19"/>
          <w:color w:val="auto"/>
        </w:rPr>
        <w:t>”), (B) _______ Units that shall be eligible to vest based on TSR Performance for the Second Tranche Measurement Period (the “</w:t>
      </w:r>
      <w:r>
        <w:rPr>
          <w:rFonts w:ascii="Arial" w:cs="Arial" w:eastAsia="Arial" w:hAnsi="Arial"/>
          <w:sz w:val="19"/>
          <w:szCs w:val="19"/>
          <w:u w:val="single" w:color="auto"/>
          <w:color w:val="auto"/>
        </w:rPr>
        <w:t>Second Tranche</w:t>
      </w:r>
      <w:r>
        <w:rPr>
          <w:rFonts w:ascii="Arial" w:cs="Arial" w:eastAsia="Arial" w:hAnsi="Arial"/>
          <w:sz w:val="19"/>
          <w:szCs w:val="19"/>
          <w:color w:val="auto"/>
        </w:rPr>
        <w:t>”) and (C) _______ Units that shall be eligible to vest based on TSR Performance for the Third Tranche Measurement Period (the “</w:t>
      </w:r>
      <w:r>
        <w:rPr>
          <w:rFonts w:ascii="Arial" w:cs="Arial" w:eastAsia="Arial" w:hAnsi="Arial"/>
          <w:sz w:val="19"/>
          <w:szCs w:val="19"/>
          <w:u w:val="single" w:color="auto"/>
          <w:color w:val="auto"/>
        </w:rPr>
        <w:t>Third Tranche</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left="4" w:firstLine="644"/>
        <w:spacing w:after="0" w:line="223" w:lineRule="auto"/>
        <w:tabs>
          <w:tab w:leader="none" w:pos="1313" w:val="left"/>
        </w:tabs>
        <w:numPr>
          <w:ilvl w:val="1"/>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xml:space="preserve">” shall mean, for each Tranche, the date that is 30 days after the Measurement Date for such Tranche; </w:t>
      </w:r>
      <w:r>
        <w:rPr>
          <w:rFonts w:ascii="Arial" w:cs="Arial" w:eastAsia="Arial" w:hAnsi="Arial"/>
          <w:sz w:val="22"/>
          <w:szCs w:val="22"/>
          <w:u w:val="single" w:color="auto"/>
          <w:color w:val="auto"/>
        </w:rPr>
        <w:t>provided</w:t>
      </w:r>
      <w:r>
        <w:rPr>
          <w:rFonts w:ascii="Arial" w:cs="Arial" w:eastAsia="Arial" w:hAnsi="Arial"/>
          <w:sz w:val="22"/>
          <w:szCs w:val="22"/>
          <w:color w:val="auto"/>
        </w:rPr>
        <w:t>, that the Committee may, in its discretion, accelerate the Vesting Date for any Tranche to a date that is after the calculation of the Vesting Percentage for such Tranche.</w:t>
      </w:r>
    </w:p>
    <w:p>
      <w:pPr>
        <w:spacing w:after="0" w:line="158" w:lineRule="exact"/>
        <w:rPr>
          <w:rFonts w:ascii="Arial" w:cs="Arial" w:eastAsia="Arial" w:hAnsi="Arial"/>
          <w:sz w:val="22"/>
          <w:szCs w:val="22"/>
          <w:color w:val="auto"/>
        </w:rPr>
      </w:pPr>
    </w:p>
    <w:p>
      <w:pPr>
        <w:ind w:left="4" w:firstLine="644"/>
        <w:spacing w:after="0" w:line="232" w:lineRule="auto"/>
        <w:tabs>
          <w:tab w:leader="none" w:pos="1234" w:val="left"/>
        </w:tabs>
        <w:numPr>
          <w:ilvl w:val="1"/>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VWAP</w:t>
      </w:r>
      <w:r>
        <w:rPr>
          <w:rFonts w:ascii="Arial" w:cs="Arial" w:eastAsia="Arial" w:hAnsi="Arial"/>
          <w:sz w:val="22"/>
          <w:szCs w:val="22"/>
          <w:color w:val="auto"/>
        </w:rPr>
        <w:t>” means the volume weighted average price as calculated by a service selected by the Company’s Chief People Officer.</w:t>
      </w:r>
    </w:p>
    <w:p>
      <w:pPr>
        <w:spacing w:after="0" w:line="158" w:lineRule="exact"/>
        <w:rPr>
          <w:rFonts w:ascii="Arial" w:cs="Arial" w:eastAsia="Arial" w:hAnsi="Arial"/>
          <w:sz w:val="22"/>
          <w:szCs w:val="22"/>
          <w:color w:val="auto"/>
        </w:rPr>
      </w:pPr>
    </w:p>
    <w:p>
      <w:pPr>
        <w:jc w:val="both"/>
        <w:ind w:left="-656" w:firstLine="656"/>
        <w:spacing w:after="0" w:line="221" w:lineRule="auto"/>
        <w:tabs>
          <w:tab w:leader="none" w:pos="637" w:val="left"/>
        </w:tabs>
        <w:numPr>
          <w:ilvl w:val="0"/>
          <w:numId w:val="24"/>
        </w:numPr>
        <w:rPr>
          <w:rFonts w:ascii="Arial" w:cs="Arial" w:eastAsia="Arial" w:hAnsi="Arial"/>
          <w:sz w:val="21"/>
          <w:szCs w:val="21"/>
          <w:color w:val="auto"/>
        </w:rPr>
      </w:pPr>
      <w:r>
        <w:rPr>
          <w:rFonts w:ascii="Arial" w:cs="Arial" w:eastAsia="Arial" w:hAnsi="Arial"/>
          <w:sz w:val="21"/>
          <w:szCs w:val="21"/>
          <w:color w:val="auto"/>
        </w:rPr>
        <w:t>Notwithstanding anything contained herein to the contrary and except as may be provided in the Participant’s employment or services agreement with the Company or the Company’s Executive Change in Control Severance Plan, the Performance Units of any Tranche shall not be eligible for vesting if the Participant has a Termination of Service for any reason before the Measurement Date for such Tranche, and no Tranche of the Performance Units that has a Measurement Date after the date of the Participant’s Termination of Service shall vest thereafter (</w:t>
      </w:r>
      <w:r>
        <w:rPr>
          <w:rFonts w:ascii="Arial" w:cs="Arial" w:eastAsia="Arial" w:hAnsi="Arial"/>
          <w:sz w:val="21"/>
          <w:szCs w:val="21"/>
          <w:i w:val="1"/>
          <w:iCs w:val="1"/>
          <w:color w:val="auto"/>
        </w:rPr>
        <w:t>i.e.</w:t>
      </w:r>
      <w:r>
        <w:rPr>
          <w:rFonts w:ascii="Arial" w:cs="Arial" w:eastAsia="Arial" w:hAnsi="Arial"/>
          <w:sz w:val="21"/>
          <w:szCs w:val="21"/>
          <w:color w:val="auto"/>
        </w:rPr>
        <w:t>, the Performance Units in such Tranche shall be forfeited immediately). For the avoidance of doubt, if the Participant has a Termination of Service after the Measurement Date for a Tranche of the Performance Units but before the Vesting Date of such Tranche, the Performance Units of such Tranche shall be eligible to vest on such Vesting Date</w:t>
      </w:r>
    </w:p>
    <w:p>
      <w:pPr>
        <w:sectPr>
          <w:pgSz w:w="11900" w:h="16838" w:orient="portrait"/>
          <w:cols w:equalWidth="0" w:num="1">
            <w:col w:w="10584"/>
          </w:cols>
          <w:pgMar w:left="976" w:top="1401" w:right="339" w:bottom="1440" w:gutter="0" w:footer="0" w:header="0"/>
        </w:sectPr>
      </w:pPr>
    </w:p>
    <w:bookmarkStart w:id="59" w:name="page60"/>
    <w:bookmarkEnd w:id="59"/>
    <w:p>
      <w:pPr>
        <w:jc w:val="both"/>
        <w:spacing w:after="0" w:line="232" w:lineRule="auto"/>
        <w:rPr>
          <w:sz w:val="20"/>
          <w:szCs w:val="20"/>
          <w:color w:val="auto"/>
        </w:rPr>
      </w:pPr>
      <w:r>
        <w:rPr>
          <w:rFonts w:ascii="Arial" w:cs="Arial" w:eastAsia="Arial" w:hAnsi="Arial"/>
          <w:sz w:val="22"/>
          <w:szCs w:val="22"/>
          <w:color w:val="auto"/>
        </w:rPr>
        <w:t>notwithstanding the Participant’s Termination of Service. Further, no Tranche (or portion thereof) of the Performance Units that is not vested as of the Vesting Date for such Tranche shall vest thereafter.</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Settlement of Units.</w:t>
      </w:r>
      <w:r>
        <w:rPr>
          <w:rFonts w:ascii="Arial" w:cs="Arial" w:eastAsia="Arial" w:hAnsi="Arial"/>
          <w:sz w:val="19"/>
          <w:szCs w:val="19"/>
          <w:color w:val="auto"/>
        </w:rPr>
        <w:t xml:space="preserve"> To the extent that any Units vest under this Agreement, the Company will pay the Participant an amount in cash equal to the product of (a) the number of Units vested and payable on the applicable Vesting Date or other vesting event under this Agreement and (b) the Grant Value, subject to withholding of Tax-Related Items pursuant to Section 7 below. The settlement date on which payment of such cash amount will be made to the Participant will be as follows:</w:t>
      </w:r>
    </w:p>
    <w:p>
      <w:pPr>
        <w:spacing w:after="0" w:line="1" w:lineRule="exact"/>
        <w:rPr>
          <w:sz w:val="20"/>
          <w:szCs w:val="20"/>
          <w:color w:val="auto"/>
        </w:rPr>
      </w:pPr>
    </w:p>
    <w:p>
      <w:pPr>
        <w:jc w:val="both"/>
        <w:ind w:firstLine="8"/>
        <w:spacing w:after="0" w:line="211" w:lineRule="auto"/>
        <w:tabs>
          <w:tab w:leader="none" w:pos="361"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for the First Tranche, April 1, 2024, (B) for the Second Tranche, April 1, 2025 and (C) for the Third Tranche, April 1, 2026;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that the Units vest on a Change in Control pursuant to Section 2(c) or on such other applicable vesting event under this Agreement, settlement of the cash amount due on such vesting of the Units shall be made as soon as practicable after the Change in Control or other applicable vesting event but in no event later than the seventieth (70th) calendar day thereafter, subject to Section 21(b) below, if applicable. Upon such cash settlement, the settled Units shall cease to be credited to the Account.</w:t>
      </w:r>
    </w:p>
    <w:p>
      <w:pPr>
        <w:spacing w:after="0" w:line="16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Restriction on Transfer</w:t>
      </w:r>
      <w:r>
        <w:rPr>
          <w:rFonts w:ascii="Arial" w:cs="Arial" w:eastAsia="Arial" w:hAnsi="Arial"/>
          <w:sz w:val="19"/>
          <w:szCs w:val="19"/>
          <w:color w:val="auto"/>
        </w:rPr>
        <w:t>. The Performance Units may not be transferred, pledged, assigned, hypothecated or otherwise disposed of in any way by the Participant, other than as provided in Section 10.3(b) of the Plan. The Performance Units shall not be subject to execution, attachment or similar process. Any attempted assignment, transfer, pledge, hypothecation or other disposition of the Performance Units contrary to the provisions hereof, and the levy of any execution, attachment or similar process upon the Performance Units, shall be null and void and without effect.</w:t>
      </w:r>
    </w:p>
    <w:p>
      <w:pPr>
        <w:spacing w:after="0" w:line="1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Participant’s Employment or Other Service Relationship</w:t>
      </w:r>
      <w:r>
        <w:rPr>
          <w:rFonts w:ascii="Arial" w:cs="Arial" w:eastAsia="Arial" w:hAnsi="Arial"/>
          <w:sz w:val="19"/>
          <w:szCs w:val="19"/>
          <w:color w:val="auto"/>
        </w:rPr>
        <w:t>. Nothing in this Agreement nor the grant of the Performance Units shall confer upon the Participant any right to continue the Participant’s employment or other service relationship with the Company or, if different, the Employer or interfere in any way with the right of the Company or, if different, the Employer to terminate the Participant’s employment or other service relationship or to increase or decrease the Participant’s compensation at any time. The grant of Performance Units is an exceptional, voluntary and one-time benefit and does not create any contractual or other right to receive any other grant of other Awards (including Performance Units) under the Plan in the future, or benefits in lieu of Performance Units, even if Performance Units have been granted in the past. The grant of the Performance Units does not form or amend part of the Participant’s entitlement to remuneration or benefits in terms of his or her employment or other service relationship with the Company or, if different, the Employer, if any, at any time.</w:t>
      </w:r>
    </w:p>
    <w:p>
      <w:pPr>
        <w:spacing w:after="0" w:line="16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Termination</w:t>
      </w:r>
      <w:r>
        <w:rPr>
          <w:rFonts w:ascii="Arial" w:cs="Arial" w:eastAsia="Arial" w:hAnsi="Arial"/>
          <w:sz w:val="19"/>
          <w:szCs w:val="19"/>
          <w:color w:val="auto"/>
        </w:rPr>
        <w:t>. For the avoidance of doubt, the Performance Units shall cease vesting and shall be forfeited immediately as of the date of the Participant’s Termination of Service, except as otherwise provided in Section 2(e) above.</w:t>
      </w:r>
    </w:p>
    <w:p>
      <w:pPr>
        <w:spacing w:after="0" w:line="1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Responsibility for Taxes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7" w:lineRule="auto"/>
        <w:tabs>
          <w:tab w:leader="none" w:pos="137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Participant acknowledges that, regardless of any action taken by the Company or the Employer, the ultimate liability for all income tax, social insurance, payroll tax, fringe benefits tax, payment on account or other tax related items related to the Participant’s participation in the Plan and legally applicable to the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Performance Units, including, but not limited to, the grant or vesting of the Performance Units, or the receipt of a cash payment acquired pursuant to</w:t>
      </w:r>
    </w:p>
    <w:p>
      <w:pPr>
        <w:sectPr>
          <w:pgSz w:w="11900" w:h="16838" w:orient="portrait"/>
          <w:cols w:equalWidth="0" w:num="1">
            <w:col w:w="11240"/>
          </w:cols>
          <w:pgMar w:left="320" w:top="1401" w:right="33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9"/>
          <w:szCs w:val="19"/>
          <w:color w:val="auto"/>
        </w:rPr>
        <w:t>such vesting; and (ii) do not commit to and are under no obligation to structure the terms of the grant or any aspect of Performance Units to reduce or eliminate the Participant’s liability for Tax-Related Items or achieve any particular tax result. The Participant shall not make any claim against the Company, the Employer or any other Subsidiary, or their respective board, officers or employees related to Tax-Related Items arising from the Performance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2" w:lineRule="exact"/>
        <w:rPr>
          <w:sz w:val="20"/>
          <w:szCs w:val="20"/>
          <w:color w:val="auto"/>
        </w:rPr>
      </w:pPr>
    </w:p>
    <w:p>
      <w:pPr>
        <w:jc w:val="both"/>
        <w:ind w:firstLine="656"/>
        <w:spacing w:after="0" w:line="247" w:lineRule="auto"/>
        <w:tabs>
          <w:tab w:leader="none" w:pos="1372"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connection with any relevant taxable or tax withholding event, as applicable, the Participant agrees to make adequate arrangements satisfactory to the Company and/or the Employer to satisfy all Tax-Related Items. To satisfy any withholding obligations of the Company and/or the Employer with respect to Tax-Related Items, the Company or the Employer will generally withhold cash which would otherwise be payable to the Participant pursuant to the vesting of the Units sufficient to cover the withholding obligation for Tax Related Items. Alternatively, or in addition, the Participant authorizes the Company and/or the Employer, or their respective agents, at their discretion and with no obligation to do so, to satisfy any applicable withholding obligations with regard to Tax-Related Items by one or a combination of the following:</w:t>
      </w:r>
    </w:p>
    <w:p>
      <w:pPr>
        <w:spacing w:after="0" w:line="153" w:lineRule="exact"/>
        <w:rPr>
          <w:rFonts w:ascii="Arial" w:cs="Arial" w:eastAsia="Arial" w:hAnsi="Arial"/>
          <w:sz w:val="19"/>
          <w:szCs w:val="19"/>
          <w:color w:val="auto"/>
        </w:rPr>
      </w:pPr>
    </w:p>
    <w:p>
      <w:pPr>
        <w:ind w:left="660" w:firstLine="440"/>
        <w:spacing w:after="0" w:line="232" w:lineRule="auto"/>
        <w:tabs>
          <w:tab w:leader="none" w:pos="1368"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withholding from the Participant’s wages or other cash compensation paid to the Participant by the Company, the Employer or any other Subsidiary;</w:t>
      </w:r>
    </w:p>
    <w:p>
      <w:pPr>
        <w:spacing w:after="0" w:line="158" w:lineRule="exact"/>
        <w:rPr>
          <w:rFonts w:ascii="Arial" w:cs="Arial" w:eastAsia="Arial" w:hAnsi="Arial"/>
          <w:sz w:val="22"/>
          <w:szCs w:val="22"/>
          <w:color w:val="auto"/>
        </w:rPr>
      </w:pPr>
    </w:p>
    <w:p>
      <w:pPr>
        <w:ind w:left="1360" w:hanging="320"/>
        <w:spacing w:after="0"/>
        <w:tabs>
          <w:tab w:leader="none" w:pos="13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requiring the Participant to tender a cash payment to the Company or the Employer; and/or</w:t>
      </w:r>
    </w:p>
    <w:p>
      <w:pPr>
        <w:spacing w:after="0" w:line="179" w:lineRule="exact"/>
        <w:rPr>
          <w:rFonts w:ascii="Arial" w:cs="Arial" w:eastAsia="Arial" w:hAnsi="Arial"/>
          <w:sz w:val="22"/>
          <w:szCs w:val="22"/>
          <w:color w:val="auto"/>
        </w:rPr>
      </w:pPr>
    </w:p>
    <w:p>
      <w:pPr>
        <w:ind w:left="1360" w:hanging="380"/>
        <w:spacing w:after="0"/>
        <w:tabs>
          <w:tab w:leader="none" w:pos="13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any other methods approved by the Committee and permitted by applicable laws.</w:t>
      </w:r>
    </w:p>
    <w:p>
      <w:pPr>
        <w:spacing w:after="0" w:line="179" w:lineRule="exact"/>
        <w:rPr>
          <w:rFonts w:ascii="Arial" w:cs="Arial" w:eastAsia="Arial" w:hAnsi="Arial"/>
          <w:sz w:val="22"/>
          <w:szCs w:val="22"/>
          <w:color w:val="auto"/>
        </w:rPr>
      </w:pPr>
    </w:p>
    <w:p>
      <w:pPr>
        <w:jc w:val="both"/>
        <w:ind w:firstLine="656"/>
        <w:spacing w:after="0" w:line="211" w:lineRule="auto"/>
        <w:tabs>
          <w:tab w:leader="none" w:pos="1374" w:val="left"/>
        </w:tabs>
        <w:numPr>
          <w:ilvl w:val="0"/>
          <w:numId w:val="27"/>
        </w:numPr>
        <w:rPr>
          <w:rFonts w:ascii="Arial" w:cs="Arial" w:eastAsia="Arial" w:hAnsi="Arial"/>
          <w:sz w:val="22"/>
          <w:szCs w:val="22"/>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the Participant may receive a refund of any over-withheld amount or, if not refunded, the Participant may seek a refund from the local tax authorities. 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deliver the cash payment if the Participant fails to comply with his or her obligations in connection with the Tax-Related Items.</w:t>
      </w:r>
    </w:p>
    <w:p>
      <w:pPr>
        <w:spacing w:after="0" w:line="14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the Performance Units, the Participant acknowledges, understands and agrees</w:t>
      </w:r>
    </w:p>
    <w:p>
      <w:pPr>
        <w:spacing w:after="0"/>
        <w:rPr>
          <w:sz w:val="20"/>
          <w:szCs w:val="20"/>
          <w:color w:val="auto"/>
        </w:rPr>
      </w:pPr>
      <w:r>
        <w:rPr>
          <w:rFonts w:ascii="Arial" w:cs="Arial" w:eastAsia="Arial" w:hAnsi="Arial"/>
          <w:sz w:val="22"/>
          <w:szCs w:val="22"/>
          <w:color w:val="auto"/>
        </w:rPr>
        <w:t>that:</w:t>
      </w:r>
    </w:p>
    <w:p>
      <w:pPr>
        <w:spacing w:after="0" w:line="161" w:lineRule="exact"/>
        <w:rPr>
          <w:sz w:val="20"/>
          <w:szCs w:val="20"/>
          <w:color w:val="auto"/>
        </w:rPr>
      </w:pPr>
    </w:p>
    <w:p>
      <w:pPr>
        <w:ind w:right="20" w:firstLine="656"/>
        <w:spacing w:after="0" w:line="232" w:lineRule="auto"/>
        <w:tabs>
          <w:tab w:leader="none" w:pos="137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ind w:left="1380" w:hanging="724"/>
        <w:spacing w:after="0"/>
        <w:tabs>
          <w:tab w:leader="none" w:pos="13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all decisions with respect to future Performance Units or other grants, if any, will be at the sole discretion of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auto"/>
        </w:rPr>
      </w:pPr>
    </w:p>
    <w:p>
      <w:pPr>
        <w:ind w:left="1380" w:hanging="724"/>
        <w:spacing w:after="0"/>
        <w:tabs>
          <w:tab w:leader="none" w:pos="1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372"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Performance Units and any cash payment acquired upon vesting, and the income and value of same, are not intended to replace any pension rights or compensation;</w:t>
      </w:r>
    </w:p>
    <w:p>
      <w:pPr>
        <w:sectPr>
          <w:pgSz w:w="11900" w:h="16838" w:orient="portrait"/>
          <w:cols w:equalWidth="0" w:num="1">
            <w:col w:w="11240"/>
          </w:cols>
          <w:pgMar w:left="320" w:top="1401" w:right="339" w:bottom="1440" w:gutter="0" w:footer="0" w:header="0"/>
        </w:sectPr>
      </w:pPr>
    </w:p>
    <w:bookmarkStart w:id="61" w:name="page62"/>
    <w:bookmarkEnd w:id="61"/>
    <w:p>
      <w:pPr>
        <w:jc w:val="both"/>
        <w:ind w:firstLine="656"/>
        <w:spacing w:after="0" w:line="229" w:lineRule="auto"/>
        <w:tabs>
          <w:tab w:leader="none" w:pos="1374"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Performance Units and any cash payment acquired upon vesting, and the income and value of same, are not part of normal or expected compensation for any purpose, including, without limitation, for purposes of calculating any severance, resignation, termination, redundancy, dismissal, end-of-service payments, bonuses, long-service awards, leave-related payments, holiday pay, pension or retirement or welfare benefits or similar mandatory payments;</w:t>
      </w:r>
    </w:p>
    <w:p>
      <w:pPr>
        <w:spacing w:after="0" w:line="158" w:lineRule="exact"/>
        <w:rPr>
          <w:rFonts w:ascii="Arial" w:cs="Arial" w:eastAsia="Arial" w:hAnsi="Arial"/>
          <w:sz w:val="21"/>
          <w:szCs w:val="21"/>
          <w:color w:val="auto"/>
        </w:rPr>
      </w:pPr>
    </w:p>
    <w:p>
      <w:pPr>
        <w:ind w:firstLine="656"/>
        <w:spacing w:after="0" w:line="298" w:lineRule="auto"/>
        <w:tabs>
          <w:tab w:leader="none" w:pos="1377" w:val="left"/>
        </w:tabs>
        <w:numPr>
          <w:ilvl w:val="0"/>
          <w:numId w:val="29"/>
        </w:numPr>
        <w:rPr>
          <w:rFonts w:ascii="Arial" w:cs="Arial" w:eastAsia="Arial" w:hAnsi="Arial"/>
          <w:sz w:val="19"/>
          <w:szCs w:val="19"/>
          <w:color w:val="auto"/>
        </w:rPr>
      </w:pPr>
      <w:r>
        <w:rPr>
          <w:rFonts w:ascii="Arial" w:cs="Arial" w:eastAsia="Arial" w:hAnsi="Arial"/>
          <w:sz w:val="19"/>
          <w:szCs w:val="19"/>
          <w:color w:val="auto"/>
        </w:rPr>
        <w:t>unless otherwise agreed with the Company, the Performance Units and the income and value of same, are not granted as consideration for, or in connection with, the service the Participant may provide as a director of any Subsidiary;</w:t>
      </w:r>
    </w:p>
    <w:p>
      <w:pPr>
        <w:spacing w:after="0" w:line="105" w:lineRule="exact"/>
        <w:rPr>
          <w:rFonts w:ascii="Arial" w:cs="Arial" w:eastAsia="Arial" w:hAnsi="Arial"/>
          <w:sz w:val="19"/>
          <w:szCs w:val="19"/>
          <w:color w:val="auto"/>
        </w:rPr>
      </w:pPr>
    </w:p>
    <w:p>
      <w:pPr>
        <w:jc w:val="both"/>
        <w:ind w:firstLine="656"/>
        <w:spacing w:after="0" w:line="257" w:lineRule="auto"/>
        <w:tabs>
          <w:tab w:leader="none" w:pos="1372" w:val="left"/>
        </w:tabs>
        <w:numPr>
          <w:ilvl w:val="0"/>
          <w:numId w:val="29"/>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Performance Units resulting from a Termination of Service (for any reason whatsoever, whether or not later found to be invalid or in breach of employment laws in the jurisdiction where the Participant is employed or rendering services or the terms of the Participant’s employment or service agreement, if any) or from the application of any recoupment or clawback policy or requirement;</w:t>
      </w:r>
    </w:p>
    <w:p>
      <w:pPr>
        <w:spacing w:after="0" w:line="144" w:lineRule="exact"/>
        <w:rPr>
          <w:rFonts w:ascii="Arial" w:cs="Arial" w:eastAsia="Arial" w:hAnsi="Arial"/>
          <w:sz w:val="19"/>
          <w:szCs w:val="19"/>
          <w:color w:val="auto"/>
        </w:rPr>
      </w:pPr>
    </w:p>
    <w:p>
      <w:pPr>
        <w:jc w:val="both"/>
        <w:ind w:firstLine="656"/>
        <w:spacing w:after="0" w:line="218" w:lineRule="auto"/>
        <w:tabs>
          <w:tab w:leader="none" w:pos="13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sole discretion,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w:t>
      </w:r>
    </w:p>
    <w:p>
      <w:pPr>
        <w:spacing w:after="0" w:line="160" w:lineRule="exact"/>
        <w:rPr>
          <w:rFonts w:ascii="Arial" w:cs="Arial" w:eastAsia="Arial" w:hAnsi="Arial"/>
          <w:sz w:val="22"/>
          <w:szCs w:val="22"/>
          <w:color w:val="auto"/>
        </w:rPr>
      </w:pPr>
    </w:p>
    <w:p>
      <w:pPr>
        <w:jc w:val="both"/>
        <w:ind w:firstLine="656"/>
        <w:spacing w:after="0" w:line="234" w:lineRule="auto"/>
        <w:tabs>
          <w:tab w:leader="none" w:pos="1365" w:val="left"/>
        </w:tabs>
        <w:numPr>
          <w:ilvl w:val="0"/>
          <w:numId w:val="29"/>
        </w:numPr>
        <w:rPr>
          <w:rFonts w:ascii="Arial" w:cs="Arial" w:eastAsia="Arial" w:hAnsi="Arial"/>
          <w:sz w:val="21"/>
          <w:szCs w:val="21"/>
          <w:color w:val="auto"/>
        </w:rPr>
      </w:pPr>
      <w:r>
        <w:rPr>
          <w:rFonts w:ascii="Arial" w:cs="Arial" w:eastAsia="Arial" w:hAnsi="Arial"/>
          <w:sz w:val="21"/>
          <w:szCs w:val="21"/>
          <w:color w:val="auto"/>
        </w:rPr>
        <w:t>neither the Company, the Employer nor any other Subsidiary or Affiliate shall be liable for any foreign exchange rate fluctuation between the Participant’s local currency and the United States Dollar that may affect the value of the Performance Units or of any amounts due to the Participant pursuant to the vesting of the Performance Units; and</w:t>
      </w:r>
    </w:p>
    <w:p>
      <w:pPr>
        <w:spacing w:after="0" w:line="157" w:lineRule="exact"/>
        <w:rPr>
          <w:rFonts w:ascii="Arial" w:cs="Arial" w:eastAsia="Arial" w:hAnsi="Arial"/>
          <w:sz w:val="21"/>
          <w:szCs w:val="21"/>
          <w:color w:val="auto"/>
        </w:rPr>
      </w:pPr>
    </w:p>
    <w:p>
      <w:pPr>
        <w:jc w:val="both"/>
        <w:ind w:firstLine="656"/>
        <w:spacing w:after="0" w:line="268" w:lineRule="auto"/>
        <w:tabs>
          <w:tab w:leader="none" w:pos="1365"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is not providing any tax, legal or financial advice, nor is the Company making any recommendations regarding the Participant’s participation in the Plan. The Participant should consult with his or her personal tax, legal and financial advisors regarding his or her participation in the Plan before taking any action related to the Plan.</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Adjustment of Performance Goals</w:t>
      </w:r>
      <w:r>
        <w:rPr>
          <w:rFonts w:ascii="Arial" w:cs="Arial" w:eastAsia="Arial" w:hAnsi="Arial"/>
          <w:sz w:val="19"/>
          <w:szCs w:val="19"/>
          <w:color w:val="auto"/>
        </w:rPr>
        <w:t>. The Committee shall have the right to adjust or modify the calculation of the Performance Goals as permitted under the Plan or contemplated herein. In addition, the Performance Goals and the calculated level of achievement of the Performance Goals may be equitably adjusted from time to time in any manner that the Committee deems necessary or appropriate in its sole discretion. For instance, adjustments may be made to take account of (i) subject to Section 2(c), any acquisitions, divestitures, reorganization, restructuring, or any other specific unusual or nonrecurring events or conditions that occur during the Performance Period, and/or (ii) any changes in tax laws, accounting principles, or other laws or regulatory rules affecting reported results, including such changes that result in gains, losses or expenses determined to be extraordinary or unusual in nature or infrequent in occurrence, in each case, affecting the Company or any of its subsidiaries or the financial statements of the Company or any of its subsidiaries.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8"/>
          <w:szCs w:val="18"/>
          <w:b w:val="1"/>
          <w:bCs w:val="1"/>
          <w:i w:val="1"/>
          <w:iCs w:val="1"/>
          <w:u w:val="single" w:color="auto"/>
          <w:color w:val="auto"/>
        </w:rPr>
        <w:t>Data Privacy Consent</w:t>
      </w:r>
      <w:r>
        <w:rPr>
          <w:rFonts w:ascii="Arial" w:cs="Arial" w:eastAsia="Arial" w:hAnsi="Arial"/>
          <w:sz w:val="18"/>
          <w:szCs w:val="18"/>
          <w:b w:val="1"/>
          <w:bCs w:val="1"/>
          <w:i w:val="1"/>
          <w:iCs w:val="1"/>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b w:val="1"/>
          <w:bCs w:val="1"/>
          <w:i w:val="1"/>
          <w:iCs w:val="1"/>
          <w:color w:val="auto"/>
        </w:rPr>
        <w:t>The Company is located at 1 Fanatical Place, Windcrest, TX 78218, USA and grants employees of the Company and its other Subsidiaries and Affiliates,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sectPr>
          <w:pgSz w:w="11900" w:h="16838" w:orient="portrait"/>
          <w:cols w:equalWidth="0" w:num="1">
            <w:col w:w="11240"/>
          </w:cols>
          <w:pgMar w:left="320" w:top="1401" w:right="339" w:bottom="1440" w:gutter="0" w:footer="0" w:header="0"/>
        </w:sectPr>
      </w:pPr>
    </w:p>
    <w:bookmarkStart w:id="62" w:name="page63"/>
    <w:bookmarkEnd w:id="62"/>
    <w:p>
      <w:pPr>
        <w:jc w:val="both"/>
        <w:ind w:left="-8" w:firstLine="1304"/>
        <w:spacing w:after="0" w:line="246" w:lineRule="auto"/>
        <w:tabs>
          <w:tab w:leader="none" w:pos="1933" w:val="left"/>
        </w:tabs>
        <w:numPr>
          <w:ilvl w:val="1"/>
          <w:numId w:val="30"/>
        </w:numPr>
        <w:rPr>
          <w:rFonts w:ascii="Arial" w:cs="Arial" w:eastAsia="Arial" w:hAnsi="Arial"/>
          <w:sz w:val="19"/>
          <w:szCs w:val="19"/>
          <w:color w:val="auto"/>
        </w:rPr>
      </w:pPr>
      <w:r>
        <w:rPr>
          <w:rFonts w:ascii="Arial" w:cs="Arial" w:eastAsia="Arial" w:hAnsi="Arial"/>
          <w:sz w:val="19"/>
          <w:szCs w:val="19"/>
          <w:b w:val="1"/>
          <w:bCs w:val="1"/>
          <w:i w:val="1"/>
          <w:iCs w:val="1"/>
          <w:color w:val="auto"/>
        </w:rPr>
        <w:t>Data Collection and Usage.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Common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spacing w:after="0" w:line="152" w:lineRule="exact"/>
        <w:rPr>
          <w:rFonts w:ascii="Arial" w:cs="Arial" w:eastAsia="Arial" w:hAnsi="Arial"/>
          <w:sz w:val="19"/>
          <w:szCs w:val="19"/>
          <w:color w:val="auto"/>
        </w:rPr>
      </w:pPr>
    </w:p>
    <w:p>
      <w:pPr>
        <w:jc w:val="both"/>
        <w:ind w:left="-8" w:firstLine="1304"/>
        <w:spacing w:after="0" w:line="244" w:lineRule="auto"/>
        <w:tabs>
          <w:tab w:leader="none" w:pos="1931" w:val="left"/>
        </w:tabs>
        <w:numPr>
          <w:ilvl w:val="1"/>
          <w:numId w:val="30"/>
        </w:numPr>
        <w:rPr>
          <w:rFonts w:ascii="Arial" w:cs="Arial" w:eastAsia="Arial" w:hAnsi="Arial"/>
          <w:sz w:val="19"/>
          <w:szCs w:val="19"/>
          <w:color w:val="auto"/>
        </w:rPr>
      </w:pPr>
      <w:r>
        <w:rPr>
          <w:rFonts w:ascii="Arial" w:cs="Arial" w:eastAsia="Arial" w:hAnsi="Arial"/>
          <w:sz w:val="19"/>
          <w:szCs w:val="19"/>
          <w:b w:val="1"/>
          <w:bCs w:val="1"/>
          <w:i w:val="1"/>
          <w:iCs w:val="1"/>
          <w:color w:val="auto"/>
        </w:rPr>
        <w:t>Stock Plan Administration Service Providers. The Company transfers participant data to E*Trade, an independent service provider based in the United States, which assists the Company with the implementation, administration and management of the Plan, and if the Participant’s Performance Units vest, the Company may transfer personal data to Computershare, an independent service provider based in the United States, which assists the Company with its stock administration.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 practices with the applicable service providers, which, as it relates to Plan administration service provider, is a condition to the Participant's ability to participate in the Plan.</w:t>
      </w:r>
    </w:p>
    <w:p>
      <w:pPr>
        <w:spacing w:after="0" w:line="160" w:lineRule="exact"/>
        <w:rPr>
          <w:rFonts w:ascii="Arial" w:cs="Arial" w:eastAsia="Arial" w:hAnsi="Arial"/>
          <w:sz w:val="19"/>
          <w:szCs w:val="19"/>
          <w:color w:val="auto"/>
        </w:rPr>
      </w:pPr>
    </w:p>
    <w:p>
      <w:pPr>
        <w:jc w:val="both"/>
        <w:ind w:left="-8" w:firstLine="1304"/>
        <w:spacing w:after="0" w:line="223" w:lineRule="auto"/>
        <w:tabs>
          <w:tab w:leader="none" w:pos="1933" w:val="left"/>
        </w:tabs>
        <w:numPr>
          <w:ilvl w:val="1"/>
          <w:numId w:val="30"/>
        </w:numPr>
        <w:rPr>
          <w:rFonts w:ascii="Arial" w:cs="Arial" w:eastAsia="Arial" w:hAnsi="Arial"/>
          <w:sz w:val="22"/>
          <w:szCs w:val="22"/>
          <w:color w:val="auto"/>
        </w:rPr>
      </w:pPr>
      <w:r>
        <w:rPr>
          <w:rFonts w:ascii="Arial" w:cs="Arial" w:eastAsia="Arial" w:hAnsi="Arial"/>
          <w:sz w:val="22"/>
          <w:szCs w:val="22"/>
          <w:b w:val="1"/>
          <w:bCs w:val="1"/>
          <w:i w:val="1"/>
          <w:iCs w:val="1"/>
          <w:color w:val="auto"/>
        </w:rPr>
        <w:t>International Data Transfers. The Company and its service providers are based in the United States. If the Participant is outside of the United States, the Participant should note that his or her country may have enacted data privacy laws that are different from the United States.</w:t>
      </w:r>
    </w:p>
    <w:p>
      <w:pPr>
        <w:spacing w:after="0" w:line="158" w:lineRule="exact"/>
        <w:rPr>
          <w:rFonts w:ascii="Arial" w:cs="Arial" w:eastAsia="Arial" w:hAnsi="Arial"/>
          <w:sz w:val="22"/>
          <w:szCs w:val="22"/>
          <w:color w:val="auto"/>
        </w:rPr>
      </w:pPr>
    </w:p>
    <w:p>
      <w:pPr>
        <w:jc w:val="both"/>
        <w:ind w:left="-8" w:firstLine="1304"/>
        <w:spacing w:after="0" w:line="218" w:lineRule="auto"/>
        <w:tabs>
          <w:tab w:leader="none" w:pos="1931" w:val="left"/>
        </w:tabs>
        <w:numPr>
          <w:ilvl w:val="1"/>
          <w:numId w:val="30"/>
        </w:numPr>
        <w:rPr>
          <w:rFonts w:ascii="Arial" w:cs="Arial" w:eastAsia="Arial" w:hAnsi="Arial"/>
          <w:sz w:val="22"/>
          <w:szCs w:val="22"/>
          <w:color w:val="auto"/>
        </w:rPr>
      </w:pPr>
      <w:r>
        <w:rPr>
          <w:rFonts w:ascii="Arial" w:cs="Arial" w:eastAsia="Arial" w:hAnsi="Arial"/>
          <w:sz w:val="22"/>
          <w:szCs w:val="22"/>
          <w:b w:val="1"/>
          <w:bCs w:val="1"/>
          <w:i w:val="1"/>
          <w:iCs w:val="1"/>
          <w:color w:val="auto"/>
        </w:rPr>
        <w:t>Data Retention.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spacing w:after="0" w:line="160" w:lineRule="exact"/>
        <w:rPr>
          <w:rFonts w:ascii="Arial" w:cs="Arial" w:eastAsia="Arial" w:hAnsi="Arial"/>
          <w:sz w:val="22"/>
          <w:szCs w:val="22"/>
          <w:color w:val="auto"/>
        </w:rPr>
      </w:pPr>
    </w:p>
    <w:p>
      <w:pPr>
        <w:jc w:val="both"/>
        <w:ind w:left="-8" w:firstLine="1304"/>
        <w:spacing w:after="0" w:line="226" w:lineRule="auto"/>
        <w:tabs>
          <w:tab w:leader="none" w:pos="1933" w:val="left"/>
        </w:tabs>
        <w:numPr>
          <w:ilvl w:val="1"/>
          <w:numId w:val="30"/>
        </w:numPr>
        <w:rPr>
          <w:rFonts w:ascii="Arial" w:cs="Arial" w:eastAsia="Arial" w:hAnsi="Arial"/>
          <w:sz w:val="21"/>
          <w:szCs w:val="21"/>
          <w:color w:val="auto"/>
        </w:rPr>
      </w:pPr>
      <w:r>
        <w:rPr>
          <w:rFonts w:ascii="Arial" w:cs="Arial" w:eastAsia="Arial" w:hAnsi="Arial"/>
          <w:sz w:val="21"/>
          <w:szCs w:val="21"/>
          <w:b w:val="1"/>
          <w:bCs w:val="1"/>
          <w:i w:val="1"/>
          <w:iCs w:val="1"/>
          <w:color w:val="auto"/>
        </w:rPr>
        <w:t>Voluntariness and Consequences of Consent Denial or Withdrawal.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spacing w:after="0" w:line="159" w:lineRule="exact"/>
        <w:rPr>
          <w:rFonts w:ascii="Arial" w:cs="Arial" w:eastAsia="Arial" w:hAnsi="Arial"/>
          <w:sz w:val="21"/>
          <w:szCs w:val="21"/>
          <w:color w:val="auto"/>
        </w:rPr>
      </w:pPr>
    </w:p>
    <w:p>
      <w:pPr>
        <w:jc w:val="both"/>
        <w:ind w:left="-8" w:firstLine="1304"/>
        <w:spacing w:after="0" w:line="257" w:lineRule="auto"/>
        <w:tabs>
          <w:tab w:leader="none" w:pos="1936" w:val="left"/>
        </w:tabs>
        <w:numPr>
          <w:ilvl w:val="1"/>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Data Subject Rights.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w:t>
      </w:r>
    </w:p>
    <w:p>
      <w:pPr>
        <w:spacing w:after="0" w:line="1" w:lineRule="exact"/>
        <w:rPr>
          <w:rFonts w:ascii="Arial" w:cs="Arial" w:eastAsia="Arial" w:hAnsi="Arial"/>
          <w:sz w:val="18"/>
          <w:szCs w:val="18"/>
          <w:color w:val="auto"/>
        </w:rPr>
      </w:pPr>
    </w:p>
    <w:p>
      <w:pPr>
        <w:jc w:val="both"/>
        <w:ind w:left="-8" w:firstLine="8"/>
        <w:spacing w:after="0" w:line="224" w:lineRule="auto"/>
        <w:tabs>
          <w:tab w:leader="none" w:pos="298" w:val="left"/>
        </w:tabs>
        <w:numPr>
          <w:ilvl w:val="0"/>
          <w:numId w:val="3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Stock Plan Administrator, 1 Fanatical Place, Windcrest, TX 78218, USA.</w:t>
      </w:r>
    </w:p>
    <w:p>
      <w:pPr>
        <w:spacing w:after="0" w:line="160" w:lineRule="exact"/>
        <w:rPr>
          <w:rFonts w:ascii="Arial" w:cs="Arial" w:eastAsia="Arial" w:hAnsi="Arial"/>
          <w:sz w:val="21"/>
          <w:szCs w:val="21"/>
          <w:b w:val="1"/>
          <w:bCs w:val="1"/>
          <w:i w:val="1"/>
          <w:iCs w:val="1"/>
          <w:color w:val="auto"/>
        </w:rPr>
      </w:pPr>
    </w:p>
    <w:p>
      <w:pPr>
        <w:ind w:left="-8" w:firstLine="1304"/>
        <w:spacing w:after="0" w:line="232" w:lineRule="auto"/>
        <w:tabs>
          <w:tab w:leader="none" w:pos="1931" w:val="left"/>
        </w:tabs>
        <w:numPr>
          <w:ilvl w:val="1"/>
          <w:numId w:val="31"/>
        </w:numPr>
        <w:rPr>
          <w:rFonts w:ascii="Arial" w:cs="Arial" w:eastAsia="Arial" w:hAnsi="Arial"/>
          <w:sz w:val="22"/>
          <w:szCs w:val="22"/>
          <w:color w:val="auto"/>
        </w:rPr>
      </w:pPr>
      <w:r>
        <w:rPr>
          <w:rFonts w:ascii="Arial" w:cs="Arial" w:eastAsia="Arial" w:hAnsi="Arial"/>
          <w:sz w:val="22"/>
          <w:szCs w:val="22"/>
          <w:b w:val="1"/>
          <w:bCs w:val="1"/>
          <w:i w:val="1"/>
          <w:iCs w:val="1"/>
          <w:color w:val="auto"/>
        </w:rPr>
        <w:t>The Participant also understands that the Company may rely on a different legal basis for the processing or transfer of data in the future and/or request the</w:t>
      </w:r>
    </w:p>
    <w:p>
      <w:pPr>
        <w:sectPr>
          <w:pgSz w:w="11900" w:h="16838" w:orient="portrait"/>
          <w:cols w:equalWidth="0" w:num="1">
            <w:col w:w="11232"/>
          </w:cols>
          <w:pgMar w:left="328" w:top="1401" w:right="339" w:bottom="1440" w:gutter="0" w:footer="0" w:header="0"/>
        </w:sectPr>
      </w:pPr>
    </w:p>
    <w:bookmarkStart w:id="63" w:name="page64"/>
    <w:bookmarkEnd w:id="63"/>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to provide another data privacy consent. If applicable and upon request of the Company, the Participant agrees to provide an executed acknowledgement or data privacy consent form to the Company or the Employer (or any other acknowledgements, agreements or consents) that the Company and/or the Employer may deem necessary to obtain under the data privacy laws in the Participant's country, either now or in the future. The Participant understands that he or she will not be able to participate in the Plan if the Participant fails to execute any such acknowledgement, agreement or consent requested by the Company and/or the Employer.</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Language</w:t>
      </w:r>
      <w:r>
        <w:rPr>
          <w:rFonts w:ascii="Arial" w:cs="Arial" w:eastAsia="Arial" w:hAnsi="Arial"/>
          <w:sz w:val="19"/>
          <w:szCs w:val="19"/>
          <w:color w:val="auto"/>
        </w:rPr>
        <w:t>. The Participant acknowledges that he or she is sufficiently proficient in English to understand the terms and conditions of this Agreement. Furthermore, if the Participant has received this Agreement, or any other document related to the Performance Units and/or the Plan translated into a language other than English and if the meaning of the translated version is different than the English version, the English version will control unless otherwise required by applicable laws.</w:t>
      </w:r>
    </w:p>
    <w:p>
      <w:pPr>
        <w:spacing w:after="0" w:line="1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Repayment of Awards</w:t>
      </w:r>
      <w:r>
        <w:rPr>
          <w:rFonts w:ascii="Arial" w:cs="Arial" w:eastAsia="Arial" w:hAnsi="Arial"/>
          <w:sz w:val="19"/>
          <w:szCs w:val="19"/>
          <w:color w:val="auto"/>
        </w:rPr>
        <w:t>. Consistent with Section 10.5 of the Plan, if, after the cash payment is made to the Participant the Company is required to restate previously reported financial results for any Measurement Period for which performance is measured for this grant, the Committee will require the Participant to repay any amounts paid in excess of the amounts that would have been paid based on the restated financial results. The Committee will issue a written notice of repayment documenting the corrected calculation and the amount and terms of repayment. The Participant must repay the amount specified in the notice of repayment. The Committee may, in its discretion, reduce a future payout as necessary to recoup any amounts outstanding under a previously issued notice of repayment. Further, for the avoidance of doubt, the Units and any cash paid thereunder are also subject to forfeiture and recoupment to the extent set forth in Section 10.5 of the Plan.</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Participant’s participation in the Plan, on the Performance Units and on any cash payment upon vesting of the Performance Units, to the extent the Company determines it is necessary or advisable for legal or administrative reasons, and to require the Participant to sign any additional agreements or undertakings that may be necessary to accomplish the foregoing.</w:t>
      </w:r>
    </w:p>
    <w:p>
      <w:pPr>
        <w:spacing w:after="0" w:line="14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claims, certificates, requests, demands and other communications hereunder shall be in writing and shall be deemed to have been duly given and delivered if personally delivered or if sent by an internationally recognized overnight courier, by facsimile, by email, or by registered or certified mail, return receipt requested and postage prepaid, addressed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to it at its current executive offices and to:</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 Fanatical Place</w:t>
      </w:r>
    </w:p>
    <w:p>
      <w:pPr>
        <w:ind w:left="1300"/>
        <w:spacing w:after="0" w:line="204" w:lineRule="auto"/>
        <w:rPr>
          <w:sz w:val="20"/>
          <w:szCs w:val="20"/>
          <w:color w:val="auto"/>
        </w:rPr>
      </w:pPr>
      <w:r>
        <w:rPr>
          <w:rFonts w:ascii="Arial" w:cs="Arial" w:eastAsia="Arial" w:hAnsi="Arial"/>
          <w:sz w:val="22"/>
          <w:szCs w:val="22"/>
          <w:color w:val="auto"/>
        </w:rPr>
        <w:t>City of Windcrest</w:t>
      </w:r>
    </w:p>
    <w:p>
      <w:pPr>
        <w:ind w:left="1300"/>
        <w:spacing w:after="0" w:line="205" w:lineRule="auto"/>
        <w:rPr>
          <w:sz w:val="20"/>
          <w:szCs w:val="20"/>
          <w:color w:val="auto"/>
        </w:rPr>
      </w:pPr>
      <w:r>
        <w:rPr>
          <w:rFonts w:ascii="Arial" w:cs="Arial" w:eastAsia="Arial" w:hAnsi="Arial"/>
          <w:sz w:val="22"/>
          <w:szCs w:val="22"/>
          <w:color w:val="auto"/>
        </w:rPr>
        <w:t>San Antonio, Texas 78218</w:t>
      </w:r>
    </w:p>
    <w:p>
      <w:pPr>
        <w:ind w:left="1300"/>
        <w:spacing w:after="0" w:line="205" w:lineRule="auto"/>
        <w:rPr>
          <w:sz w:val="20"/>
          <w:szCs w:val="20"/>
          <w:color w:val="auto"/>
        </w:rPr>
      </w:pPr>
      <w:r>
        <w:rPr>
          <w:rFonts w:ascii="Arial" w:cs="Arial" w:eastAsia="Arial" w:hAnsi="Arial"/>
          <w:sz w:val="22"/>
          <w:szCs w:val="22"/>
          <w:color w:val="auto"/>
        </w:rPr>
        <w:t>Attn: Chief Legal Officer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Legalnotice@rackspace.com</w:t>
      </w:r>
    </w:p>
    <w:p>
      <w:pPr>
        <w:sectPr>
          <w:pgSz w:w="11900" w:h="16838" w:orient="portrait"/>
          <w:cols w:equalWidth="0" w:num="1">
            <w:col w:w="11240"/>
          </w:cols>
          <w:pgMar w:left="320" w:top="1401" w:right="339" w:bottom="1440" w:gutter="0" w:footer="0" w:header="0"/>
        </w:sectPr>
      </w:pPr>
    </w:p>
    <w:bookmarkStart w:id="64" w:name="page65"/>
    <w:bookmarkEnd w:id="64"/>
    <w:p>
      <w:pPr>
        <w:spacing w:after="0" w:line="204"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If to the Participant, to him or her at the address set forth on the signature page hereto or to such other address as the party to whom notice is to be given may have furnished to the other party in writing in accordance herewith.</w:t>
      </w:r>
    </w:p>
    <w:p>
      <w:pPr>
        <w:spacing w:after="0" w:line="15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Any such notice or communication shall be deemed to have been received (a) in the case of personal delivery, on the date of such delivery (or if such date is not a business day, on the next business day after the date of delivery), (b) in the case of internationally recognized overnight courier, on the next business day after the date sent, (c) in the case of facsimile transmission, when received (or if not sent on a business day, on the next business day after the date sent), (d) in the case of email, when transmitted via email (in each case, if no “system error” or other notice of non-delivery is generated) to the applicable party and its legal counsel set forth above, and (e) in the case of mailing, on the third business day following that on which the piece of mail containing such communication is posted.</w:t>
      </w:r>
    </w:p>
    <w:p>
      <w:pPr>
        <w:spacing w:after="0" w:line="16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party of a breach of any provision of this Agreement must be in writing and shall not operate or be construed as a waiver of any other or subsequent breach.</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Participant’s Undertaking</w:t>
      </w:r>
      <w:r>
        <w:rPr>
          <w:rFonts w:ascii="Arial" w:cs="Arial" w:eastAsia="Arial" w:hAnsi="Arial"/>
          <w:sz w:val="22"/>
          <w:szCs w:val="22"/>
          <w:color w:val="auto"/>
        </w:rPr>
        <w:t>. The Participant hereby agrees to take whatever additional actions and execute whatever additional documents the Company may in its reasonable judgment deem necessary or advisable in order to carry out or effect one or more of the obligations or restrictions imposed on the Participant pursuant to the express provisions of this Agreement and the Plan.</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Modification of Rights</w:t>
      </w:r>
      <w:r>
        <w:rPr>
          <w:rFonts w:ascii="Arial" w:cs="Arial" w:eastAsia="Arial" w:hAnsi="Arial"/>
          <w:sz w:val="19"/>
          <w:szCs w:val="19"/>
          <w:color w:val="auto"/>
        </w:rPr>
        <w:t>. The rights of the Participant are subject to modification and termination in certain events as provided in this Agreement and the Plan (with respect to the Performance Units granted hereby). Notwithstanding the foregoing, the Participant’s rights under this Agreement and the Plan may not be impaired without the Participant’s consent.</w:t>
      </w:r>
    </w:p>
    <w:p>
      <w:pPr>
        <w:spacing w:after="0" w:line="1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Governing Law; Dispute Resolution</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1" w:lineRule="auto"/>
        <w:tabs>
          <w:tab w:leader="none" w:pos="1374"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ANY SERVICE AGREEMENT, THIS AGREEMENT WILL BE GOVERNED BY AND CONSTRUED EXCLUSIVELY IN 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 OF THE STATE OF DELAWARE WILL CONTROL THE INTERPRETATION AND CONSTRUCTION OF THIS AGREEMENT, EVEN IF UNDER SUCH JURISDICTION’S CHOICE OF LAW OR CONFLICT OF LAW ANALYSIS, THE SUBSTANTIVE LAW OF SOME OTHER JURISDICTION WOULD ORDINARILY APPLY.</w:t>
      </w:r>
    </w:p>
    <w:p>
      <w:pPr>
        <w:spacing w:after="0" w:line="158" w:lineRule="exact"/>
        <w:rPr>
          <w:rFonts w:ascii="Arial" w:cs="Arial" w:eastAsia="Arial" w:hAnsi="Arial"/>
          <w:sz w:val="22"/>
          <w:szCs w:val="22"/>
          <w:color w:val="auto"/>
        </w:rPr>
      </w:pPr>
    </w:p>
    <w:p>
      <w:pPr>
        <w:jc w:val="both"/>
        <w:ind w:firstLine="656"/>
        <w:spacing w:after="0" w:line="224" w:lineRule="auto"/>
        <w:tabs>
          <w:tab w:leader="none" w:pos="1372" w:val="left"/>
        </w:tabs>
        <w:numPr>
          <w:ilvl w:val="0"/>
          <w:numId w:val="32"/>
        </w:numPr>
        <w:rPr>
          <w:rFonts w:ascii="Arial" w:cs="Arial" w:eastAsia="Arial" w:hAnsi="Arial"/>
          <w:sz w:val="21"/>
          <w:szCs w:val="21"/>
          <w:color w:val="auto"/>
        </w:rPr>
      </w:pPr>
      <w:r>
        <w:rPr>
          <w:rFonts w:ascii="Arial" w:cs="Arial" w:eastAsia="Arial" w:hAnsi="Arial"/>
          <w:sz w:val="21"/>
          <w:szCs w:val="21"/>
          <w:color w:val="auto"/>
        </w:rPr>
        <w:t>Notwithstanding anything to the contrary set forth in the Plan, the Company and the Participant agree that any suit, action or proceeding brought by or against a party in connection with this Agreement or Executive’s employment with or separation from the Company shall be brought solely in the state districts courts of Texas. Each party expressly and irrevocably consents and submits to the jurisdiction, forum, and venue of such courts in connection with any such legal proceedings, including to enforce this Agreement or its/his rights or obligations hereunder, and both parties agree to accept service of process by the other party or any of its agents in connection with any such proceeding.</w:t>
      </w:r>
    </w:p>
    <w:p>
      <w:pPr>
        <w:sectPr>
          <w:pgSz w:w="11900" w:h="16838" w:orient="portrait"/>
          <w:cols w:equalWidth="0" w:num="1">
            <w:col w:w="11240"/>
          </w:cols>
          <w:pgMar w:left="320" w:top="1440" w:right="339" w:bottom="1440" w:gutter="0" w:footer="0" w:header="0"/>
        </w:sectPr>
      </w:pPr>
    </w:p>
    <w:bookmarkStart w:id="65" w:name="page66"/>
    <w:bookmarkEnd w:id="65"/>
    <w:p>
      <w:pPr>
        <w:jc w:val="both"/>
        <w:ind w:firstLine="648"/>
        <w:spacing w:after="0" w:line="246" w:lineRule="auto"/>
        <w:rPr>
          <w:sz w:val="20"/>
          <w:szCs w:val="20"/>
          <w:color w:val="auto"/>
        </w:rPr>
      </w:pPr>
      <w:r>
        <w:rPr>
          <w:rFonts w:ascii="Arial" w:cs="Arial" w:eastAsia="Arial" w:hAnsi="Arial"/>
          <w:sz w:val="19"/>
          <w:szCs w:val="19"/>
          <w:color w:val="auto"/>
        </w:rPr>
        <w:t xml:space="preserve">Section 20. </w:t>
      </w:r>
      <w:r>
        <w:rPr>
          <w:rFonts w:ascii="Arial" w:cs="Arial" w:eastAsia="Arial" w:hAnsi="Arial"/>
          <w:sz w:val="19"/>
          <w:szCs w:val="19"/>
          <w:u w:val="single" w:color="auto"/>
          <w:color w:val="auto"/>
        </w:rPr>
        <w:t>Exchange Control, Tax And/Or Foreign Asset/Account Reporting</w:t>
      </w:r>
      <w:r>
        <w:rPr>
          <w:rFonts w:ascii="Arial" w:cs="Arial" w:eastAsia="Arial" w:hAnsi="Arial"/>
          <w:sz w:val="19"/>
          <w:szCs w:val="19"/>
          <w:color w:val="auto"/>
        </w:rPr>
        <w:t>. The Participant acknowledges that, depending on his or her country, the Participant may be subject to foreign asset/account, exchange control and/or tax reporting requirements as a result of the acquisition, holding and/or transfer of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is advised to consult his or her personal legal advisor on this matter.</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6" w:lineRule="auto"/>
        <w:tabs>
          <w:tab w:leader="none" w:pos="1374" w:val="left"/>
        </w:tabs>
        <w:numPr>
          <w:ilvl w:val="0"/>
          <w:numId w:val="33"/>
        </w:numPr>
        <w:rPr>
          <w:rFonts w:ascii="Arial" w:cs="Arial" w:eastAsia="Arial" w:hAnsi="Arial"/>
          <w:sz w:val="22"/>
          <w:szCs w:val="22"/>
          <w:color w:val="auto"/>
        </w:rPr>
      </w:pPr>
      <w:r>
        <w:rPr>
          <w:rFonts w:ascii="Arial" w:cs="Arial" w:eastAsia="Arial" w:hAnsi="Arial"/>
          <w:sz w:val="22"/>
          <w:szCs w:val="22"/>
          <w:color w:val="auto"/>
        </w:rPr>
        <w:t>It is the intent of this Agreement that it and all payments and benefits hereunder be exempt from, or comply with, the requirements of Section 409A so that none of the Performance Units provided under this Agreement or cash payment thereunder will be subject to the additional tax imposed under Section 409A, and any ambiguities herein will be interpreted to be so exempt or so comply. Each payment payable under this Agreement is intended to constitute a separate payment for purposes of Treasury Regulation Section 1.409A-2(b)(2).</w:t>
      </w:r>
    </w:p>
    <w:p>
      <w:pPr>
        <w:spacing w:after="0" w:line="157" w:lineRule="exact"/>
        <w:rPr>
          <w:rFonts w:ascii="Arial" w:cs="Arial" w:eastAsia="Arial" w:hAnsi="Arial"/>
          <w:sz w:val="22"/>
          <w:szCs w:val="22"/>
          <w:color w:val="auto"/>
        </w:rPr>
      </w:pPr>
    </w:p>
    <w:p>
      <w:pPr>
        <w:jc w:val="both"/>
        <w:ind w:firstLine="656"/>
        <w:spacing w:after="0" w:line="212" w:lineRule="auto"/>
        <w:tabs>
          <w:tab w:leader="none" w:pos="1372"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This paragraph applies only if the Company determines that Participant is a “specified employee,” as defined in the regulations under Section 409A at the time of Participant’s “separation from service,” as defined in Treasury Regulation Section 1.409A-1(h), and it is determined that settlement of these Units is not exempt from Section 409A. If this paragraph applies, and the event triggering settlement is Participant’s “separation from service,” then any Units that otherwise would have been settled during the first six months following Participant’s “separation from service” will instead be settled on the first business day following the earlier of (i) the six-month anniversary of Participant’s separation from service or (ii) Participant’s death.</w:t>
      </w:r>
    </w:p>
    <w:p>
      <w:pPr>
        <w:spacing w:after="0" w:line="164"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and each such counterpart shall be deemed to be an original, but all such counterparts together shall constitute but one agreement.</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(and the other writings referred to herein) constitute the entire agreement between the parties with respect to the subject matter hereof and thereof and supersede all prior written or oral negotiations, commitments, representations and agreements with respect thereto.</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Severability</w:t>
      </w:r>
      <w:r>
        <w:rPr>
          <w:rFonts w:ascii="Arial" w:cs="Arial" w:eastAsia="Arial" w:hAnsi="Arial"/>
          <w:sz w:val="19"/>
          <w:szCs w:val="19"/>
          <w:color w:val="auto"/>
        </w:rPr>
        <w:t>.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Enforcement</w:t>
      </w:r>
      <w:r>
        <w:rPr>
          <w:rFonts w:ascii="Arial" w:cs="Arial" w:eastAsia="Arial" w:hAnsi="Arial"/>
          <w:sz w:val="22"/>
          <w:szCs w:val="22"/>
          <w:color w:val="auto"/>
        </w:rPr>
        <w:t>. In the event the Company or the Participant institutes litigation to enforce or protect its rights under this Agreement or the Plan, each party shall be</w:t>
      </w:r>
    </w:p>
    <w:p>
      <w:pPr>
        <w:sectPr>
          <w:pgSz w:w="11900" w:h="16838" w:orient="portrait"/>
          <w:cols w:equalWidth="0" w:num="1">
            <w:col w:w="11240"/>
          </w:cols>
          <w:pgMar w:left="320" w:top="1401"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solely responsible for all attorneys’ fees, out-of-pocket costs and disbursements it incurs relating to such litigation.</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IRREVOCABLY AND UNCONDITIONALLY WAIVES, TO THE FULLEST EXTENT THAT IT MAY LEGALLY AND EFFECTIVELY DO SO, TRIAL BY JURY IN ANY SUIT, ACTION OR PROCEEDING ARISING HEREUNDER.</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Required Acceptance; Termination of Prior Agreement.</w:t>
      </w:r>
      <w:r>
        <w:rPr>
          <w:rFonts w:ascii="Arial" w:cs="Arial" w:eastAsia="Arial" w:hAnsi="Arial"/>
          <w:sz w:val="22"/>
          <w:szCs w:val="22"/>
          <w:color w:val="auto"/>
        </w:rPr>
        <w:t xml:space="preserve"> If the Participant does not agree (whether electronically or otherwise) to this Agreement within thirty (30) days from the Grant Date of the Performance Units, the Performance Units shall be terminable by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1401" w:right="339" w:bottom="1440" w:gutter="0" w:footer="0" w:header="0"/>
        </w:sectPr>
      </w:pPr>
    </w:p>
    <w:bookmarkStart w:id="67" w:name="page68"/>
    <w:bookmarkEnd w:id="67"/>
    <w:p>
      <w:pPr>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Cash-Settled Performance Unit Agreement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RACKSPACE TECHNOLOGY, INC.</w:t>
      </w:r>
    </w:p>
    <w:p>
      <w:pPr>
        <w:spacing w:after="0" w:line="30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15875</wp:posOffset>
            </wp:positionV>
            <wp:extent cx="3814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3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Title:</w:t>
      </w:r>
    </w:p>
    <w:p>
      <w:pPr>
        <w:spacing w:after="0" w:line="32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370840</wp:posOffset>
            </wp:positionV>
            <wp:extent cx="4311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1240"/>
          </w:cols>
          <w:pgMar w:left="320" w:top="139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3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Bobby Molu, certify that:</w:t>
      </w:r>
    </w:p>
    <w:p>
      <w:pPr>
        <w:spacing w:after="0" w:line="252" w:lineRule="exact"/>
        <w:rPr>
          <w:sz w:val="20"/>
          <w:szCs w:val="20"/>
          <w:color w:val="auto"/>
        </w:rPr>
      </w:pPr>
    </w:p>
    <w:p>
      <w:pPr>
        <w:ind w:left="900" w:hanging="40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3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2023</w:t>
            </w:r>
          </w:p>
        </w:tc>
        <w:tc>
          <w:tcPr>
            <w:tcW w:w="2120" w:type="dxa"/>
            <w:vAlign w:val="bottom"/>
          </w:tcPr>
          <w:p>
            <w:pPr>
              <w:ind w:left="154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Bobby Molu</w:t>
            </w:r>
          </w:p>
        </w:tc>
      </w:tr>
      <w:tr>
        <w:trPr>
          <w:trHeight w:val="222"/>
        </w:trPr>
        <w:tc>
          <w:tcPr>
            <w:tcW w:w="1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Bobby Molu</w:t>
            </w:r>
          </w:p>
        </w:tc>
      </w:tr>
      <w:tr>
        <w:trPr>
          <w:trHeight w:val="229"/>
        </w:trPr>
        <w:tc>
          <w:tcPr>
            <w:tcW w:w="1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36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Amar Maletira,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Bobby Molu, Executive Vice President and Chief Financial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Bobby Molu</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Bobby Molu</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lowerLetter"/>
      <w:start w:val="1"/>
    </w:lvl>
    <w:lvl w:ilvl="1">
      <w:lvlJc w:val="left"/>
      <w:lvlText w:val="-"/>
      <w:numFmt w:val="bullet"/>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lvl w:ilvl="1">
      <w:lvlJc w:val="left"/>
      <w:lvlText w:val="-"/>
      <w:numFmt w:val="bullet"/>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Roman"/>
      <w:start w:val="1"/>
    </w:lvl>
  </w:abstractNum>
  <w:abstractNum w:abstractNumId="13">
    <w:nsid w:val="4353D0CD"/>
    <w:multiLevelType w:val="hybridMultilevel"/>
    <w:lvl w:ilvl="0">
      <w:lvlJc w:val="left"/>
      <w:lvlText w:val="(%1)"/>
      <w:numFmt w:val="lowerLetter"/>
      <w:start w:val="1"/>
    </w:lvl>
    <w:lvl w:ilvl="1">
      <w:lvlJc w:val="left"/>
      <w:lvlText w:val="-"/>
      <w:numFmt w:val="bullet"/>
      <w:start w:val="1"/>
    </w:lvl>
  </w:abstractNum>
  <w:abstractNum w:abstractNumId="14">
    <w:nsid w:val="B03E0C6"/>
    <w:multiLevelType w:val="hybridMultilevel"/>
    <w:lvl w:ilvl="0">
      <w:lvlJc w:val="left"/>
      <w:lvlText w:val="(%1)"/>
      <w:numFmt w:val="lowerRoman"/>
      <w:start w:val="4"/>
    </w:lvl>
    <w:lvl w:ilvl="1">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upperLetter"/>
      <w:start w:val="1"/>
    </w:lvl>
    <w:lvl w:ilvl="1">
      <w:lvlJc w:val="left"/>
      <w:lvlText w:val="(%2)"/>
      <w:numFmt w:val="lowerLetter"/>
      <w:start w:val="1"/>
    </w:lvl>
  </w:abstractNum>
  <w:abstractNum w:abstractNumId="19">
    <w:nsid w:val="836C40E"/>
    <w:multiLevelType w:val="hybridMultilevel"/>
    <w:lvl w:ilvl="0">
      <w:lvlJc w:val="left"/>
      <w:lvlText w:val="(%1)"/>
      <w:numFmt w:val="upperLetter"/>
      <w:start w:val="2"/>
    </w:lvl>
    <w:lvl w:ilvl="1">
      <w:lvlJc w:val="left"/>
      <w:lvlText w:val="%2"/>
      <w:numFmt w:val="lowerLetter"/>
      <w:start w:val="1"/>
    </w:lvl>
  </w:abstractNum>
  <w:abstractNum w:abstractNumId="20">
    <w:nsid w:val="2901D8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1">
    <w:nsid w:val="3A95F874"/>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2">
    <w:nsid w:val="8138641"/>
    <w:multiLevelType w:val="hybridMultilevel"/>
    <w:lvl w:ilvl="0">
      <w:lvlJc w:val="left"/>
      <w:lvlText w:val="%1"/>
      <w:numFmt w:val="lowerLetter"/>
      <w:start w:val="1"/>
    </w:lvl>
    <w:lvl w:ilvl="1">
      <w:lvlJc w:val="left"/>
      <w:lvlText w:val="(%2)"/>
      <w:numFmt w:val="lowerRoman"/>
      <w:start w:val="3"/>
    </w:lvl>
  </w:abstractNum>
  <w:abstractNum w:abstractNumId="23">
    <w:nsid w:val="1E7FF521"/>
    <w:multiLevelType w:val="hybridMultilevel"/>
    <w:lvl w:ilvl="0">
      <w:lvlJc w:val="left"/>
      <w:lvlText w:val="(%1)"/>
      <w:numFmt w:val="lowerLetter"/>
      <w:start w:val="5"/>
    </w:lvl>
    <w:lvl w:ilvl="1">
      <w:lvlJc w:val="left"/>
      <w:lvlText w:val="%2"/>
      <w:numFmt w:val="lowerRoman"/>
      <w:start w:val="1"/>
    </w:lvl>
  </w:abstractNum>
  <w:abstractNum w:abstractNumId="24">
    <w:nsid w:val="7C3DBD3D"/>
    <w:multiLevelType w:val="hybridMultilevel"/>
    <w:lvl w:ilvl="0">
      <w:lvlJc w:val="left"/>
      <w:lvlText w:val="(%1)"/>
      <w:numFmt w:val="upp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2"/>
    </w:lvl>
    <w:lvl w:ilvl="1">
      <w:lvlJc w:val="left"/>
      <w:lvlText w:val="(%2)"/>
      <w:numFmt w:val="lowerRoman"/>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5"/>
    </w:lvl>
  </w:abstractNum>
  <w:abstractNum w:abstractNumId="29">
    <w:nsid w:val="3006C83E"/>
    <w:multiLevelType w:val="hybridMultilevel"/>
    <w:lvl w:ilvl="0">
      <w:lvlJc w:val="left"/>
      <w:lvlText w:val="%1"/>
      <w:numFmt w:val="lowerLetter"/>
      <w:start w:val="1"/>
    </w:lvl>
    <w:lvl w:ilvl="1">
      <w:lvlJc w:val="left"/>
      <w:lvlText w:val="(%2)"/>
      <w:numFmt w:val="lowerLetter"/>
      <w:start w:val="1"/>
    </w:lvl>
  </w:abstractNum>
  <w:abstractNum w:abstractNumId="30">
    <w:nsid w:val="614FD4A1"/>
    <w:multiLevelType w:val="hybridMultilevel"/>
    <w:lvl w:ilvl="0">
      <w:lvlJc w:val="left"/>
      <w:lvlText w:val="(%1)"/>
      <w:numFmt w:val="lowerLetter"/>
      <w:start w:val="22"/>
    </w:lvl>
    <w:lvl w:ilvl="1">
      <w:lvlJc w:val="left"/>
      <w:lvlText w:val="(%2)"/>
      <w:numFmt w:val="lowerLetter"/>
      <w:start w:val="7"/>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2" Type="http://schemas.openxmlformats.org/officeDocument/2006/relationships/hyperlink" Target="https://www.sec.gov/Archives/edgar/data/1810019/000181001923000034/rxt1029q42022.htm" TargetMode="External"/><Relationship Id="rId63" Type="http://schemas.openxmlformats.org/officeDocument/2006/relationships/hyperlink" Target="https://www.sec.gov/Archives/edgar/data/1810019/000181001923000034/rxt1035q4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2023-05-10T16:04:31Z</dcterms:created>
  <dcterms:modified xsi:type="dcterms:W3CDTF">2023-05-10T16:04:31Z</dcterms:modified>
</cp:coreProperties>
</file>